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3340" w:right="1980" w:hanging="3332"/>
        <w:spacing w:after="0" w:line="391" w:lineRule="auto"/>
        <w:tabs>
          <w:tab w:leader="none" w:pos="46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SEPTEMBER 30, 2021</w:t>
      </w:r>
    </w:p>
    <w:p>
      <w:pPr>
        <w:spacing w:after="0" w:line="28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260"/>
        <w:spacing w:after="0"/>
        <w:tabs>
          <w:tab w:leader="none" w:pos="7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4218305</wp:posOffset>
            </wp:positionH>
            <wp:positionV relativeFrom="paragraph">
              <wp:posOffset>-7620</wp:posOffset>
            </wp:positionV>
            <wp:extent cx="8483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PENNANTPARK INVESTMENT CORPORATION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jc w:val="center"/>
              <w:ind w:left="1349"/>
              <w:spacing w:after="0"/>
              <w:rPr>
                <w:sz w:val="20"/>
                <w:szCs w:val="20"/>
                <w:color w:val="auto"/>
              </w:rPr>
            </w:pPr>
            <w:r>
              <w:rPr>
                <w:rFonts w:ascii="Arial" w:cs="Arial" w:eastAsia="Arial" w:hAnsi="Arial"/>
                <w:sz w:val="14"/>
                <w:szCs w:val="14"/>
                <w:b w:val="1"/>
                <w:bCs w:val="1"/>
                <w:color w:val="auto"/>
              </w:rPr>
              <w:t>MARYLAND</w:t>
            </w:r>
          </w:p>
        </w:tc>
        <w:tc>
          <w:tcPr>
            <w:tcW w:w="3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380" w:type="dxa"/>
            <w:vAlign w:val="bottom"/>
          </w:tcPr>
          <w:p>
            <w:pPr>
              <w:jc w:val="right"/>
              <w:ind w:right="2328"/>
              <w:spacing w:after="0"/>
              <w:rPr>
                <w:sz w:val="20"/>
                <w:szCs w:val="20"/>
                <w:color w:val="auto"/>
              </w:rPr>
            </w:pPr>
            <w:r>
              <w:rPr>
                <w:rFonts w:ascii="Arial" w:cs="Arial" w:eastAsia="Arial" w:hAnsi="Arial"/>
                <w:sz w:val="14"/>
                <w:szCs w:val="14"/>
                <w:b w:val="1"/>
                <w:bCs w:val="1"/>
                <w:color w:val="auto"/>
              </w:rPr>
              <w:t>20-8250744</w:t>
            </w:r>
          </w:p>
        </w:tc>
        <w:tc>
          <w:tcPr>
            <w:tcW w:w="0" w:type="dxa"/>
            <w:vAlign w:val="bottom"/>
          </w:tcPr>
          <w:p>
            <w:pPr>
              <w:spacing w:after="0"/>
              <w:rPr>
                <w:sz w:val="1"/>
                <w:szCs w:val="1"/>
                <w:color w:val="auto"/>
              </w:rPr>
            </w:pPr>
          </w:p>
        </w:tc>
      </w:tr>
      <w:tr>
        <w:trPr>
          <w:trHeight w:val="216"/>
        </w:trPr>
        <w:tc>
          <w:tcPr>
            <w:tcW w:w="7340" w:type="dxa"/>
            <w:vAlign w:val="bottom"/>
            <w:gridSpan w:val="2"/>
          </w:tcPr>
          <w:p>
            <w:pPr>
              <w:jc w:val="center"/>
              <w:ind w:right="1751"/>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3900" w:type="dxa"/>
            <w:vAlign w:val="bottom"/>
            <w:gridSpan w:val="2"/>
          </w:tcPr>
          <w:p>
            <w:pPr>
              <w:jc w:val="center"/>
              <w:ind w:right="1508"/>
              <w:spacing w:after="0"/>
              <w:rPr>
                <w:sz w:val="20"/>
                <w:szCs w:val="20"/>
                <w:color w:val="auto"/>
              </w:rPr>
            </w:pPr>
            <w:r>
              <w:rPr>
                <w:rFonts w:ascii="Arial" w:cs="Arial" w:eastAsia="Arial" w:hAnsi="Arial"/>
                <w:sz w:val="14"/>
                <w:szCs w:val="14"/>
                <w:b w:val="1"/>
                <w:bCs w:val="1"/>
                <w:color w:val="auto"/>
                <w:w w:val="95"/>
              </w:rPr>
              <w:t>(I.R.S. Employer Identification No.)</w:t>
            </w:r>
          </w:p>
        </w:tc>
        <w:tc>
          <w:tcPr>
            <w:tcW w:w="0" w:type="dxa"/>
            <w:vAlign w:val="bottom"/>
          </w:tcPr>
          <w:p>
            <w:pPr>
              <w:spacing w:after="0"/>
              <w:rPr>
                <w:sz w:val="1"/>
                <w:szCs w:val="1"/>
                <w:color w:val="auto"/>
              </w:rPr>
            </w:pPr>
          </w:p>
        </w:tc>
      </w:tr>
      <w:tr>
        <w:trPr>
          <w:trHeight w:val="273"/>
        </w:trPr>
        <w:tc>
          <w:tcPr>
            <w:tcW w:w="4100" w:type="dxa"/>
            <w:vAlign w:val="bottom"/>
          </w:tcPr>
          <w:p>
            <w:pPr>
              <w:jc w:val="center"/>
              <w:ind w:left="1349"/>
              <w:spacing w:after="0"/>
              <w:rPr>
                <w:sz w:val="20"/>
                <w:szCs w:val="20"/>
                <w:color w:val="auto"/>
              </w:rPr>
            </w:pPr>
            <w:r>
              <w:rPr>
                <w:rFonts w:ascii="Arial" w:cs="Arial" w:eastAsia="Arial" w:hAnsi="Arial"/>
                <w:sz w:val="14"/>
                <w:szCs w:val="14"/>
                <w:b w:val="1"/>
                <w:bCs w:val="1"/>
                <w:color w:val="auto"/>
                <w:w w:val="92"/>
              </w:rPr>
              <w:t>590 Madison Avenue, 15</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3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380" w:type="dxa"/>
            <w:vAlign w:val="bottom"/>
            <w:vMerge w:val="restart"/>
          </w:tcPr>
          <w:p>
            <w:pPr>
              <w:jc w:val="right"/>
              <w:ind w:right="2488"/>
              <w:spacing w:after="0"/>
              <w:rPr>
                <w:sz w:val="20"/>
                <w:szCs w:val="20"/>
                <w:color w:val="auto"/>
              </w:rPr>
            </w:pPr>
            <w:r>
              <w:rPr>
                <w:rFonts w:ascii="Arial" w:cs="Arial" w:eastAsia="Arial" w:hAnsi="Arial"/>
                <w:sz w:val="14"/>
                <w:szCs w:val="14"/>
                <w:b w:val="1"/>
                <w:bCs w:val="1"/>
                <w:color w:val="auto"/>
              </w:rPr>
              <w:t>10022</w:t>
            </w:r>
          </w:p>
        </w:tc>
        <w:tc>
          <w:tcPr>
            <w:tcW w:w="0" w:type="dxa"/>
            <w:vAlign w:val="bottom"/>
          </w:tcPr>
          <w:p>
            <w:pPr>
              <w:spacing w:after="0"/>
              <w:rPr>
                <w:sz w:val="1"/>
                <w:szCs w:val="1"/>
                <w:color w:val="auto"/>
              </w:rPr>
            </w:pPr>
          </w:p>
        </w:tc>
      </w:tr>
      <w:tr>
        <w:trPr>
          <w:trHeight w:val="105"/>
        </w:trPr>
        <w:tc>
          <w:tcPr>
            <w:tcW w:w="4100" w:type="dxa"/>
            <w:vAlign w:val="bottom"/>
            <w:vMerge w:val="restart"/>
          </w:tcPr>
          <w:p>
            <w:pPr>
              <w:jc w:val="center"/>
              <w:ind w:left="1349"/>
              <w:spacing w:after="0"/>
              <w:rPr>
                <w:sz w:val="20"/>
                <w:szCs w:val="20"/>
                <w:color w:val="auto"/>
              </w:rPr>
            </w:pPr>
            <w:r>
              <w:rPr>
                <w:rFonts w:ascii="Arial" w:cs="Arial" w:eastAsia="Arial" w:hAnsi="Arial"/>
                <w:sz w:val="14"/>
                <w:szCs w:val="14"/>
                <w:b w:val="1"/>
                <w:bCs w:val="1"/>
                <w:color w:val="auto"/>
                <w:w w:val="97"/>
              </w:rPr>
              <w:t>New York, N.Y.</w:t>
            </w:r>
          </w:p>
        </w:tc>
        <w:tc>
          <w:tcPr>
            <w:tcW w:w="3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100" w:type="dxa"/>
            <w:vAlign w:val="bottom"/>
            <w:vMerge w:val="continue"/>
          </w:tcPr>
          <w:p>
            <w:pPr>
              <w:spacing w:after="0"/>
              <w:rPr>
                <w:sz w:val="6"/>
                <w:szCs w:val="6"/>
                <w:color w:val="auto"/>
              </w:rPr>
            </w:pPr>
          </w:p>
        </w:tc>
        <w:tc>
          <w:tcPr>
            <w:tcW w:w="3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4100" w:type="dxa"/>
            <w:vAlign w:val="bottom"/>
          </w:tcPr>
          <w:p>
            <w:pPr>
              <w:jc w:val="center"/>
              <w:ind w:left="136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380" w:type="dxa"/>
            <w:vAlign w:val="bottom"/>
          </w:tcPr>
          <w:p>
            <w:pPr>
              <w:jc w:val="center"/>
              <w:ind w:right="204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14"/>
        </w:trPr>
        <w:tc>
          <w:tcPr>
            <w:tcW w:w="4100" w:type="dxa"/>
            <w:vAlign w:val="bottom"/>
          </w:tcPr>
          <w:p>
            <w:pPr>
              <w:spacing w:after="0"/>
              <w:rPr>
                <w:sz w:val="24"/>
                <w:szCs w:val="24"/>
                <w:color w:val="auto"/>
              </w:rPr>
            </w:pPr>
          </w:p>
        </w:tc>
        <w:tc>
          <w:tcPr>
            <w:tcW w:w="3240" w:type="dxa"/>
            <w:vAlign w:val="bottom"/>
          </w:tcPr>
          <w:p>
            <w:pPr>
              <w:jc w:val="center"/>
              <w:ind w:right="111"/>
              <w:spacing w:after="0"/>
              <w:rPr>
                <w:sz w:val="20"/>
                <w:szCs w:val="20"/>
                <w:color w:val="auto"/>
              </w:rPr>
            </w:pPr>
            <w:r>
              <w:rPr>
                <w:rFonts w:ascii="Arial" w:cs="Arial" w:eastAsia="Arial" w:hAnsi="Arial"/>
                <w:sz w:val="14"/>
                <w:szCs w:val="14"/>
                <w:b w:val="1"/>
                <w:bCs w:val="1"/>
                <w:color w:val="auto"/>
                <w:w w:val="93"/>
              </w:rPr>
              <w:t>(212) 905-1000</w:t>
            </w:r>
          </w:p>
        </w:tc>
        <w:tc>
          <w:tcPr>
            <w:tcW w:w="5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4100" w:type="dxa"/>
            <w:vAlign w:val="bottom"/>
          </w:tcPr>
          <w:p>
            <w:pPr>
              <w:spacing w:after="0"/>
              <w:rPr>
                <w:sz w:val="13"/>
                <w:szCs w:val="13"/>
                <w:color w:val="auto"/>
              </w:rPr>
            </w:pPr>
          </w:p>
        </w:tc>
        <w:tc>
          <w:tcPr>
            <w:tcW w:w="3240" w:type="dxa"/>
            <w:vAlign w:val="bottom"/>
          </w:tcPr>
          <w:p>
            <w:pPr>
              <w:jc w:val="center"/>
              <w:ind w:right="131"/>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5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100" w:type="dxa"/>
            <w:vAlign w:val="bottom"/>
            <w:tcBorders>
              <w:bottom w:val="single" w:sz="8" w:color="auto"/>
            </w:tcBorders>
          </w:tcPr>
          <w:p>
            <w:pPr>
              <w:spacing w:after="0"/>
              <w:rPr>
                <w:sz w:val="12"/>
                <w:szCs w:val="12"/>
                <w:color w:val="auto"/>
              </w:rPr>
            </w:pPr>
          </w:p>
        </w:tc>
        <w:tc>
          <w:tcPr>
            <w:tcW w:w="3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410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100" w:type="dxa"/>
            <w:vAlign w:val="bottom"/>
          </w:tcPr>
          <w:p>
            <w:pPr>
              <w:jc w:val="center"/>
              <w:ind w:left="349"/>
              <w:spacing w:after="0"/>
              <w:rPr>
                <w:sz w:val="20"/>
                <w:szCs w:val="20"/>
                <w:color w:val="auto"/>
              </w:rPr>
            </w:pPr>
            <w:r>
              <w:rPr>
                <w:rFonts w:ascii="Arial" w:cs="Arial" w:eastAsia="Arial" w:hAnsi="Arial"/>
                <w:sz w:val="14"/>
                <w:szCs w:val="14"/>
                <w:b w:val="1"/>
                <w:bCs w:val="1"/>
                <w:color w:val="auto"/>
                <w:w w:val="93"/>
              </w:rPr>
              <w:t>Title of Each Class</w:t>
            </w:r>
          </w:p>
        </w:tc>
        <w:tc>
          <w:tcPr>
            <w:tcW w:w="3240" w:type="dxa"/>
            <w:vAlign w:val="bottom"/>
          </w:tcPr>
          <w:p>
            <w:pPr>
              <w:jc w:val="center"/>
              <w:ind w:right="111"/>
              <w:spacing w:after="0"/>
              <w:rPr>
                <w:sz w:val="20"/>
                <w:szCs w:val="20"/>
                <w:color w:val="auto"/>
              </w:rPr>
            </w:pPr>
            <w:r>
              <w:rPr>
                <w:rFonts w:ascii="Arial" w:cs="Arial" w:eastAsia="Arial" w:hAnsi="Arial"/>
                <w:sz w:val="14"/>
                <w:szCs w:val="14"/>
                <w:b w:val="1"/>
                <w:bCs w:val="1"/>
                <w:color w:val="auto"/>
                <w:w w:val="92"/>
              </w:rPr>
              <w:t>Trading Symbol(s)</w:t>
            </w:r>
          </w:p>
        </w:tc>
        <w:tc>
          <w:tcPr>
            <w:tcW w:w="3900" w:type="dxa"/>
            <w:vAlign w:val="bottom"/>
            <w:gridSpan w:val="2"/>
          </w:tcPr>
          <w:p>
            <w:pPr>
              <w:jc w:val="center"/>
              <w:ind w:right="528"/>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48"/>
        </w:trPr>
        <w:tc>
          <w:tcPr>
            <w:tcW w:w="4100" w:type="dxa"/>
            <w:vAlign w:val="bottom"/>
          </w:tcPr>
          <w:p>
            <w:pPr>
              <w:jc w:val="center"/>
              <w:ind w:left="329"/>
              <w:spacing w:after="0" w:line="149" w:lineRule="exact"/>
              <w:rPr>
                <w:sz w:val="20"/>
                <w:szCs w:val="20"/>
                <w:color w:val="auto"/>
              </w:rPr>
            </w:pPr>
            <w:r>
              <w:rPr>
                <w:rFonts w:ascii="Arial" w:cs="Arial" w:eastAsia="Arial" w:hAnsi="Arial"/>
                <w:sz w:val="14"/>
                <w:szCs w:val="14"/>
                <w:color w:val="auto"/>
                <w:w w:val="92"/>
              </w:rPr>
              <w:t>Common Stock, par value $0.001 per share</w:t>
            </w:r>
          </w:p>
        </w:tc>
        <w:tc>
          <w:tcPr>
            <w:tcW w:w="3240" w:type="dxa"/>
            <w:vAlign w:val="bottom"/>
          </w:tcPr>
          <w:p>
            <w:pPr>
              <w:jc w:val="center"/>
              <w:ind w:right="111"/>
              <w:spacing w:after="0" w:line="149" w:lineRule="exact"/>
              <w:rPr>
                <w:sz w:val="20"/>
                <w:szCs w:val="20"/>
                <w:color w:val="auto"/>
              </w:rPr>
            </w:pPr>
            <w:r>
              <w:rPr>
                <w:rFonts w:ascii="Arial" w:cs="Arial" w:eastAsia="Arial" w:hAnsi="Arial"/>
                <w:sz w:val="14"/>
                <w:szCs w:val="14"/>
                <w:color w:val="auto"/>
                <w:w w:val="99"/>
              </w:rPr>
              <w:t>PNNT</w:t>
            </w:r>
          </w:p>
        </w:tc>
        <w:tc>
          <w:tcPr>
            <w:tcW w:w="520" w:type="dxa"/>
            <w:vAlign w:val="bottom"/>
          </w:tcPr>
          <w:p>
            <w:pPr>
              <w:spacing w:after="0"/>
              <w:rPr>
                <w:sz w:val="12"/>
                <w:szCs w:val="12"/>
                <w:color w:val="auto"/>
              </w:rPr>
            </w:pPr>
          </w:p>
        </w:tc>
        <w:tc>
          <w:tcPr>
            <w:tcW w:w="3380" w:type="dxa"/>
            <w:vAlign w:val="bottom"/>
          </w:tcPr>
          <w:p>
            <w:pPr>
              <w:jc w:val="center"/>
              <w:ind w:right="1028"/>
              <w:spacing w:after="0" w:line="149" w:lineRule="exact"/>
              <w:rPr>
                <w:sz w:val="20"/>
                <w:szCs w:val="20"/>
                <w:color w:val="auto"/>
              </w:rPr>
            </w:pPr>
            <w:r>
              <w:rPr>
                <w:rFonts w:ascii="Arial" w:cs="Arial" w:eastAsia="Arial" w:hAnsi="Arial"/>
                <w:sz w:val="14"/>
                <w:szCs w:val="14"/>
                <w:color w:val="auto"/>
                <w:w w:val="94"/>
              </w:rPr>
              <w:t>The Nasdaq Stock Market LLC</w:t>
            </w:r>
          </w:p>
        </w:tc>
        <w:tc>
          <w:tcPr>
            <w:tcW w:w="0" w:type="dxa"/>
            <w:vAlign w:val="bottom"/>
          </w:tcPr>
          <w:p>
            <w:pPr>
              <w:spacing w:after="0"/>
              <w:rPr>
                <w:sz w:val="1"/>
                <w:szCs w:val="1"/>
                <w:color w:val="auto"/>
              </w:rPr>
            </w:pPr>
          </w:p>
        </w:tc>
      </w:tr>
      <w:tr>
        <w:trPr>
          <w:trHeight w:val="182"/>
        </w:trPr>
        <w:tc>
          <w:tcPr>
            <w:tcW w:w="4100" w:type="dxa"/>
            <w:vAlign w:val="bottom"/>
          </w:tcPr>
          <w:p>
            <w:pPr>
              <w:jc w:val="center"/>
              <w:ind w:left="349"/>
              <w:spacing w:after="0"/>
              <w:rPr>
                <w:sz w:val="20"/>
                <w:szCs w:val="20"/>
                <w:color w:val="auto"/>
              </w:rPr>
            </w:pPr>
            <w:r>
              <w:rPr>
                <w:rFonts w:ascii="Arial" w:cs="Arial" w:eastAsia="Arial" w:hAnsi="Arial"/>
                <w:sz w:val="14"/>
                <w:szCs w:val="14"/>
                <w:color w:val="auto"/>
                <w:w w:val="92"/>
              </w:rPr>
              <w:t>5.50% Notes due 2024</w:t>
            </w:r>
          </w:p>
        </w:tc>
        <w:tc>
          <w:tcPr>
            <w:tcW w:w="3240" w:type="dxa"/>
            <w:vAlign w:val="bottom"/>
          </w:tcPr>
          <w:p>
            <w:pPr>
              <w:jc w:val="center"/>
              <w:ind w:right="91"/>
              <w:spacing w:after="0"/>
              <w:rPr>
                <w:sz w:val="20"/>
                <w:szCs w:val="20"/>
                <w:color w:val="auto"/>
              </w:rPr>
            </w:pPr>
            <w:r>
              <w:rPr>
                <w:rFonts w:ascii="Arial" w:cs="Arial" w:eastAsia="Arial" w:hAnsi="Arial"/>
                <w:sz w:val="14"/>
                <w:szCs w:val="14"/>
                <w:color w:val="auto"/>
                <w:w w:val="97"/>
              </w:rPr>
              <w:t>PNNTG</w:t>
            </w:r>
          </w:p>
        </w:tc>
        <w:tc>
          <w:tcPr>
            <w:tcW w:w="520" w:type="dxa"/>
            <w:vAlign w:val="bottom"/>
          </w:tcPr>
          <w:p>
            <w:pPr>
              <w:spacing w:after="0"/>
              <w:rPr>
                <w:sz w:val="15"/>
                <w:szCs w:val="15"/>
                <w:color w:val="auto"/>
              </w:rPr>
            </w:pPr>
          </w:p>
        </w:tc>
        <w:tc>
          <w:tcPr>
            <w:tcW w:w="3380" w:type="dxa"/>
            <w:vAlign w:val="bottom"/>
          </w:tcPr>
          <w:p>
            <w:pPr>
              <w:jc w:val="center"/>
              <w:ind w:right="1028"/>
              <w:spacing w:after="0"/>
              <w:rPr>
                <w:sz w:val="20"/>
                <w:szCs w:val="20"/>
                <w:color w:val="auto"/>
              </w:rPr>
            </w:pPr>
            <w:r>
              <w:rPr>
                <w:rFonts w:ascii="Arial" w:cs="Arial" w:eastAsia="Arial" w:hAnsi="Arial"/>
                <w:sz w:val="14"/>
                <w:szCs w:val="14"/>
                <w:color w:val="auto"/>
                <w:w w:val="94"/>
              </w:rPr>
              <w:t>The Nasdaq Stock Market LLC</w:t>
            </w:r>
          </w:p>
        </w:tc>
        <w:tc>
          <w:tcPr>
            <w:tcW w:w="0" w:type="dxa"/>
            <w:vAlign w:val="bottom"/>
          </w:tcPr>
          <w:p>
            <w:pPr>
              <w:spacing w:after="0"/>
              <w:rPr>
                <w:sz w:val="1"/>
                <w:szCs w:val="1"/>
                <w:color w:val="auto"/>
              </w:rPr>
            </w:pPr>
          </w:p>
        </w:tc>
      </w:tr>
      <w:tr>
        <w:trPr>
          <w:trHeight w:val="392"/>
        </w:trPr>
        <w:tc>
          <w:tcPr>
            <w:tcW w:w="7860" w:type="dxa"/>
            <w:vAlign w:val="bottom"/>
            <w:gridSpan w:val="3"/>
          </w:tcPr>
          <w:p>
            <w:pPr>
              <w:jc w:val="center"/>
              <w:ind w:left="3349"/>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340" w:type="dxa"/>
            <w:vAlign w:val="bottom"/>
            <w:gridSpan w:val="2"/>
          </w:tcPr>
          <w:p>
            <w:pPr>
              <w:ind w:left="440"/>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520" w:type="dxa"/>
            <w:vAlign w:val="bottom"/>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380" w:type="dxa"/>
            <w:vAlign w:val="bottom"/>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7340" w:type="dxa"/>
            <w:vAlign w:val="bottom"/>
            <w:gridSpan w:val="2"/>
          </w:tcPr>
          <w:p>
            <w:pPr>
              <w:ind w:left="440"/>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520" w:type="dxa"/>
            <w:vAlign w:val="bottom"/>
          </w:tcPr>
          <w:p>
            <w:pPr>
              <w:ind w:left="120"/>
              <w:spacing w:after="0" w:line="161" w:lineRule="exact"/>
              <w:rPr>
                <w:sz w:val="20"/>
                <w:szCs w:val="20"/>
                <w:color w:val="auto"/>
              </w:rPr>
            </w:pPr>
            <w:r>
              <w:rPr>
                <w:rFonts w:ascii="Arial" w:cs="Arial" w:eastAsia="Arial" w:hAnsi="Arial"/>
                <w:sz w:val="14"/>
                <w:szCs w:val="14"/>
                <w:color w:val="auto"/>
                <w:w w:val="90"/>
              </w:rPr>
              <w:t xml:space="preserve">Yes </w:t>
            </w:r>
            <w:r>
              <w:rPr>
                <w:rFonts w:ascii="MS PGothic" w:cs="MS PGothic" w:eastAsia="MS PGothic" w:hAnsi="MS PGothic"/>
                <w:sz w:val="14"/>
                <w:szCs w:val="14"/>
                <w:color w:val="auto"/>
                <w:w w:val="90"/>
              </w:rPr>
              <w:t>☐</w:t>
            </w:r>
          </w:p>
        </w:tc>
        <w:tc>
          <w:tcPr>
            <w:tcW w:w="338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right="180" w:firstLine="438"/>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w:t>
      </w:r>
    </w:p>
    <w:p>
      <w:pPr>
        <w:spacing w:after="0" w:line="45" w:lineRule="exact"/>
        <w:rPr>
          <w:sz w:val="24"/>
          <w:szCs w:val="24"/>
          <w:color w:val="auto"/>
        </w:rPr>
      </w:pPr>
    </w:p>
    <w:p>
      <w:pPr>
        <w:ind w:right="160" w:firstLine="438"/>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100" w:firstLine="43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2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2800"/>
              <w:spacing w:after="0"/>
              <w:rPr>
                <w:sz w:val="20"/>
                <w:szCs w:val="20"/>
                <w:color w:val="auto"/>
              </w:rPr>
            </w:pPr>
            <w:r>
              <w:rPr>
                <w:rFonts w:ascii="Arial" w:cs="Arial" w:eastAsia="Arial" w:hAnsi="Arial"/>
                <w:sz w:val="14"/>
                <w:szCs w:val="14"/>
                <w:color w:val="auto"/>
              </w:rPr>
              <w:t>Accelerated filer</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3"/>
        </w:trPr>
        <w:tc>
          <w:tcPr>
            <w:tcW w:w="2260" w:type="dxa"/>
            <w:vAlign w:val="bottom"/>
          </w:tcPr>
          <w:p>
            <w:pPr>
              <w:spacing w:after="0"/>
              <w:rPr>
                <w:sz w:val="20"/>
                <w:szCs w:val="20"/>
                <w:color w:val="auto"/>
              </w:rPr>
            </w:pPr>
            <w:r>
              <w:rPr>
                <w:rFonts w:ascii="Arial" w:cs="Arial" w:eastAsia="Arial" w:hAnsi="Arial"/>
                <w:sz w:val="14"/>
                <w:szCs w:val="14"/>
                <w:color w:val="auto"/>
              </w:rPr>
              <w:t>Non-accelerated filer</w:t>
            </w:r>
          </w:p>
        </w:tc>
        <w:tc>
          <w:tcPr>
            <w:tcW w:w="36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2800"/>
              <w:spacing w:after="0"/>
              <w:rPr>
                <w:sz w:val="20"/>
                <w:szCs w:val="20"/>
                <w:color w:val="auto"/>
              </w:rPr>
            </w:pPr>
            <w:r>
              <w:rPr>
                <w:rFonts w:ascii="Arial" w:cs="Arial" w:eastAsia="Arial" w:hAnsi="Arial"/>
                <w:sz w:val="14"/>
                <w:szCs w:val="14"/>
                <w:color w:val="auto"/>
              </w:rPr>
              <w:t>Smaller reporting company</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22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45" w:lineRule="exact"/>
        <w:rPr>
          <w:sz w:val="24"/>
          <w:szCs w:val="24"/>
          <w:color w:val="auto"/>
        </w:rPr>
      </w:pPr>
    </w:p>
    <w:p>
      <w:pPr>
        <w:ind w:right="140" w:firstLine="43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6" w:lineRule="exact"/>
        <w:rPr>
          <w:sz w:val="24"/>
          <w:szCs w:val="24"/>
          <w:color w:val="auto"/>
        </w:rPr>
      </w:pPr>
    </w:p>
    <w:p>
      <w:pPr>
        <w:ind w:right="80" w:firstLine="438"/>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8" w:lineRule="exact"/>
        <w:rPr>
          <w:sz w:val="24"/>
          <w:szCs w:val="24"/>
          <w:color w:val="auto"/>
        </w:rPr>
      </w:pPr>
    </w:p>
    <w:p>
      <w:pPr>
        <w:ind w:left="440"/>
        <w:spacing w:after="0" w:line="161" w:lineRule="exact"/>
        <w:tabs>
          <w:tab w:leader="none" w:pos="7100" w:val="left"/>
          <w:tab w:leader="none" w:pos="76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r>
        <w:rPr>
          <w:rFonts w:ascii="Arial" w:cs="Arial" w:eastAsia="Arial" w:hAnsi="Arial"/>
          <w:sz w:val="13"/>
          <w:szCs w:val="13"/>
          <w:color w:val="auto"/>
        </w:rPr>
        <w:t>.</w:t>
      </w:r>
    </w:p>
    <w:p>
      <w:pPr>
        <w:spacing w:after="0" w:line="109" w:lineRule="exact"/>
        <w:rPr>
          <w:sz w:val="24"/>
          <w:szCs w:val="24"/>
          <w:color w:val="auto"/>
        </w:rPr>
      </w:pPr>
    </w:p>
    <w:p>
      <w:pPr>
        <w:ind w:right="120" w:firstLine="438"/>
        <w:spacing w:after="0" w:line="238" w:lineRule="auto"/>
        <w:rPr>
          <w:sz w:val="20"/>
          <w:szCs w:val="20"/>
          <w:color w:val="auto"/>
        </w:rPr>
      </w:pPr>
      <w:r>
        <w:rPr>
          <w:rFonts w:ascii="Arial" w:cs="Arial" w:eastAsia="Arial" w:hAnsi="Arial"/>
          <w:sz w:val="14"/>
          <w:szCs w:val="14"/>
          <w:color w:val="auto"/>
        </w:rPr>
        <w:t>The aggregate market value of common stock held by non-affiliates of the Registrant on March 31, 2021 based on the closing price on that date of $5.58 on The Nasdaq Global Select Market was approximately $364 million. For the purposes of calculating the aggregate market value of common stock held by non-affiliates, all directors and executive officers of the Registrant have been treated as affiliates. There were 67,045,105 shares of the Registrant’s common stock outstanding as of November 17, 2021.</w:t>
      </w:r>
    </w:p>
    <w:p>
      <w:pPr>
        <w:spacing w:after="0" w:line="34" w:lineRule="exact"/>
        <w:rPr>
          <w:sz w:val="24"/>
          <w:szCs w:val="24"/>
          <w:color w:val="auto"/>
        </w:rPr>
      </w:pPr>
    </w:p>
    <w:p>
      <w:pPr>
        <w:ind w:right="160" w:firstLine="438"/>
        <w:spacing w:after="0" w:line="253" w:lineRule="auto"/>
        <w:rPr>
          <w:sz w:val="20"/>
          <w:szCs w:val="20"/>
          <w:color w:val="auto"/>
        </w:rPr>
      </w:pPr>
      <w:r>
        <w:rPr>
          <w:rFonts w:ascii="Arial" w:cs="Arial" w:eastAsia="Arial" w:hAnsi="Arial"/>
          <w:sz w:val="14"/>
          <w:szCs w:val="14"/>
          <w:color w:val="auto"/>
        </w:rPr>
        <w:t>Documents Incorporated by Reference: Portions of the Registrant’s Proxy Statement relating to the Registrant’s 2022 Annual Meeting of Stockholders to be filed not later than 120 days after the end of the fiscal year covered by this Annual Report on Form 10-K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392430</wp:posOffset>
            </wp:positionV>
            <wp:extent cx="71748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60" w:type="dxa"/>
            <w:vAlign w:val="bottom"/>
            <w:gridSpan w:val="15"/>
          </w:tcPr>
          <w:p>
            <w:pPr>
              <w:jc w:val="center"/>
              <w:ind w:right="1680"/>
              <w:spacing w:after="0"/>
              <w:rPr>
                <w:sz w:val="20"/>
                <w:szCs w:val="20"/>
                <w:color w:val="auto"/>
              </w:rPr>
            </w:pPr>
            <w:r>
              <w:rPr>
                <w:rFonts w:ascii="Arial" w:cs="Arial" w:eastAsia="Arial" w:hAnsi="Arial"/>
                <w:sz w:val="14"/>
                <w:szCs w:val="14"/>
                <w:b w:val="1"/>
                <w:bCs w:val="1"/>
                <w:color w:val="auto"/>
              </w:rPr>
              <w:t>PENNANTPARK INVESTMENT CORPORATION</w:t>
            </w: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700" w:type="dxa"/>
            <w:vAlign w:val="bottom"/>
            <w:gridSpan w:val="12"/>
          </w:tcPr>
          <w:p>
            <w:pPr>
              <w:jc w:val="center"/>
              <w:ind w:right="2640"/>
              <w:spacing w:after="0" w:line="149" w:lineRule="exact"/>
              <w:rPr>
                <w:sz w:val="20"/>
                <w:szCs w:val="20"/>
                <w:color w:val="auto"/>
              </w:rPr>
            </w:pPr>
            <w:r>
              <w:rPr>
                <w:rFonts w:ascii="Arial" w:cs="Arial" w:eastAsia="Arial" w:hAnsi="Arial"/>
                <w:sz w:val="14"/>
                <w:szCs w:val="14"/>
                <w:b w:val="1"/>
                <w:bCs w:val="1"/>
                <w:color w:val="auto"/>
              </w:rPr>
              <w:t>FORM 10-K</w:t>
            </w: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60" w:type="dxa"/>
            <w:vAlign w:val="bottom"/>
            <w:gridSpan w:val="15"/>
          </w:tcPr>
          <w:p>
            <w:pPr>
              <w:jc w:val="center"/>
              <w:ind w:right="1680"/>
              <w:spacing w:after="0" w:line="149" w:lineRule="exact"/>
              <w:rPr>
                <w:sz w:val="20"/>
                <w:szCs w:val="20"/>
                <w:color w:val="auto"/>
              </w:rPr>
            </w:pPr>
            <w:r>
              <w:rPr>
                <w:rFonts w:ascii="Arial" w:cs="Arial" w:eastAsia="Arial" w:hAnsi="Arial"/>
                <w:sz w:val="14"/>
                <w:szCs w:val="14"/>
                <w:b w:val="1"/>
                <w:bCs w:val="1"/>
                <w:color w:val="auto"/>
              </w:rPr>
              <w:t>FOR THE FISCAL YEAR ENDED SEPTEMBER 30, 2021</w:t>
            </w: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700" w:type="dxa"/>
            <w:vAlign w:val="bottom"/>
            <w:gridSpan w:val="12"/>
          </w:tcPr>
          <w:p>
            <w:pPr>
              <w:jc w:val="center"/>
              <w:ind w:right="2640"/>
              <w:spacing w:after="0"/>
              <w:rPr>
                <w:sz w:val="20"/>
                <w:szCs w:val="20"/>
                <w:color w:val="auto"/>
              </w:rPr>
            </w:pPr>
            <w:r>
              <w:rPr>
                <w:rFonts w:ascii="Arial" w:cs="Arial" w:eastAsia="Arial" w:hAnsi="Arial"/>
                <w:sz w:val="14"/>
                <w:szCs w:val="14"/>
                <w:b w:val="1"/>
                <w:bCs w:val="1"/>
                <w:color w:val="auto"/>
              </w:rPr>
              <w:t>TABLE OF CONTENTS</w:t>
            </w: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40" w:type="dxa"/>
            <w:vAlign w:val="bottom"/>
            <w:gridSpan w:val="10"/>
          </w:tcPr>
          <w:p>
            <w:pPr>
              <w:jc w:val="center"/>
              <w:ind w:right="3400"/>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PART I</w:t>
              </w:r>
            </w:hyperlink>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100" w:type="dxa"/>
            <w:vAlign w:val="bottom"/>
          </w:tcPr>
          <w:p>
            <w:pPr>
              <w:ind w:left="100"/>
              <w:spacing w:after="0"/>
              <w:rPr>
                <w:sz w:val="20"/>
                <w:szCs w:val="20"/>
                <w:color w:val="auto"/>
              </w:rPr>
            </w:pPr>
            <w:r>
              <w:rPr>
                <w:rFonts w:ascii="Arial" w:cs="Arial" w:eastAsia="Arial" w:hAnsi="Arial"/>
                <w:sz w:val="14"/>
                <w:szCs w:val="14"/>
                <w:b w:val="1"/>
                <w:bCs w:val="1"/>
                <w:color w:val="auto"/>
              </w:rPr>
              <w:t>Item 1.</w:t>
            </w:r>
          </w:p>
        </w:tc>
        <w:tc>
          <w:tcPr>
            <w:tcW w:w="520" w:type="dxa"/>
            <w:vAlign w:val="bottom"/>
            <w:tcBorders>
              <w:bottom w:val="single" w:sz="8" w:color="0000EE"/>
            </w:tcBorders>
          </w:tcPr>
          <w:p>
            <w:pPr>
              <w:spacing w:after="0"/>
              <w:rPr>
                <w:rFonts w:ascii="Arial" w:cs="Arial" w:eastAsia="Arial" w:hAnsi="Arial"/>
                <w:sz w:val="14"/>
                <w:szCs w:val="14"/>
                <w:color w:val="0000EE"/>
                <w:w w:val="87"/>
              </w:rPr>
            </w:pPr>
            <w:hyperlink w:anchor="page4">
              <w:r>
                <w:rPr>
                  <w:rFonts w:ascii="Arial" w:cs="Arial" w:eastAsia="Arial" w:hAnsi="Arial"/>
                  <w:sz w:val="14"/>
                  <w:szCs w:val="14"/>
                  <w:color w:val="0000EE"/>
                  <w:w w:val="87"/>
                </w:rPr>
                <w:t>Business</w:t>
              </w:r>
            </w:hyperlink>
          </w:p>
        </w:tc>
        <w:tc>
          <w:tcPr>
            <w:tcW w:w="3780" w:type="dxa"/>
            <w:vAlign w:val="bottom"/>
            <w:gridSpan w:val="17"/>
          </w:tcPr>
          <w:p>
            <w:pPr>
              <w:spacing w:after="0"/>
              <w:rPr>
                <w:sz w:val="24"/>
                <w:szCs w:val="24"/>
                <w:color w:val="auto"/>
              </w:rPr>
            </w:pPr>
          </w:p>
        </w:tc>
        <w:tc>
          <w:tcPr>
            <w:tcW w:w="460" w:type="dxa"/>
            <w:vAlign w:val="bottom"/>
            <w:tcBorders>
              <w:top w:val="single" w:sz="8" w:color="0000EE"/>
            </w:tcBorders>
            <w:gridSpan w:val="2"/>
          </w:tcPr>
          <w:p>
            <w:pPr>
              <w:spacing w:after="0"/>
              <w:rPr>
                <w:sz w:val="24"/>
                <w:szCs w:val="24"/>
                <w:color w:val="auto"/>
              </w:rPr>
            </w:pPr>
          </w:p>
        </w:tc>
        <w:tc>
          <w:tcPr>
            <w:tcW w:w="3440" w:type="dxa"/>
            <w:vAlign w:val="bottom"/>
            <w:gridSpan w:val="7"/>
          </w:tcPr>
          <w:p>
            <w:pPr>
              <w:spacing w:after="0"/>
              <w:rPr>
                <w:sz w:val="24"/>
                <w:szCs w:val="24"/>
                <w:color w:val="auto"/>
              </w:rPr>
            </w:pPr>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277"/>
        </w:trPr>
        <w:tc>
          <w:tcPr>
            <w:tcW w:w="1100" w:type="dxa"/>
            <w:vAlign w:val="bottom"/>
          </w:tcPr>
          <w:p>
            <w:pPr>
              <w:ind w:left="100"/>
              <w:spacing w:after="0"/>
              <w:rPr>
                <w:sz w:val="20"/>
                <w:szCs w:val="20"/>
                <w:color w:val="auto"/>
              </w:rPr>
            </w:pPr>
            <w:r>
              <w:rPr>
                <w:rFonts w:ascii="Arial" w:cs="Arial" w:eastAsia="Arial" w:hAnsi="Arial"/>
                <w:sz w:val="14"/>
                <w:szCs w:val="14"/>
                <w:b w:val="1"/>
                <w:bCs w:val="1"/>
                <w:color w:val="auto"/>
              </w:rPr>
              <w:t>Item 1A.</w:t>
            </w:r>
          </w:p>
        </w:tc>
        <w:tc>
          <w:tcPr>
            <w:tcW w:w="740" w:type="dxa"/>
            <w:vAlign w:val="bottom"/>
            <w:tcBorders>
              <w:bottom w:val="single" w:sz="8" w:color="0000EE"/>
            </w:tcBorders>
            <w:gridSpan w:val="4"/>
          </w:tcPr>
          <w:p>
            <w:pPr>
              <w:spacing w:after="0"/>
              <w:rPr>
                <w:rFonts w:ascii="Arial" w:cs="Arial" w:eastAsia="Arial" w:hAnsi="Arial"/>
                <w:sz w:val="14"/>
                <w:szCs w:val="14"/>
                <w:color w:val="0000EE"/>
                <w:w w:val="92"/>
              </w:rPr>
            </w:pPr>
            <w:hyperlink w:anchor="page19">
              <w:r>
                <w:rPr>
                  <w:rFonts w:ascii="Arial" w:cs="Arial" w:eastAsia="Arial" w:hAnsi="Arial"/>
                  <w:sz w:val="14"/>
                  <w:szCs w:val="14"/>
                  <w:color w:val="0000EE"/>
                  <w:w w:val="92"/>
                </w:rPr>
                <w:t>Risk Factors</w:t>
              </w:r>
            </w:hyperlink>
          </w:p>
        </w:tc>
        <w:tc>
          <w:tcPr>
            <w:tcW w:w="7460" w:type="dxa"/>
            <w:vAlign w:val="bottom"/>
            <w:gridSpan w:val="23"/>
          </w:tcPr>
          <w:p>
            <w:pPr>
              <w:spacing w:after="0"/>
              <w:rPr>
                <w:sz w:val="24"/>
                <w:szCs w:val="24"/>
                <w:color w:val="auto"/>
              </w:rPr>
            </w:pPr>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19</w:t>
            </w:r>
          </w:p>
        </w:tc>
        <w:tc>
          <w:tcPr>
            <w:tcW w:w="0" w:type="dxa"/>
            <w:vAlign w:val="bottom"/>
          </w:tcPr>
          <w:p>
            <w:pPr>
              <w:spacing w:after="0"/>
              <w:rPr>
                <w:sz w:val="1"/>
                <w:szCs w:val="1"/>
                <w:color w:val="auto"/>
              </w:rPr>
            </w:pPr>
          </w:p>
        </w:tc>
      </w:tr>
      <w:tr>
        <w:trPr>
          <w:trHeight w:val="277"/>
        </w:trPr>
        <w:tc>
          <w:tcPr>
            <w:tcW w:w="1100" w:type="dxa"/>
            <w:vAlign w:val="bottom"/>
          </w:tcPr>
          <w:p>
            <w:pPr>
              <w:ind w:left="100"/>
              <w:spacing w:after="0"/>
              <w:rPr>
                <w:sz w:val="20"/>
                <w:szCs w:val="20"/>
                <w:color w:val="auto"/>
              </w:rPr>
            </w:pPr>
            <w:r>
              <w:rPr>
                <w:rFonts w:ascii="Arial" w:cs="Arial" w:eastAsia="Arial" w:hAnsi="Arial"/>
                <w:sz w:val="14"/>
                <w:szCs w:val="14"/>
                <w:b w:val="1"/>
                <w:bCs w:val="1"/>
                <w:color w:val="auto"/>
              </w:rPr>
              <w:t>Item 1B.</w:t>
            </w:r>
          </w:p>
        </w:tc>
        <w:tc>
          <w:tcPr>
            <w:tcW w:w="8200" w:type="dxa"/>
            <w:vAlign w:val="bottom"/>
            <w:gridSpan w:val="27"/>
          </w:tcPr>
          <w:p>
            <w:pPr>
              <w:spacing w:after="0"/>
              <w:rPr>
                <w:rFonts w:ascii="Arial" w:cs="Arial" w:eastAsia="Arial" w:hAnsi="Arial"/>
                <w:sz w:val="14"/>
                <w:szCs w:val="14"/>
                <w:color w:val="0000EE"/>
              </w:rPr>
            </w:pPr>
            <w:hyperlink w:anchor="page37">
              <w:r>
                <w:rPr>
                  <w:rFonts w:ascii="Arial" w:cs="Arial" w:eastAsia="Arial" w:hAnsi="Arial"/>
                  <w:sz w:val="14"/>
                  <w:szCs w:val="14"/>
                  <w:color w:val="0000EE"/>
                </w:rPr>
                <w:t>Unresolved Staff Comments</w:t>
              </w:r>
            </w:hyperlink>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37</w:t>
            </w:r>
          </w:p>
        </w:tc>
        <w:tc>
          <w:tcPr>
            <w:tcW w:w="0" w:type="dxa"/>
            <w:vAlign w:val="bottom"/>
          </w:tcPr>
          <w:p>
            <w:pPr>
              <w:spacing w:after="0"/>
              <w:rPr>
                <w:sz w:val="1"/>
                <w:szCs w:val="1"/>
                <w:color w:val="auto"/>
              </w:rPr>
            </w:pPr>
          </w:p>
        </w:tc>
      </w:tr>
      <w:tr>
        <w:trPr>
          <w:trHeight w:val="277"/>
        </w:trPr>
        <w:tc>
          <w:tcPr>
            <w:tcW w:w="1100" w:type="dxa"/>
            <w:vAlign w:val="bottom"/>
          </w:tcPr>
          <w:p>
            <w:pPr>
              <w:ind w:left="100"/>
              <w:spacing w:after="0"/>
              <w:rPr>
                <w:sz w:val="20"/>
                <w:szCs w:val="20"/>
                <w:color w:val="auto"/>
              </w:rPr>
            </w:pPr>
            <w:r>
              <w:rPr>
                <w:rFonts w:ascii="Arial" w:cs="Arial" w:eastAsia="Arial" w:hAnsi="Arial"/>
                <w:sz w:val="14"/>
                <w:szCs w:val="14"/>
                <w:b w:val="1"/>
                <w:bCs w:val="1"/>
                <w:color w:val="auto"/>
              </w:rPr>
              <w:t>Item 2.</w:t>
            </w:r>
          </w:p>
        </w:tc>
        <w:tc>
          <w:tcPr>
            <w:tcW w:w="600" w:type="dxa"/>
            <w:vAlign w:val="bottom"/>
            <w:tcBorders>
              <w:top w:val="single" w:sz="8" w:color="0000EE"/>
              <w:bottom w:val="single" w:sz="8" w:color="0000EE"/>
            </w:tcBorders>
            <w:gridSpan w:val="2"/>
          </w:tcPr>
          <w:p>
            <w:pPr>
              <w:spacing w:after="0"/>
              <w:rPr>
                <w:rFonts w:ascii="Arial" w:cs="Arial" w:eastAsia="Arial" w:hAnsi="Arial"/>
                <w:sz w:val="14"/>
                <w:szCs w:val="14"/>
                <w:color w:val="0000EE"/>
                <w:w w:val="90"/>
              </w:rPr>
            </w:pPr>
            <w:hyperlink w:anchor="page37">
              <w:r>
                <w:rPr>
                  <w:rFonts w:ascii="Arial" w:cs="Arial" w:eastAsia="Arial" w:hAnsi="Arial"/>
                  <w:sz w:val="14"/>
                  <w:szCs w:val="14"/>
                  <w:color w:val="0000EE"/>
                  <w:w w:val="90"/>
                </w:rPr>
                <w:t>Properties</w:t>
              </w:r>
            </w:hyperlink>
          </w:p>
        </w:tc>
        <w:tc>
          <w:tcPr>
            <w:tcW w:w="1040" w:type="dxa"/>
            <w:vAlign w:val="bottom"/>
            <w:tcBorders>
              <w:top w:val="single" w:sz="8" w:color="0000EE"/>
            </w:tcBorders>
            <w:gridSpan w:val="8"/>
          </w:tcPr>
          <w:p>
            <w:pPr>
              <w:spacing w:after="0"/>
              <w:rPr>
                <w:sz w:val="24"/>
                <w:szCs w:val="24"/>
                <w:color w:val="auto"/>
              </w:rPr>
            </w:pPr>
          </w:p>
        </w:tc>
        <w:tc>
          <w:tcPr>
            <w:tcW w:w="6560" w:type="dxa"/>
            <w:vAlign w:val="bottom"/>
            <w:gridSpan w:val="17"/>
          </w:tcPr>
          <w:p>
            <w:pPr>
              <w:spacing w:after="0"/>
              <w:rPr>
                <w:sz w:val="24"/>
                <w:szCs w:val="24"/>
                <w:color w:val="auto"/>
              </w:rPr>
            </w:pPr>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37</w:t>
            </w:r>
          </w:p>
        </w:tc>
        <w:tc>
          <w:tcPr>
            <w:tcW w:w="0" w:type="dxa"/>
            <w:vAlign w:val="bottom"/>
          </w:tcPr>
          <w:p>
            <w:pPr>
              <w:spacing w:after="0"/>
              <w:rPr>
                <w:sz w:val="1"/>
                <w:szCs w:val="1"/>
                <w:color w:val="auto"/>
              </w:rPr>
            </w:pPr>
          </w:p>
        </w:tc>
      </w:tr>
      <w:tr>
        <w:trPr>
          <w:trHeight w:val="277"/>
        </w:trPr>
        <w:tc>
          <w:tcPr>
            <w:tcW w:w="1100" w:type="dxa"/>
            <w:vAlign w:val="bottom"/>
          </w:tcPr>
          <w:p>
            <w:pPr>
              <w:ind w:left="100"/>
              <w:spacing w:after="0"/>
              <w:rPr>
                <w:sz w:val="20"/>
                <w:szCs w:val="20"/>
                <w:color w:val="auto"/>
              </w:rPr>
            </w:pPr>
            <w:r>
              <w:rPr>
                <w:rFonts w:ascii="Arial" w:cs="Arial" w:eastAsia="Arial" w:hAnsi="Arial"/>
                <w:sz w:val="14"/>
                <w:szCs w:val="14"/>
                <w:b w:val="1"/>
                <w:bCs w:val="1"/>
                <w:color w:val="auto"/>
              </w:rPr>
              <w:t>Item 3.</w:t>
            </w:r>
          </w:p>
        </w:tc>
        <w:tc>
          <w:tcPr>
            <w:tcW w:w="1080" w:type="dxa"/>
            <w:vAlign w:val="bottom"/>
            <w:tcBorders>
              <w:bottom w:val="single" w:sz="8" w:color="0000EE"/>
            </w:tcBorders>
            <w:gridSpan w:val="6"/>
          </w:tcPr>
          <w:p>
            <w:pPr>
              <w:spacing w:after="0"/>
              <w:rPr>
                <w:rFonts w:ascii="Arial" w:cs="Arial" w:eastAsia="Arial" w:hAnsi="Arial"/>
                <w:sz w:val="14"/>
                <w:szCs w:val="14"/>
                <w:color w:val="0000EE"/>
                <w:w w:val="91"/>
              </w:rPr>
            </w:pPr>
            <w:hyperlink w:anchor="page37">
              <w:r>
                <w:rPr>
                  <w:rFonts w:ascii="Arial" w:cs="Arial" w:eastAsia="Arial" w:hAnsi="Arial"/>
                  <w:sz w:val="14"/>
                  <w:szCs w:val="14"/>
                  <w:color w:val="0000EE"/>
                  <w:w w:val="91"/>
                </w:rPr>
                <w:t>Legal Proceedings</w:t>
              </w:r>
            </w:hyperlink>
          </w:p>
        </w:tc>
        <w:tc>
          <w:tcPr>
            <w:tcW w:w="7120" w:type="dxa"/>
            <w:vAlign w:val="bottom"/>
            <w:gridSpan w:val="21"/>
          </w:tcPr>
          <w:p>
            <w:pPr>
              <w:spacing w:after="0"/>
              <w:rPr>
                <w:sz w:val="24"/>
                <w:szCs w:val="24"/>
                <w:color w:val="auto"/>
              </w:rPr>
            </w:pPr>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37</w:t>
            </w:r>
          </w:p>
        </w:tc>
        <w:tc>
          <w:tcPr>
            <w:tcW w:w="0" w:type="dxa"/>
            <w:vAlign w:val="bottom"/>
          </w:tcPr>
          <w:p>
            <w:pPr>
              <w:spacing w:after="0"/>
              <w:rPr>
                <w:sz w:val="1"/>
                <w:szCs w:val="1"/>
                <w:color w:val="auto"/>
              </w:rPr>
            </w:pPr>
          </w:p>
        </w:tc>
      </w:tr>
      <w:tr>
        <w:trPr>
          <w:trHeight w:val="277"/>
        </w:trPr>
        <w:tc>
          <w:tcPr>
            <w:tcW w:w="1100" w:type="dxa"/>
            <w:vAlign w:val="bottom"/>
          </w:tcPr>
          <w:p>
            <w:pPr>
              <w:ind w:left="100"/>
              <w:spacing w:after="0"/>
              <w:rPr>
                <w:sz w:val="20"/>
                <w:szCs w:val="20"/>
                <w:color w:val="auto"/>
              </w:rPr>
            </w:pPr>
            <w:r>
              <w:rPr>
                <w:rFonts w:ascii="Arial" w:cs="Arial" w:eastAsia="Arial" w:hAnsi="Arial"/>
                <w:sz w:val="14"/>
                <w:szCs w:val="14"/>
                <w:b w:val="1"/>
                <w:bCs w:val="1"/>
                <w:color w:val="auto"/>
              </w:rPr>
              <w:t>Item 4.</w:t>
            </w:r>
          </w:p>
        </w:tc>
        <w:tc>
          <w:tcPr>
            <w:tcW w:w="8200" w:type="dxa"/>
            <w:vAlign w:val="bottom"/>
            <w:gridSpan w:val="27"/>
          </w:tcPr>
          <w:p>
            <w:pPr>
              <w:spacing w:after="0"/>
              <w:rPr>
                <w:rFonts w:ascii="Arial" w:cs="Arial" w:eastAsia="Arial" w:hAnsi="Arial"/>
                <w:sz w:val="14"/>
                <w:szCs w:val="14"/>
                <w:color w:val="0000EE"/>
              </w:rPr>
            </w:pPr>
            <w:hyperlink w:anchor="page37">
              <w:r>
                <w:rPr>
                  <w:rFonts w:ascii="Arial" w:cs="Arial" w:eastAsia="Arial" w:hAnsi="Arial"/>
                  <w:sz w:val="14"/>
                  <w:szCs w:val="14"/>
                  <w:color w:val="0000EE"/>
                </w:rPr>
                <w:t>Mine Safety Disclosures</w:t>
              </w:r>
            </w:hyperlink>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37</w:t>
            </w:r>
          </w:p>
        </w:tc>
        <w:tc>
          <w:tcPr>
            <w:tcW w:w="0" w:type="dxa"/>
            <w:vAlign w:val="bottom"/>
          </w:tcPr>
          <w:p>
            <w:pPr>
              <w:spacing w:after="0"/>
              <w:rPr>
                <w:sz w:val="1"/>
                <w:szCs w:val="1"/>
                <w:color w:val="auto"/>
              </w:rPr>
            </w:pPr>
          </w:p>
        </w:tc>
      </w:tr>
      <w:tr>
        <w:trPr>
          <w:trHeight w:val="277"/>
        </w:trPr>
        <w:tc>
          <w:tcPr>
            <w:tcW w:w="110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40" w:type="dxa"/>
            <w:vAlign w:val="bottom"/>
            <w:gridSpan w:val="10"/>
          </w:tcPr>
          <w:p>
            <w:pPr>
              <w:jc w:val="center"/>
              <w:ind w:right="3420"/>
              <w:spacing w:after="0"/>
              <w:rPr>
                <w:rFonts w:ascii="Arial" w:cs="Arial" w:eastAsia="Arial" w:hAnsi="Arial"/>
                <w:sz w:val="14"/>
                <w:szCs w:val="14"/>
                <w:b w:val="1"/>
                <w:bCs w:val="1"/>
                <w:color w:val="0000EE"/>
              </w:rPr>
            </w:pPr>
            <w:hyperlink w:anchor="page38">
              <w:r>
                <w:rPr>
                  <w:rFonts w:ascii="Arial" w:cs="Arial" w:eastAsia="Arial" w:hAnsi="Arial"/>
                  <w:sz w:val="14"/>
                  <w:szCs w:val="14"/>
                  <w:b w:val="1"/>
                  <w:bCs w:val="1"/>
                  <w:color w:val="0000EE"/>
                </w:rPr>
                <w:t>PART II</w:t>
              </w:r>
            </w:hyperlink>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Item 5.</w:t>
            </w:r>
          </w:p>
        </w:tc>
        <w:tc>
          <w:tcPr>
            <w:tcW w:w="6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38</w:t>
            </w:r>
          </w:p>
        </w:tc>
        <w:tc>
          <w:tcPr>
            <w:tcW w:w="0" w:type="dxa"/>
            <w:vAlign w:val="bottom"/>
          </w:tcPr>
          <w:p>
            <w:pPr>
              <w:spacing w:after="0" w:line="20" w:lineRule="exact"/>
              <w:rPr>
                <w:sz w:val="1"/>
                <w:szCs w:val="1"/>
                <w:color w:val="auto"/>
              </w:rPr>
            </w:pPr>
          </w:p>
        </w:tc>
      </w:tr>
      <w:tr>
        <w:trPr>
          <w:trHeight w:val="277"/>
        </w:trPr>
        <w:tc>
          <w:tcPr>
            <w:tcW w:w="1100" w:type="dxa"/>
            <w:vAlign w:val="bottom"/>
            <w:vMerge w:val="continue"/>
          </w:tcPr>
          <w:p>
            <w:pPr>
              <w:spacing w:after="0"/>
              <w:rPr>
                <w:sz w:val="24"/>
                <w:szCs w:val="24"/>
                <w:color w:val="auto"/>
              </w:rPr>
            </w:pPr>
          </w:p>
        </w:tc>
        <w:tc>
          <w:tcPr>
            <w:tcW w:w="6500" w:type="dxa"/>
            <w:vAlign w:val="bottom"/>
            <w:tcBorders>
              <w:bottom w:val="single" w:sz="8" w:color="0000EE"/>
            </w:tcBorders>
            <w:gridSpan w:val="26"/>
          </w:tcPr>
          <w:p>
            <w:pPr>
              <w:spacing w:after="0"/>
              <w:rPr>
                <w:rFonts w:ascii="Arial" w:cs="Arial" w:eastAsia="Arial" w:hAnsi="Arial"/>
                <w:sz w:val="14"/>
                <w:szCs w:val="14"/>
                <w:color w:val="0000EE"/>
                <w:w w:val="93"/>
              </w:rPr>
            </w:pPr>
            <w:hyperlink w:anchor="page38">
              <w:r>
                <w:rPr>
                  <w:rFonts w:ascii="Arial" w:cs="Arial" w:eastAsia="Arial" w:hAnsi="Arial"/>
                  <w:sz w:val="14"/>
                  <w:szCs w:val="14"/>
                  <w:color w:val="0000EE"/>
                  <w:w w:val="93"/>
                </w:rPr>
                <w:t>Market For Registrant’s Common Equity, Related Stockholder Matters and Issuer Purchases of Equity Securities</w:t>
              </w:r>
            </w:hyperlink>
          </w:p>
        </w:tc>
        <w:tc>
          <w:tcPr>
            <w:tcW w:w="170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100" w:type="dxa"/>
            <w:vAlign w:val="bottom"/>
          </w:tcPr>
          <w:p>
            <w:pPr>
              <w:ind w:left="100"/>
              <w:spacing w:after="0"/>
              <w:rPr>
                <w:sz w:val="20"/>
                <w:szCs w:val="20"/>
                <w:color w:val="auto"/>
              </w:rPr>
            </w:pPr>
            <w:r>
              <w:rPr>
                <w:rFonts w:ascii="Arial" w:cs="Arial" w:eastAsia="Arial" w:hAnsi="Arial"/>
                <w:sz w:val="14"/>
                <w:szCs w:val="14"/>
                <w:b w:val="1"/>
                <w:bCs w:val="1"/>
                <w:color w:val="auto"/>
              </w:rPr>
              <w:t>Item 6.</w:t>
            </w:r>
          </w:p>
        </w:tc>
        <w:tc>
          <w:tcPr>
            <w:tcW w:w="1380" w:type="dxa"/>
            <w:vAlign w:val="bottom"/>
            <w:tcBorders>
              <w:bottom w:val="single" w:sz="8" w:color="0000EE"/>
            </w:tcBorders>
            <w:gridSpan w:val="7"/>
          </w:tcPr>
          <w:p>
            <w:pPr>
              <w:spacing w:after="0"/>
              <w:rPr>
                <w:rFonts w:ascii="Arial" w:cs="Arial" w:eastAsia="Arial" w:hAnsi="Arial"/>
                <w:sz w:val="14"/>
                <w:szCs w:val="14"/>
                <w:color w:val="0000EE"/>
                <w:w w:val="91"/>
              </w:rPr>
            </w:pPr>
            <w:hyperlink w:anchor="page41">
              <w:r>
                <w:rPr>
                  <w:rFonts w:ascii="Arial" w:cs="Arial" w:eastAsia="Arial" w:hAnsi="Arial"/>
                  <w:sz w:val="14"/>
                  <w:szCs w:val="14"/>
                  <w:color w:val="0000EE"/>
                  <w:w w:val="91"/>
                </w:rPr>
                <w:t>Selected Financial Data</w:t>
              </w:r>
            </w:hyperlink>
          </w:p>
        </w:tc>
        <w:tc>
          <w:tcPr>
            <w:tcW w:w="6820" w:type="dxa"/>
            <w:vAlign w:val="bottom"/>
            <w:gridSpan w:val="20"/>
          </w:tcPr>
          <w:p>
            <w:pPr>
              <w:spacing w:after="0"/>
              <w:rPr>
                <w:sz w:val="24"/>
                <w:szCs w:val="24"/>
                <w:color w:val="auto"/>
              </w:rPr>
            </w:pPr>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41</w:t>
            </w:r>
          </w:p>
        </w:tc>
        <w:tc>
          <w:tcPr>
            <w:tcW w:w="0" w:type="dxa"/>
            <w:vAlign w:val="bottom"/>
          </w:tcPr>
          <w:p>
            <w:pPr>
              <w:spacing w:after="0"/>
              <w:rPr>
                <w:sz w:val="1"/>
                <w:szCs w:val="1"/>
                <w:color w:val="auto"/>
              </w:rPr>
            </w:pPr>
          </w:p>
        </w:tc>
      </w:tr>
      <w:tr>
        <w:trPr>
          <w:trHeight w:val="277"/>
        </w:trPr>
        <w:tc>
          <w:tcPr>
            <w:tcW w:w="1100" w:type="dxa"/>
            <w:vAlign w:val="bottom"/>
          </w:tcPr>
          <w:p>
            <w:pPr>
              <w:ind w:left="100"/>
              <w:spacing w:after="0"/>
              <w:rPr>
                <w:sz w:val="20"/>
                <w:szCs w:val="20"/>
                <w:color w:val="auto"/>
              </w:rPr>
            </w:pPr>
            <w:r>
              <w:rPr>
                <w:rFonts w:ascii="Arial" w:cs="Arial" w:eastAsia="Arial" w:hAnsi="Arial"/>
                <w:sz w:val="14"/>
                <w:szCs w:val="14"/>
                <w:b w:val="1"/>
                <w:bCs w:val="1"/>
                <w:color w:val="auto"/>
              </w:rPr>
              <w:t>Item 7.</w:t>
            </w:r>
          </w:p>
        </w:tc>
        <w:tc>
          <w:tcPr>
            <w:tcW w:w="5180" w:type="dxa"/>
            <w:vAlign w:val="bottom"/>
            <w:tcBorders>
              <w:bottom w:val="single" w:sz="8" w:color="0000EE"/>
            </w:tcBorders>
            <w:gridSpan w:val="24"/>
          </w:tcPr>
          <w:p>
            <w:pPr>
              <w:spacing w:after="0"/>
              <w:rPr>
                <w:rFonts w:ascii="Arial" w:cs="Arial" w:eastAsia="Arial" w:hAnsi="Arial"/>
                <w:sz w:val="14"/>
                <w:szCs w:val="14"/>
                <w:color w:val="0000EE"/>
                <w:w w:val="93"/>
              </w:rPr>
            </w:pPr>
            <w:hyperlink w:anchor="page42">
              <w:r>
                <w:rPr>
                  <w:rFonts w:ascii="Arial" w:cs="Arial" w:eastAsia="Arial" w:hAnsi="Arial"/>
                  <w:sz w:val="14"/>
                  <w:szCs w:val="14"/>
                  <w:color w:val="0000EE"/>
                  <w:w w:val="93"/>
                </w:rPr>
                <w:t>Management’s Discussion and Analysis of Financial Condition and Results of Operations</w:t>
              </w:r>
            </w:hyperlink>
          </w:p>
        </w:tc>
        <w:tc>
          <w:tcPr>
            <w:tcW w:w="3020" w:type="dxa"/>
            <w:vAlign w:val="bottom"/>
            <w:gridSpan w:val="3"/>
          </w:tcPr>
          <w:p>
            <w:pPr>
              <w:spacing w:after="0"/>
              <w:rPr>
                <w:sz w:val="24"/>
                <w:szCs w:val="24"/>
                <w:color w:val="auto"/>
              </w:rPr>
            </w:pPr>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42</w:t>
            </w:r>
          </w:p>
        </w:tc>
        <w:tc>
          <w:tcPr>
            <w:tcW w:w="0" w:type="dxa"/>
            <w:vAlign w:val="bottom"/>
          </w:tcPr>
          <w:p>
            <w:pPr>
              <w:spacing w:after="0"/>
              <w:rPr>
                <w:sz w:val="1"/>
                <w:szCs w:val="1"/>
                <w:color w:val="auto"/>
              </w:rPr>
            </w:pPr>
          </w:p>
        </w:tc>
      </w:tr>
      <w:tr>
        <w:trPr>
          <w:trHeight w:val="277"/>
        </w:trPr>
        <w:tc>
          <w:tcPr>
            <w:tcW w:w="1100" w:type="dxa"/>
            <w:vAlign w:val="bottom"/>
          </w:tcPr>
          <w:p>
            <w:pPr>
              <w:ind w:left="100"/>
              <w:spacing w:after="0"/>
              <w:rPr>
                <w:sz w:val="20"/>
                <w:szCs w:val="20"/>
                <w:color w:val="auto"/>
              </w:rPr>
            </w:pPr>
            <w:r>
              <w:rPr>
                <w:rFonts w:ascii="Arial" w:cs="Arial" w:eastAsia="Arial" w:hAnsi="Arial"/>
                <w:sz w:val="14"/>
                <w:szCs w:val="14"/>
                <w:b w:val="1"/>
                <w:bCs w:val="1"/>
                <w:color w:val="auto"/>
              </w:rPr>
              <w:t>Item 7A.</w:t>
            </w:r>
          </w:p>
        </w:tc>
        <w:tc>
          <w:tcPr>
            <w:tcW w:w="3500" w:type="dxa"/>
            <w:vAlign w:val="bottom"/>
            <w:tcBorders>
              <w:bottom w:val="single" w:sz="8" w:color="0000EE"/>
            </w:tcBorders>
            <w:gridSpan w:val="15"/>
          </w:tcPr>
          <w:p>
            <w:pPr>
              <w:spacing w:after="0"/>
              <w:rPr>
                <w:rFonts w:ascii="Arial" w:cs="Arial" w:eastAsia="Arial" w:hAnsi="Arial"/>
                <w:sz w:val="14"/>
                <w:szCs w:val="14"/>
                <w:color w:val="0000EE"/>
                <w:w w:val="94"/>
              </w:rPr>
            </w:pPr>
            <w:hyperlink w:anchor="page54">
              <w:r>
                <w:rPr>
                  <w:rFonts w:ascii="Arial" w:cs="Arial" w:eastAsia="Arial" w:hAnsi="Arial"/>
                  <w:sz w:val="14"/>
                  <w:szCs w:val="14"/>
                  <w:color w:val="0000EE"/>
                  <w:w w:val="94"/>
                </w:rPr>
                <w:t>Quantitative and Qualitative Disclosures About Market Risk</w:t>
              </w:r>
            </w:hyperlink>
          </w:p>
        </w:tc>
        <w:tc>
          <w:tcPr>
            <w:tcW w:w="4700" w:type="dxa"/>
            <w:vAlign w:val="bottom"/>
            <w:gridSpan w:val="12"/>
          </w:tcPr>
          <w:p>
            <w:pPr>
              <w:spacing w:after="0"/>
              <w:rPr>
                <w:sz w:val="24"/>
                <w:szCs w:val="24"/>
                <w:color w:val="auto"/>
              </w:rPr>
            </w:pPr>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54</w:t>
            </w:r>
          </w:p>
        </w:tc>
        <w:tc>
          <w:tcPr>
            <w:tcW w:w="0" w:type="dxa"/>
            <w:vAlign w:val="bottom"/>
          </w:tcPr>
          <w:p>
            <w:pPr>
              <w:spacing w:after="0"/>
              <w:rPr>
                <w:sz w:val="1"/>
                <w:szCs w:val="1"/>
                <w:color w:val="auto"/>
              </w:rPr>
            </w:pPr>
          </w:p>
        </w:tc>
      </w:tr>
      <w:tr>
        <w:trPr>
          <w:trHeight w:val="277"/>
        </w:trPr>
        <w:tc>
          <w:tcPr>
            <w:tcW w:w="1100" w:type="dxa"/>
            <w:vAlign w:val="bottom"/>
          </w:tcPr>
          <w:p>
            <w:pPr>
              <w:ind w:left="100"/>
              <w:spacing w:after="0"/>
              <w:rPr>
                <w:sz w:val="20"/>
                <w:szCs w:val="20"/>
                <w:color w:val="auto"/>
              </w:rPr>
            </w:pPr>
            <w:r>
              <w:rPr>
                <w:rFonts w:ascii="Arial" w:cs="Arial" w:eastAsia="Arial" w:hAnsi="Arial"/>
                <w:sz w:val="14"/>
                <w:szCs w:val="14"/>
                <w:b w:val="1"/>
                <w:bCs w:val="1"/>
                <w:color w:val="auto"/>
              </w:rPr>
              <w:t>Item 8.</w:t>
            </w:r>
          </w:p>
        </w:tc>
        <w:tc>
          <w:tcPr>
            <w:tcW w:w="8200" w:type="dxa"/>
            <w:vAlign w:val="bottom"/>
            <w:gridSpan w:val="27"/>
          </w:tcPr>
          <w:p>
            <w:pPr>
              <w:spacing w:after="0"/>
              <w:rPr>
                <w:rFonts w:ascii="Arial" w:cs="Arial" w:eastAsia="Arial" w:hAnsi="Arial"/>
                <w:sz w:val="14"/>
                <w:szCs w:val="14"/>
                <w:color w:val="0000EE"/>
              </w:rPr>
            </w:pPr>
            <w:hyperlink w:anchor="page55">
              <w:r>
                <w:rPr>
                  <w:rFonts w:ascii="Arial" w:cs="Arial" w:eastAsia="Arial" w:hAnsi="Arial"/>
                  <w:sz w:val="14"/>
                  <w:szCs w:val="14"/>
                  <w:color w:val="0000EE"/>
                </w:rPr>
                <w:t>Consolidated Financial Statements and Supplementary Data</w:t>
              </w:r>
            </w:hyperlink>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55</w:t>
            </w:r>
          </w:p>
        </w:tc>
        <w:tc>
          <w:tcPr>
            <w:tcW w:w="0" w:type="dxa"/>
            <w:vAlign w:val="bottom"/>
          </w:tcPr>
          <w:p>
            <w:pPr>
              <w:spacing w:after="0"/>
              <w:rPr>
                <w:sz w:val="1"/>
                <w:szCs w:val="1"/>
                <w:color w:val="auto"/>
              </w:rPr>
            </w:pPr>
          </w:p>
        </w:tc>
      </w:tr>
      <w:tr>
        <w:trPr>
          <w:trHeight w:val="20"/>
        </w:trPr>
        <w:tc>
          <w:tcPr>
            <w:tcW w:w="11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Item 9.</w:t>
            </w:r>
          </w:p>
        </w:tc>
        <w:tc>
          <w:tcPr>
            <w:tcW w:w="62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9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87</w:t>
            </w:r>
          </w:p>
        </w:tc>
        <w:tc>
          <w:tcPr>
            <w:tcW w:w="0" w:type="dxa"/>
            <w:vAlign w:val="bottom"/>
          </w:tcPr>
          <w:p>
            <w:pPr>
              <w:spacing w:after="0" w:line="20" w:lineRule="exact"/>
              <w:rPr>
                <w:sz w:val="1"/>
                <w:szCs w:val="1"/>
                <w:color w:val="auto"/>
              </w:rPr>
            </w:pPr>
          </w:p>
        </w:tc>
      </w:tr>
      <w:tr>
        <w:trPr>
          <w:trHeight w:val="277"/>
        </w:trPr>
        <w:tc>
          <w:tcPr>
            <w:tcW w:w="1100" w:type="dxa"/>
            <w:vAlign w:val="bottom"/>
            <w:vMerge w:val="continue"/>
          </w:tcPr>
          <w:p>
            <w:pPr>
              <w:spacing w:after="0"/>
              <w:rPr>
                <w:sz w:val="24"/>
                <w:szCs w:val="24"/>
                <w:color w:val="auto"/>
              </w:rPr>
            </w:pPr>
          </w:p>
        </w:tc>
        <w:tc>
          <w:tcPr>
            <w:tcW w:w="8200" w:type="dxa"/>
            <w:vAlign w:val="bottom"/>
            <w:gridSpan w:val="27"/>
          </w:tcPr>
          <w:p>
            <w:pPr>
              <w:spacing w:after="0"/>
              <w:rPr>
                <w:rFonts w:ascii="Arial" w:cs="Arial" w:eastAsia="Arial" w:hAnsi="Arial"/>
                <w:sz w:val="14"/>
                <w:szCs w:val="14"/>
                <w:color w:val="0000EE"/>
              </w:rPr>
            </w:pPr>
            <w:hyperlink w:anchor="page87">
              <w:r>
                <w:rPr>
                  <w:rFonts w:ascii="Arial" w:cs="Arial" w:eastAsia="Arial" w:hAnsi="Arial"/>
                  <w:sz w:val="14"/>
                  <w:szCs w:val="14"/>
                  <w:color w:val="0000EE"/>
                </w:rPr>
                <w:t>Changes in and Disagreements with Accountants on Accounting and Financial Disclosure</w:t>
              </w:r>
            </w:hyperlink>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100" w:type="dxa"/>
            <w:vAlign w:val="bottom"/>
          </w:tcPr>
          <w:p>
            <w:pPr>
              <w:ind w:left="100"/>
              <w:spacing w:after="0"/>
              <w:rPr>
                <w:sz w:val="20"/>
                <w:szCs w:val="20"/>
                <w:color w:val="auto"/>
              </w:rPr>
            </w:pPr>
            <w:r>
              <w:rPr>
                <w:rFonts w:ascii="Arial" w:cs="Arial" w:eastAsia="Arial" w:hAnsi="Arial"/>
                <w:sz w:val="14"/>
                <w:szCs w:val="14"/>
                <w:b w:val="1"/>
                <w:bCs w:val="1"/>
                <w:color w:val="auto"/>
              </w:rPr>
              <w:t>Item 9A.</w:t>
            </w:r>
          </w:p>
        </w:tc>
        <w:tc>
          <w:tcPr>
            <w:tcW w:w="5180" w:type="dxa"/>
            <w:vAlign w:val="bottom"/>
            <w:tcBorders>
              <w:top w:val="single" w:sz="8" w:color="0000EE"/>
            </w:tcBorders>
            <w:gridSpan w:val="24"/>
          </w:tcPr>
          <w:p>
            <w:pPr>
              <w:spacing w:after="0"/>
              <w:rPr>
                <w:rFonts w:ascii="Arial" w:cs="Arial" w:eastAsia="Arial" w:hAnsi="Arial"/>
                <w:sz w:val="14"/>
                <w:szCs w:val="14"/>
                <w:color w:val="0000EE"/>
              </w:rPr>
            </w:pPr>
            <w:hyperlink w:anchor="page87">
              <w:r>
                <w:rPr>
                  <w:rFonts w:ascii="Arial" w:cs="Arial" w:eastAsia="Arial" w:hAnsi="Arial"/>
                  <w:sz w:val="14"/>
                  <w:szCs w:val="14"/>
                  <w:color w:val="0000EE"/>
                </w:rPr>
                <w:t>Controls and Procedures</w:t>
              </w:r>
            </w:hyperlink>
          </w:p>
        </w:tc>
        <w:tc>
          <w:tcPr>
            <w:tcW w:w="3020" w:type="dxa"/>
            <w:vAlign w:val="bottom"/>
            <w:gridSpan w:val="3"/>
          </w:tcPr>
          <w:p>
            <w:pPr>
              <w:spacing w:after="0"/>
              <w:rPr>
                <w:sz w:val="24"/>
                <w:szCs w:val="24"/>
                <w:color w:val="auto"/>
              </w:rPr>
            </w:pPr>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87</w:t>
            </w:r>
          </w:p>
        </w:tc>
        <w:tc>
          <w:tcPr>
            <w:tcW w:w="0" w:type="dxa"/>
            <w:vAlign w:val="bottom"/>
          </w:tcPr>
          <w:p>
            <w:pPr>
              <w:spacing w:after="0"/>
              <w:rPr>
                <w:sz w:val="1"/>
                <w:szCs w:val="1"/>
                <w:color w:val="auto"/>
              </w:rPr>
            </w:pPr>
          </w:p>
        </w:tc>
      </w:tr>
      <w:tr>
        <w:trPr>
          <w:trHeight w:val="277"/>
        </w:trPr>
        <w:tc>
          <w:tcPr>
            <w:tcW w:w="1100" w:type="dxa"/>
            <w:vAlign w:val="bottom"/>
          </w:tcPr>
          <w:p>
            <w:pPr>
              <w:ind w:left="100"/>
              <w:spacing w:after="0"/>
              <w:rPr>
                <w:sz w:val="20"/>
                <w:szCs w:val="20"/>
                <w:color w:val="auto"/>
              </w:rPr>
            </w:pPr>
            <w:r>
              <w:rPr>
                <w:rFonts w:ascii="Arial" w:cs="Arial" w:eastAsia="Arial" w:hAnsi="Arial"/>
                <w:sz w:val="14"/>
                <w:szCs w:val="14"/>
                <w:b w:val="1"/>
                <w:bCs w:val="1"/>
                <w:color w:val="auto"/>
              </w:rPr>
              <w:t>Item 9B.</w:t>
            </w:r>
          </w:p>
        </w:tc>
        <w:tc>
          <w:tcPr>
            <w:tcW w:w="1420" w:type="dxa"/>
            <w:vAlign w:val="bottom"/>
            <w:tcBorders>
              <w:top w:val="single" w:sz="8" w:color="0000EE"/>
            </w:tcBorders>
            <w:gridSpan w:val="8"/>
          </w:tcPr>
          <w:p>
            <w:pPr>
              <w:spacing w:after="0"/>
              <w:rPr>
                <w:rFonts w:ascii="Arial" w:cs="Arial" w:eastAsia="Arial" w:hAnsi="Arial"/>
                <w:sz w:val="14"/>
                <w:szCs w:val="14"/>
                <w:color w:val="0000EE"/>
              </w:rPr>
            </w:pPr>
            <w:hyperlink w:anchor="page87">
              <w:r>
                <w:rPr>
                  <w:rFonts w:ascii="Arial" w:cs="Arial" w:eastAsia="Arial" w:hAnsi="Arial"/>
                  <w:sz w:val="14"/>
                  <w:szCs w:val="14"/>
                  <w:color w:val="0000EE"/>
                </w:rPr>
                <w:t>Other Information</w:t>
              </w:r>
            </w:hyperlink>
          </w:p>
        </w:tc>
        <w:tc>
          <w:tcPr>
            <w:tcW w:w="6780" w:type="dxa"/>
            <w:vAlign w:val="bottom"/>
            <w:gridSpan w:val="19"/>
          </w:tcPr>
          <w:p>
            <w:pPr>
              <w:spacing w:after="0"/>
              <w:rPr>
                <w:sz w:val="24"/>
                <w:szCs w:val="24"/>
                <w:color w:val="auto"/>
              </w:rPr>
            </w:pPr>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87</w:t>
            </w:r>
          </w:p>
        </w:tc>
        <w:tc>
          <w:tcPr>
            <w:tcW w:w="0" w:type="dxa"/>
            <w:vAlign w:val="bottom"/>
          </w:tcPr>
          <w:p>
            <w:pPr>
              <w:spacing w:after="0"/>
              <w:rPr>
                <w:sz w:val="1"/>
                <w:szCs w:val="1"/>
                <w:color w:val="auto"/>
              </w:rPr>
            </w:pPr>
          </w:p>
        </w:tc>
      </w:tr>
      <w:tr>
        <w:trPr>
          <w:trHeight w:val="277"/>
        </w:trPr>
        <w:tc>
          <w:tcPr>
            <w:tcW w:w="110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Borders>
              <w:bottom w:val="single" w:sz="8" w:color="0000EE"/>
            </w:tcBorders>
            <w:gridSpan w:val="7"/>
          </w:tcPr>
          <w:p>
            <w:pPr>
              <w:jc w:val="center"/>
              <w:spacing w:after="0"/>
              <w:rPr>
                <w:rFonts w:ascii="Arial" w:cs="Arial" w:eastAsia="Arial" w:hAnsi="Arial"/>
                <w:sz w:val="14"/>
                <w:szCs w:val="14"/>
                <w:b w:val="1"/>
                <w:bCs w:val="1"/>
                <w:color w:val="0000EE"/>
              </w:rPr>
            </w:pPr>
            <w:hyperlink w:anchor="page88">
              <w:r>
                <w:rPr>
                  <w:rFonts w:ascii="Arial" w:cs="Arial" w:eastAsia="Arial" w:hAnsi="Arial"/>
                  <w:sz w:val="14"/>
                  <w:szCs w:val="14"/>
                  <w:b w:val="1"/>
                  <w:bCs w:val="1"/>
                  <w:color w:val="0000EE"/>
                </w:rPr>
                <w:t>PART III</w:t>
              </w:r>
            </w:hyperlink>
          </w:p>
        </w:tc>
        <w:tc>
          <w:tcPr>
            <w:tcW w:w="3380" w:type="dxa"/>
            <w:vAlign w:val="bottom"/>
            <w:gridSpan w:val="4"/>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100" w:type="dxa"/>
            <w:vAlign w:val="bottom"/>
          </w:tcPr>
          <w:p>
            <w:pPr>
              <w:ind w:left="100"/>
              <w:spacing w:after="0"/>
              <w:rPr>
                <w:sz w:val="20"/>
                <w:szCs w:val="20"/>
                <w:color w:val="auto"/>
              </w:rPr>
            </w:pPr>
            <w:r>
              <w:rPr>
                <w:rFonts w:ascii="Arial" w:cs="Arial" w:eastAsia="Arial" w:hAnsi="Arial"/>
                <w:sz w:val="14"/>
                <w:szCs w:val="14"/>
                <w:b w:val="1"/>
                <w:bCs w:val="1"/>
                <w:color w:val="auto"/>
              </w:rPr>
              <w:t>Item 10.</w:t>
            </w:r>
          </w:p>
        </w:tc>
        <w:tc>
          <w:tcPr>
            <w:tcW w:w="8200" w:type="dxa"/>
            <w:vAlign w:val="bottom"/>
            <w:gridSpan w:val="27"/>
          </w:tcPr>
          <w:p>
            <w:pPr>
              <w:spacing w:after="0"/>
              <w:rPr>
                <w:rFonts w:ascii="Arial" w:cs="Arial" w:eastAsia="Arial" w:hAnsi="Arial"/>
                <w:sz w:val="14"/>
                <w:szCs w:val="14"/>
                <w:color w:val="0000EE"/>
              </w:rPr>
            </w:pPr>
            <w:hyperlink w:anchor="page88">
              <w:r>
                <w:rPr>
                  <w:rFonts w:ascii="Arial" w:cs="Arial" w:eastAsia="Arial" w:hAnsi="Arial"/>
                  <w:sz w:val="14"/>
                  <w:szCs w:val="14"/>
                  <w:color w:val="0000EE"/>
                </w:rPr>
                <w:t>Directors, Executive Officers and Corporate Governance</w:t>
              </w:r>
            </w:hyperlink>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88</w:t>
            </w:r>
          </w:p>
        </w:tc>
        <w:tc>
          <w:tcPr>
            <w:tcW w:w="0" w:type="dxa"/>
            <w:vAlign w:val="bottom"/>
          </w:tcPr>
          <w:p>
            <w:pPr>
              <w:spacing w:after="0"/>
              <w:rPr>
                <w:sz w:val="1"/>
                <w:szCs w:val="1"/>
                <w:color w:val="auto"/>
              </w:rPr>
            </w:pPr>
          </w:p>
        </w:tc>
      </w:tr>
      <w:tr>
        <w:trPr>
          <w:trHeight w:val="277"/>
        </w:trPr>
        <w:tc>
          <w:tcPr>
            <w:tcW w:w="1100" w:type="dxa"/>
            <w:vAlign w:val="bottom"/>
          </w:tcPr>
          <w:p>
            <w:pPr>
              <w:ind w:left="100"/>
              <w:spacing w:after="0"/>
              <w:rPr>
                <w:sz w:val="20"/>
                <w:szCs w:val="20"/>
                <w:color w:val="auto"/>
              </w:rPr>
            </w:pPr>
            <w:r>
              <w:rPr>
                <w:rFonts w:ascii="Arial" w:cs="Arial" w:eastAsia="Arial" w:hAnsi="Arial"/>
                <w:sz w:val="14"/>
                <w:szCs w:val="14"/>
                <w:b w:val="1"/>
                <w:bCs w:val="1"/>
                <w:color w:val="auto"/>
              </w:rPr>
              <w:t>Item 11.</w:t>
            </w:r>
          </w:p>
        </w:tc>
        <w:tc>
          <w:tcPr>
            <w:tcW w:w="1460" w:type="dxa"/>
            <w:vAlign w:val="bottom"/>
            <w:tcBorders>
              <w:top w:val="single" w:sz="8" w:color="0000EE"/>
              <w:bottom w:val="single" w:sz="8" w:color="0000EE"/>
            </w:tcBorders>
            <w:gridSpan w:val="9"/>
          </w:tcPr>
          <w:p>
            <w:pPr>
              <w:spacing w:after="0"/>
              <w:rPr>
                <w:rFonts w:ascii="Arial" w:cs="Arial" w:eastAsia="Arial" w:hAnsi="Arial"/>
                <w:sz w:val="14"/>
                <w:szCs w:val="14"/>
                <w:color w:val="0000EE"/>
                <w:w w:val="92"/>
              </w:rPr>
            </w:pPr>
            <w:hyperlink w:anchor="page88">
              <w:r>
                <w:rPr>
                  <w:rFonts w:ascii="Arial" w:cs="Arial" w:eastAsia="Arial" w:hAnsi="Arial"/>
                  <w:sz w:val="14"/>
                  <w:szCs w:val="14"/>
                  <w:color w:val="0000EE"/>
                  <w:w w:val="92"/>
                </w:rPr>
                <w:t>Executive Compensation</w:t>
              </w:r>
            </w:hyperlink>
          </w:p>
        </w:tc>
        <w:tc>
          <w:tcPr>
            <w:tcW w:w="1820" w:type="dxa"/>
            <w:vAlign w:val="bottom"/>
            <w:tcBorders>
              <w:top w:val="single" w:sz="8" w:color="0000EE"/>
            </w:tcBorders>
            <w:gridSpan w:val="4"/>
          </w:tcPr>
          <w:p>
            <w:pPr>
              <w:spacing w:after="0"/>
              <w:rPr>
                <w:sz w:val="24"/>
                <w:szCs w:val="24"/>
                <w:color w:val="auto"/>
              </w:rPr>
            </w:pPr>
          </w:p>
        </w:tc>
        <w:tc>
          <w:tcPr>
            <w:tcW w:w="4920" w:type="dxa"/>
            <w:vAlign w:val="bottom"/>
            <w:gridSpan w:val="14"/>
          </w:tcPr>
          <w:p>
            <w:pPr>
              <w:spacing w:after="0"/>
              <w:rPr>
                <w:sz w:val="24"/>
                <w:szCs w:val="24"/>
                <w:color w:val="auto"/>
              </w:rPr>
            </w:pPr>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88</w:t>
            </w:r>
          </w:p>
        </w:tc>
        <w:tc>
          <w:tcPr>
            <w:tcW w:w="0" w:type="dxa"/>
            <w:vAlign w:val="bottom"/>
          </w:tcPr>
          <w:p>
            <w:pPr>
              <w:spacing w:after="0"/>
              <w:rPr>
                <w:sz w:val="1"/>
                <w:szCs w:val="1"/>
                <w:color w:val="auto"/>
              </w:rPr>
            </w:pPr>
          </w:p>
        </w:tc>
      </w:tr>
      <w:tr>
        <w:trPr>
          <w:trHeight w:val="277"/>
        </w:trPr>
        <w:tc>
          <w:tcPr>
            <w:tcW w:w="1100" w:type="dxa"/>
            <w:vAlign w:val="bottom"/>
          </w:tcPr>
          <w:p>
            <w:pPr>
              <w:ind w:left="100"/>
              <w:spacing w:after="0"/>
              <w:rPr>
                <w:sz w:val="20"/>
                <w:szCs w:val="20"/>
                <w:color w:val="auto"/>
              </w:rPr>
            </w:pPr>
            <w:r>
              <w:rPr>
                <w:rFonts w:ascii="Arial" w:cs="Arial" w:eastAsia="Arial" w:hAnsi="Arial"/>
                <w:sz w:val="14"/>
                <w:szCs w:val="14"/>
                <w:b w:val="1"/>
                <w:bCs w:val="1"/>
                <w:color w:val="auto"/>
              </w:rPr>
              <w:t>Item 12.</w:t>
            </w:r>
          </w:p>
        </w:tc>
        <w:tc>
          <w:tcPr>
            <w:tcW w:w="5840" w:type="dxa"/>
            <w:vAlign w:val="bottom"/>
            <w:tcBorders>
              <w:bottom w:val="single" w:sz="8" w:color="0000EE"/>
            </w:tcBorders>
            <w:gridSpan w:val="25"/>
          </w:tcPr>
          <w:p>
            <w:pPr>
              <w:spacing w:after="0"/>
              <w:rPr>
                <w:rFonts w:ascii="Arial" w:cs="Arial" w:eastAsia="Arial" w:hAnsi="Arial"/>
                <w:sz w:val="14"/>
                <w:szCs w:val="14"/>
                <w:color w:val="0000EE"/>
                <w:w w:val="93"/>
              </w:rPr>
            </w:pPr>
            <w:hyperlink w:anchor="page88">
              <w:r>
                <w:rPr>
                  <w:rFonts w:ascii="Arial" w:cs="Arial" w:eastAsia="Arial" w:hAnsi="Arial"/>
                  <w:sz w:val="14"/>
                  <w:szCs w:val="14"/>
                  <w:color w:val="0000EE"/>
                  <w:w w:val="93"/>
                </w:rPr>
                <w:t>Security Ownership of Certain Beneficial Owners and Management and Related Stockholder Matters</w:t>
              </w:r>
            </w:hyperlink>
          </w:p>
        </w:tc>
        <w:tc>
          <w:tcPr>
            <w:tcW w:w="2360" w:type="dxa"/>
            <w:vAlign w:val="bottom"/>
            <w:gridSpan w:val="2"/>
          </w:tcPr>
          <w:p>
            <w:pPr>
              <w:spacing w:after="0"/>
              <w:rPr>
                <w:sz w:val="24"/>
                <w:szCs w:val="24"/>
                <w:color w:val="auto"/>
              </w:rPr>
            </w:pPr>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88</w:t>
            </w:r>
          </w:p>
        </w:tc>
        <w:tc>
          <w:tcPr>
            <w:tcW w:w="0" w:type="dxa"/>
            <w:vAlign w:val="bottom"/>
          </w:tcPr>
          <w:p>
            <w:pPr>
              <w:spacing w:after="0"/>
              <w:rPr>
                <w:sz w:val="1"/>
                <w:szCs w:val="1"/>
                <w:color w:val="auto"/>
              </w:rPr>
            </w:pPr>
          </w:p>
        </w:tc>
      </w:tr>
      <w:tr>
        <w:trPr>
          <w:trHeight w:val="277"/>
        </w:trPr>
        <w:tc>
          <w:tcPr>
            <w:tcW w:w="1100" w:type="dxa"/>
            <w:vAlign w:val="bottom"/>
          </w:tcPr>
          <w:p>
            <w:pPr>
              <w:ind w:left="100"/>
              <w:spacing w:after="0"/>
              <w:rPr>
                <w:sz w:val="20"/>
                <w:szCs w:val="20"/>
                <w:color w:val="auto"/>
              </w:rPr>
            </w:pPr>
            <w:r>
              <w:rPr>
                <w:rFonts w:ascii="Arial" w:cs="Arial" w:eastAsia="Arial" w:hAnsi="Arial"/>
                <w:sz w:val="14"/>
                <w:szCs w:val="14"/>
                <w:b w:val="1"/>
                <w:bCs w:val="1"/>
                <w:color w:val="auto"/>
              </w:rPr>
              <w:t>Item 13.</w:t>
            </w:r>
          </w:p>
        </w:tc>
        <w:tc>
          <w:tcPr>
            <w:tcW w:w="8200" w:type="dxa"/>
            <w:vAlign w:val="bottom"/>
            <w:gridSpan w:val="27"/>
          </w:tcPr>
          <w:p>
            <w:pPr>
              <w:spacing w:after="0"/>
              <w:rPr>
                <w:rFonts w:ascii="Arial" w:cs="Arial" w:eastAsia="Arial" w:hAnsi="Arial"/>
                <w:sz w:val="14"/>
                <w:szCs w:val="14"/>
                <w:color w:val="0000EE"/>
              </w:rPr>
            </w:pPr>
            <w:hyperlink w:anchor="page88">
              <w:r>
                <w:rPr>
                  <w:rFonts w:ascii="Arial" w:cs="Arial" w:eastAsia="Arial" w:hAnsi="Arial"/>
                  <w:sz w:val="14"/>
                  <w:szCs w:val="14"/>
                  <w:color w:val="0000EE"/>
                </w:rPr>
                <w:t>Certain Relationships and Related Transactions, and Director Independence</w:t>
              </w:r>
            </w:hyperlink>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88</w:t>
            </w:r>
          </w:p>
        </w:tc>
        <w:tc>
          <w:tcPr>
            <w:tcW w:w="0" w:type="dxa"/>
            <w:vAlign w:val="bottom"/>
          </w:tcPr>
          <w:p>
            <w:pPr>
              <w:spacing w:after="0"/>
              <w:rPr>
                <w:sz w:val="1"/>
                <w:szCs w:val="1"/>
                <w:color w:val="auto"/>
              </w:rPr>
            </w:pPr>
          </w:p>
        </w:tc>
      </w:tr>
      <w:tr>
        <w:trPr>
          <w:trHeight w:val="277"/>
        </w:trPr>
        <w:tc>
          <w:tcPr>
            <w:tcW w:w="1100" w:type="dxa"/>
            <w:vAlign w:val="bottom"/>
          </w:tcPr>
          <w:p>
            <w:pPr>
              <w:ind w:left="100"/>
              <w:spacing w:after="0"/>
              <w:rPr>
                <w:sz w:val="20"/>
                <w:szCs w:val="20"/>
                <w:color w:val="auto"/>
              </w:rPr>
            </w:pPr>
            <w:r>
              <w:rPr>
                <w:rFonts w:ascii="Arial" w:cs="Arial" w:eastAsia="Arial" w:hAnsi="Arial"/>
                <w:sz w:val="14"/>
                <w:szCs w:val="14"/>
                <w:b w:val="1"/>
                <w:bCs w:val="1"/>
                <w:color w:val="auto"/>
              </w:rPr>
              <w:t>Item 14.</w:t>
            </w:r>
          </w:p>
        </w:tc>
        <w:tc>
          <w:tcPr>
            <w:tcW w:w="4360" w:type="dxa"/>
            <w:vAlign w:val="bottom"/>
            <w:tcBorders>
              <w:top w:val="single" w:sz="8" w:color="0000EE"/>
            </w:tcBorders>
            <w:gridSpan w:val="19"/>
          </w:tcPr>
          <w:p>
            <w:pPr>
              <w:spacing w:after="0"/>
              <w:rPr>
                <w:rFonts w:ascii="Arial" w:cs="Arial" w:eastAsia="Arial" w:hAnsi="Arial"/>
                <w:sz w:val="14"/>
                <w:szCs w:val="14"/>
                <w:color w:val="0000EE"/>
              </w:rPr>
            </w:pPr>
            <w:hyperlink w:anchor="page88">
              <w:r>
                <w:rPr>
                  <w:rFonts w:ascii="Arial" w:cs="Arial" w:eastAsia="Arial" w:hAnsi="Arial"/>
                  <w:sz w:val="14"/>
                  <w:szCs w:val="14"/>
                  <w:color w:val="0000EE"/>
                </w:rPr>
                <w:t>Principal Accountant Fees and Services</w:t>
              </w:r>
            </w:hyperlink>
          </w:p>
        </w:tc>
        <w:tc>
          <w:tcPr>
            <w:tcW w:w="3840" w:type="dxa"/>
            <w:vAlign w:val="bottom"/>
            <w:gridSpan w:val="8"/>
          </w:tcPr>
          <w:p>
            <w:pPr>
              <w:spacing w:after="0"/>
              <w:rPr>
                <w:sz w:val="24"/>
                <w:szCs w:val="24"/>
                <w:color w:val="auto"/>
              </w:rPr>
            </w:pPr>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88</w:t>
            </w:r>
          </w:p>
        </w:tc>
        <w:tc>
          <w:tcPr>
            <w:tcW w:w="0" w:type="dxa"/>
            <w:vAlign w:val="bottom"/>
          </w:tcPr>
          <w:p>
            <w:pPr>
              <w:spacing w:after="0"/>
              <w:rPr>
                <w:sz w:val="1"/>
                <w:szCs w:val="1"/>
                <w:color w:val="auto"/>
              </w:rPr>
            </w:pPr>
          </w:p>
        </w:tc>
      </w:tr>
      <w:tr>
        <w:trPr>
          <w:trHeight w:val="277"/>
        </w:trPr>
        <w:tc>
          <w:tcPr>
            <w:tcW w:w="110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40" w:type="dxa"/>
            <w:vAlign w:val="bottom"/>
            <w:gridSpan w:val="10"/>
          </w:tcPr>
          <w:p>
            <w:pPr>
              <w:jc w:val="center"/>
              <w:ind w:right="3380"/>
              <w:spacing w:after="0"/>
              <w:rPr>
                <w:rFonts w:ascii="Arial" w:cs="Arial" w:eastAsia="Arial" w:hAnsi="Arial"/>
                <w:sz w:val="14"/>
                <w:szCs w:val="14"/>
                <w:b w:val="1"/>
                <w:bCs w:val="1"/>
                <w:color w:val="0000EE"/>
              </w:rPr>
            </w:pPr>
            <w:hyperlink w:anchor="page89">
              <w:r>
                <w:rPr>
                  <w:rFonts w:ascii="Arial" w:cs="Arial" w:eastAsia="Arial" w:hAnsi="Arial"/>
                  <w:sz w:val="14"/>
                  <w:szCs w:val="14"/>
                  <w:b w:val="1"/>
                  <w:bCs w:val="1"/>
                  <w:color w:val="0000EE"/>
                </w:rPr>
                <w:t>PART IV</w:t>
              </w:r>
            </w:hyperlink>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100" w:type="dxa"/>
            <w:vAlign w:val="bottom"/>
          </w:tcPr>
          <w:p>
            <w:pPr>
              <w:ind w:left="100"/>
              <w:spacing w:after="0"/>
              <w:rPr>
                <w:sz w:val="20"/>
                <w:szCs w:val="20"/>
                <w:color w:val="auto"/>
              </w:rPr>
            </w:pPr>
            <w:r>
              <w:rPr>
                <w:rFonts w:ascii="Arial" w:cs="Arial" w:eastAsia="Arial" w:hAnsi="Arial"/>
                <w:sz w:val="14"/>
                <w:szCs w:val="14"/>
                <w:b w:val="1"/>
                <w:bCs w:val="1"/>
                <w:color w:val="auto"/>
              </w:rPr>
              <w:t>Item 15.</w:t>
            </w:r>
          </w:p>
        </w:tc>
        <w:tc>
          <w:tcPr>
            <w:tcW w:w="2540" w:type="dxa"/>
            <w:vAlign w:val="bottom"/>
            <w:tcBorders>
              <w:bottom w:val="single" w:sz="8" w:color="0000EE"/>
            </w:tcBorders>
            <w:gridSpan w:val="12"/>
          </w:tcPr>
          <w:p>
            <w:pPr>
              <w:spacing w:after="0"/>
              <w:rPr>
                <w:rFonts w:ascii="Arial" w:cs="Arial" w:eastAsia="Arial" w:hAnsi="Arial"/>
                <w:sz w:val="14"/>
                <w:szCs w:val="14"/>
                <w:color w:val="0000EE"/>
                <w:w w:val="92"/>
              </w:rPr>
            </w:pPr>
            <w:hyperlink w:anchor="page89">
              <w:r>
                <w:rPr>
                  <w:rFonts w:ascii="Arial" w:cs="Arial" w:eastAsia="Arial" w:hAnsi="Arial"/>
                  <w:sz w:val="14"/>
                  <w:szCs w:val="14"/>
                  <w:color w:val="0000EE"/>
                  <w:w w:val="92"/>
                </w:rPr>
                <w:t>Exhibits and Financial Statement Schedules</w:t>
              </w:r>
            </w:hyperlink>
          </w:p>
        </w:tc>
        <w:tc>
          <w:tcPr>
            <w:tcW w:w="1720" w:type="dxa"/>
            <w:vAlign w:val="bottom"/>
            <w:gridSpan w:val="5"/>
          </w:tcPr>
          <w:p>
            <w:pPr>
              <w:spacing w:after="0"/>
              <w:rPr>
                <w:sz w:val="24"/>
                <w:szCs w:val="24"/>
                <w:color w:val="auto"/>
              </w:rPr>
            </w:pPr>
          </w:p>
        </w:tc>
        <w:tc>
          <w:tcPr>
            <w:tcW w:w="540" w:type="dxa"/>
            <w:vAlign w:val="bottom"/>
            <w:tcBorders>
              <w:top w:val="single" w:sz="8" w:color="0000EE"/>
            </w:tcBorders>
            <w:gridSpan w:val="5"/>
          </w:tcPr>
          <w:p>
            <w:pPr>
              <w:spacing w:after="0"/>
              <w:rPr>
                <w:sz w:val="24"/>
                <w:szCs w:val="24"/>
                <w:color w:val="auto"/>
              </w:rPr>
            </w:pPr>
          </w:p>
        </w:tc>
        <w:tc>
          <w:tcPr>
            <w:tcW w:w="3400" w:type="dxa"/>
            <w:vAlign w:val="bottom"/>
            <w:gridSpan w:val="5"/>
          </w:tcPr>
          <w:p>
            <w:pPr>
              <w:spacing w:after="0"/>
              <w:rPr>
                <w:sz w:val="24"/>
                <w:szCs w:val="24"/>
                <w:color w:val="auto"/>
              </w:rPr>
            </w:pPr>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89</w:t>
            </w:r>
          </w:p>
        </w:tc>
        <w:tc>
          <w:tcPr>
            <w:tcW w:w="0" w:type="dxa"/>
            <w:vAlign w:val="bottom"/>
          </w:tcPr>
          <w:p>
            <w:pPr>
              <w:spacing w:after="0"/>
              <w:rPr>
                <w:sz w:val="1"/>
                <w:szCs w:val="1"/>
                <w:color w:val="auto"/>
              </w:rPr>
            </w:pPr>
          </w:p>
        </w:tc>
      </w:tr>
      <w:tr>
        <w:trPr>
          <w:trHeight w:val="277"/>
        </w:trPr>
        <w:tc>
          <w:tcPr>
            <w:tcW w:w="1100" w:type="dxa"/>
            <w:vAlign w:val="bottom"/>
          </w:tcPr>
          <w:p>
            <w:pPr>
              <w:spacing w:after="0"/>
              <w:rPr>
                <w:sz w:val="24"/>
                <w:szCs w:val="24"/>
                <w:color w:val="auto"/>
              </w:rPr>
            </w:pPr>
          </w:p>
        </w:tc>
        <w:tc>
          <w:tcPr>
            <w:tcW w:w="8200" w:type="dxa"/>
            <w:vAlign w:val="bottom"/>
            <w:gridSpan w:val="27"/>
          </w:tcPr>
          <w:p>
            <w:pPr>
              <w:spacing w:after="0"/>
              <w:rPr>
                <w:rFonts w:ascii="Arial" w:cs="Arial" w:eastAsia="Arial" w:hAnsi="Arial"/>
                <w:sz w:val="14"/>
                <w:szCs w:val="14"/>
                <w:color w:val="0000EE"/>
              </w:rPr>
            </w:pPr>
            <w:hyperlink w:anchor="page91">
              <w:r>
                <w:rPr>
                  <w:rFonts w:ascii="Arial" w:cs="Arial" w:eastAsia="Arial" w:hAnsi="Arial"/>
                  <w:sz w:val="14"/>
                  <w:szCs w:val="14"/>
                  <w:color w:val="0000EE"/>
                </w:rPr>
                <w:t>Signatures</w:t>
              </w:r>
            </w:hyperlink>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91</w:t>
            </w:r>
          </w:p>
        </w:tc>
        <w:tc>
          <w:tcPr>
            <w:tcW w:w="0" w:type="dxa"/>
            <w:vAlign w:val="bottom"/>
          </w:tcPr>
          <w:p>
            <w:pPr>
              <w:spacing w:after="0"/>
              <w:rPr>
                <w:sz w:val="1"/>
                <w:szCs w:val="1"/>
                <w:color w:val="auto"/>
              </w:rPr>
            </w:pPr>
          </w:p>
        </w:tc>
      </w:tr>
      <w:tr>
        <w:trPr>
          <w:trHeight w:val="1161"/>
        </w:trPr>
        <w:tc>
          <w:tcPr>
            <w:tcW w:w="1100" w:type="dxa"/>
            <w:vAlign w:val="bottom"/>
            <w:tcBorders>
              <w:bottom w:val="single" w:sz="8" w:color="9A9A9A"/>
            </w:tcBorders>
          </w:tcPr>
          <w:p>
            <w:pPr>
              <w:spacing w:after="0"/>
              <w:rPr>
                <w:sz w:val="24"/>
                <w:szCs w:val="24"/>
                <w:color w:val="auto"/>
              </w:rPr>
            </w:pPr>
          </w:p>
        </w:tc>
        <w:tc>
          <w:tcPr>
            <w:tcW w:w="52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4"/>
          <w:szCs w:val="14"/>
          <w:b w:val="1"/>
          <w:bCs w:val="1"/>
          <w:color w:val="auto"/>
        </w:rPr>
        <w:t>PART I</w:t>
      </w:r>
    </w:p>
    <w:p>
      <w:pPr>
        <w:spacing w:after="0" w:line="140" w:lineRule="exact"/>
        <w:rPr>
          <w:sz w:val="20"/>
          <w:szCs w:val="20"/>
          <w:color w:val="auto"/>
        </w:rPr>
      </w:pPr>
    </w:p>
    <w:p>
      <w:pPr>
        <w:ind w:firstLine="438"/>
        <w:spacing w:after="0" w:line="241" w:lineRule="auto"/>
        <w:rPr>
          <w:sz w:val="20"/>
          <w:szCs w:val="20"/>
          <w:color w:val="auto"/>
        </w:rPr>
      </w:pPr>
      <w:r>
        <w:rPr>
          <w:rFonts w:ascii="Arial" w:cs="Arial" w:eastAsia="Arial" w:hAnsi="Arial"/>
          <w:sz w:val="13"/>
          <w:szCs w:val="13"/>
          <w:b w:val="1"/>
          <w:bCs w:val="1"/>
          <w:i w:val="1"/>
          <w:iCs w:val="1"/>
          <w:color w:val="auto"/>
        </w:rPr>
        <w:t>In this annual report on Form 10-K, or the Report, except where context suggest otherwise, the terms “Company,” “we,” “our” or “us” refer to PennantPark Investment Corporation and its consolidated subsidiaries; “PennantPark Investment” refers to only PennantPark Investment Corporation; “our SBIC Funds” refers collectively to our consolidated subsidiaries, PennantPark SBIC LP, or SBIC I, and its general partner, PennantPark SBIC GP, LLC, prior to dissolution and PennantPark SBIC II LP, or SBIC II, and its general partner, PennantPark SBIC GP II, LLC; “Funding I” refers to PennantPark Investment Funding I, LLC, a wholly-owned subsidiary prior to deconsolidation on July 31, 2020; “Taxable Subsidiaries” refers to PNNT CI (Galls) Prime Investment Holdings, LLC, and PNNT Investment Holdings, LLC; “PSLF” refers to PennantPark Senior Loan Fund, LLC, an unconsolidated joint venture; “PennantPark Investment Advisers” or “Investment Adviser” refers to PennantPark Investment Advisers, LLC; “PennantPark Investment Administration” or “Administrator” refers to PennantPark Investment Administration, LLC; “SBA” refers to the Small Business Administration; “SBIC” refers to a small business investment company under the Small Business Investment Act of 1958, as amended, or the “1958 Act”; “BNP Credit Facility” refers to our revolving credit facility with BNP Paribas prior to deconsolidation of Funding I; “Truist Credit Facility” or “Credit Facility” refers to our multi-currency, senior secured revolving credit facility with Truist Bank (formerly SunTrust Bank), as amended and restated; “Credit Facilities” refers to the BNP Credit Facility and Truist Credit Facility collectively; “2019 Notes” refers to our 4.5% notes due 2019, which we redeemed in March 2019; “2024 Notes” refers to our 5.5% Notes due 2024; “2026 Notes” refers to our 4.50% Notes due 2026; “BDC” refers to a business development company under the Investment Company Act of 1940, as amended, or the “1940 Act”; “SBCAA” refers to the Small Business Credit Availability Act; “Code” refers to the Internal Revenue Code of 1986, as amended; and “RIC” refers to a regulated investment company under the Code. References to our portfolio, our investments and our business include investments we make through our SBIC Funds and other consolidated subsidiaries. Some of the statements in this annual report constitute forward-looking statements, which apply to us and relate to future events, future performance or future financial condition. The forward-looking statements involve risks and uncertainties for us and actual results could differ materially from those projected in the forward-looking statements for any reason, including those factors discussed in “Risk Factors” and elsewhere in this Report.</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Summary of Risk Factors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Investing in our common stock involves a high degree of risk. Some, but not all, of the risks and uncertainties that we face are related to:</w:t>
      </w:r>
    </w:p>
    <w:p>
      <w:pPr>
        <w:spacing w:after="0" w:line="136" w:lineRule="exact"/>
        <w:rPr>
          <w:sz w:val="20"/>
          <w:szCs w:val="20"/>
          <w:color w:val="auto"/>
        </w:rPr>
      </w:pPr>
    </w:p>
    <w:p>
      <w:pPr>
        <w:ind w:left="740" w:hanging="368"/>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remain in compliance with the financial and operational covenants of our Credit Facility;</w:t>
      </w:r>
    </w:p>
    <w:p>
      <w:pPr>
        <w:spacing w:after="0" w:line="203" w:lineRule="exact"/>
        <w:rPr>
          <w:rFonts w:ascii="Arial" w:cs="Arial" w:eastAsia="Arial" w:hAnsi="Arial"/>
          <w:sz w:val="14"/>
          <w:szCs w:val="14"/>
          <w:color w:val="auto"/>
        </w:rPr>
      </w:pPr>
    </w:p>
    <w:p>
      <w:pPr>
        <w:ind w:left="740" w:hanging="368"/>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operate in a highly competitive market for investment opportunities;</w:t>
      </w:r>
    </w:p>
    <w:p>
      <w:pPr>
        <w:spacing w:after="0" w:line="203" w:lineRule="exact"/>
        <w:rPr>
          <w:rFonts w:ascii="Arial" w:cs="Arial" w:eastAsia="Arial" w:hAnsi="Arial"/>
          <w:sz w:val="14"/>
          <w:szCs w:val="14"/>
          <w:color w:val="auto"/>
        </w:rPr>
      </w:pPr>
    </w:p>
    <w:p>
      <w:pPr>
        <w:ind w:left="740" w:right="140" w:hanging="368"/>
        <w:spacing w:after="0" w:line="253" w:lineRule="auto"/>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prospects of our portfolio companies and the ability of our portfolio companies to achieve their objectives, the decline or failure of which may result in our borrowers defaulting on their payments to us;</w:t>
      </w:r>
    </w:p>
    <w:p>
      <w:pPr>
        <w:spacing w:after="0" w:line="106" w:lineRule="exact"/>
        <w:rPr>
          <w:rFonts w:ascii="Arial" w:cs="Arial" w:eastAsia="Arial" w:hAnsi="Arial"/>
          <w:sz w:val="14"/>
          <w:szCs w:val="14"/>
          <w:color w:val="auto"/>
        </w:rPr>
      </w:pPr>
    </w:p>
    <w:p>
      <w:pPr>
        <w:ind w:left="740" w:hanging="368"/>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ability of our Investment Adviser to hire and retain qualified personnel, to monitor and administer our investments and to manage our future growth effectively;</w:t>
      </w:r>
    </w:p>
    <w:p>
      <w:pPr>
        <w:spacing w:after="0" w:line="203" w:lineRule="exact"/>
        <w:rPr>
          <w:rFonts w:ascii="Arial" w:cs="Arial" w:eastAsia="Arial" w:hAnsi="Arial"/>
          <w:sz w:val="14"/>
          <w:szCs w:val="14"/>
          <w:color w:val="auto"/>
        </w:rPr>
      </w:pPr>
    </w:p>
    <w:p>
      <w:pPr>
        <w:ind w:left="740" w:hanging="368"/>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to the interest rate environment, including the phasing out of LIBOR and the uncertainties associated therewith;</w:t>
      </w:r>
    </w:p>
    <w:p>
      <w:pPr>
        <w:spacing w:after="0" w:line="203" w:lineRule="exact"/>
        <w:rPr>
          <w:rFonts w:ascii="Arial" w:cs="Arial" w:eastAsia="Arial" w:hAnsi="Arial"/>
          <w:sz w:val="14"/>
          <w:szCs w:val="14"/>
          <w:color w:val="auto"/>
        </w:rPr>
      </w:pPr>
    </w:p>
    <w:p>
      <w:pPr>
        <w:ind w:left="740" w:right="120" w:hanging="368"/>
        <w:spacing w:after="0" w:line="253" w:lineRule="auto"/>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reliance on information systems, the failure of which could result in delays or other problems with our business activities, and the susceptibility of such systems to cybersecurity threats;</w:t>
      </w:r>
    </w:p>
    <w:p>
      <w:pPr>
        <w:spacing w:after="0" w:line="106" w:lineRule="exact"/>
        <w:rPr>
          <w:rFonts w:ascii="Arial" w:cs="Arial" w:eastAsia="Arial" w:hAnsi="Arial"/>
          <w:sz w:val="14"/>
          <w:szCs w:val="14"/>
          <w:color w:val="auto"/>
        </w:rPr>
      </w:pPr>
    </w:p>
    <w:p>
      <w:pPr>
        <w:ind w:left="740" w:hanging="368"/>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replicate historical performance of other investment companies and funds with which our professionals have been affiliated;</w:t>
      </w:r>
    </w:p>
    <w:p>
      <w:pPr>
        <w:spacing w:after="0" w:line="244" w:lineRule="exact"/>
        <w:rPr>
          <w:rFonts w:ascii="Arial" w:cs="Arial" w:eastAsia="Arial" w:hAnsi="Arial"/>
          <w:sz w:val="14"/>
          <w:szCs w:val="14"/>
          <w:color w:val="auto"/>
        </w:rPr>
      </w:pPr>
    </w:p>
    <w:p>
      <w:pPr>
        <w:ind w:left="740" w:right="160" w:hanging="368"/>
        <w:spacing w:after="0" w:line="182" w:lineRule="auto"/>
        <w:tabs>
          <w:tab w:leader="none" w:pos="740" w:val="left"/>
        </w:tabs>
        <w:numPr>
          <w:ilvl w:val="0"/>
          <w:numId w:val="3"/>
        </w:numPr>
        <w:rPr>
          <w:rFonts w:ascii="Arial" w:cs="Arial" w:eastAsia="Arial" w:hAnsi="Arial"/>
          <w:sz w:val="27"/>
          <w:szCs w:val="27"/>
          <w:color w:val="auto"/>
          <w:vertAlign w:val="superscript"/>
        </w:rPr>
      </w:pPr>
      <w:r>
        <w:rPr>
          <w:rFonts w:ascii="Arial" w:cs="Arial" w:eastAsia="Arial" w:hAnsi="Arial"/>
          <w:sz w:val="14"/>
          <w:szCs w:val="14"/>
          <w:color w:val="auto"/>
        </w:rPr>
        <w:t>our ability to raise additional capital while remaining in compliance with certain annual distribution, asset coverage, asset composition and other regulatory requirements needed to maintain our status as a BDC and a RIC;</w:t>
      </w:r>
    </w:p>
    <w:p>
      <w:pPr>
        <w:spacing w:after="0" w:line="114" w:lineRule="exact"/>
        <w:rPr>
          <w:rFonts w:ascii="Arial" w:cs="Arial" w:eastAsia="Arial" w:hAnsi="Arial"/>
          <w:sz w:val="27"/>
          <w:szCs w:val="27"/>
          <w:color w:val="auto"/>
          <w:vertAlign w:val="superscript"/>
        </w:rPr>
      </w:pPr>
    </w:p>
    <w:p>
      <w:pPr>
        <w:ind w:left="740" w:hanging="368"/>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comply with applicable SBA requirements;</w:t>
      </w:r>
    </w:p>
    <w:p>
      <w:pPr>
        <w:spacing w:after="0" w:line="203" w:lineRule="exact"/>
        <w:rPr>
          <w:rFonts w:ascii="Arial" w:cs="Arial" w:eastAsia="Arial" w:hAnsi="Arial"/>
          <w:sz w:val="14"/>
          <w:szCs w:val="14"/>
          <w:color w:val="auto"/>
        </w:rPr>
      </w:pPr>
    </w:p>
    <w:p>
      <w:pPr>
        <w:ind w:left="740" w:right="40" w:hanging="368"/>
        <w:spacing w:after="0" w:line="253" w:lineRule="auto"/>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use of leverage to fund our investments, including the indebtedness resulting from our Credit Facility, 2024 Notes, 2026 Notes and SBA Debentures, and the risk that we may fail to comply with the terms governing such indebtedness or maintain certain asset coverage ratio requirements;</w:t>
      </w:r>
    </w:p>
    <w:p>
      <w:pPr>
        <w:spacing w:after="0" w:line="106" w:lineRule="exact"/>
        <w:rPr>
          <w:rFonts w:ascii="Arial" w:cs="Arial" w:eastAsia="Arial" w:hAnsi="Arial"/>
          <w:sz w:val="14"/>
          <w:szCs w:val="14"/>
          <w:color w:val="auto"/>
        </w:rPr>
      </w:pPr>
    </w:p>
    <w:p>
      <w:pPr>
        <w:ind w:left="740" w:hanging="368"/>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issuance of debt securities and/or preferred stock and the impact of such issuances on the value of our common stock or NAV;</w:t>
      </w:r>
    </w:p>
    <w:p>
      <w:pPr>
        <w:spacing w:after="0" w:line="203" w:lineRule="exact"/>
        <w:rPr>
          <w:rFonts w:ascii="Arial" w:cs="Arial" w:eastAsia="Arial" w:hAnsi="Arial"/>
          <w:sz w:val="14"/>
          <w:szCs w:val="14"/>
          <w:color w:val="auto"/>
        </w:rPr>
      </w:pPr>
    </w:p>
    <w:p>
      <w:pPr>
        <w:ind w:left="740" w:hanging="368"/>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market conditions that may make it difficult for us to refinance or extend the maturity of our existing indebtedness;</w:t>
      </w:r>
    </w:p>
    <w:p>
      <w:pPr>
        <w:spacing w:after="0" w:line="203" w:lineRule="exact"/>
        <w:rPr>
          <w:rFonts w:ascii="Arial" w:cs="Arial" w:eastAsia="Arial" w:hAnsi="Arial"/>
          <w:sz w:val="14"/>
          <w:szCs w:val="14"/>
          <w:color w:val="auto"/>
        </w:rPr>
      </w:pPr>
    </w:p>
    <w:p>
      <w:pPr>
        <w:ind w:left="740" w:hanging="368"/>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potential conflicts of interest of our Investment Adviser and Administrator;</w:t>
      </w:r>
    </w:p>
    <w:p>
      <w:pPr>
        <w:spacing w:after="0" w:line="203" w:lineRule="exact"/>
        <w:rPr>
          <w:rFonts w:ascii="Arial" w:cs="Arial" w:eastAsia="Arial" w:hAnsi="Arial"/>
          <w:sz w:val="14"/>
          <w:szCs w:val="14"/>
          <w:color w:val="auto"/>
        </w:rPr>
      </w:pPr>
    </w:p>
    <w:p>
      <w:pPr>
        <w:ind w:left="740" w:hanging="368"/>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potential dilution caused by any future issuances of subscription rights or warrants;</w:t>
      </w:r>
    </w:p>
    <w:p>
      <w:pPr>
        <w:spacing w:after="0" w:line="203" w:lineRule="exact"/>
        <w:rPr>
          <w:rFonts w:ascii="Arial" w:cs="Arial" w:eastAsia="Arial" w:hAnsi="Arial"/>
          <w:sz w:val="14"/>
          <w:szCs w:val="14"/>
          <w:color w:val="auto"/>
        </w:rPr>
      </w:pPr>
    </w:p>
    <w:p>
      <w:pPr>
        <w:ind w:left="740" w:right="480" w:hanging="368"/>
        <w:spacing w:after="0" w:line="253" w:lineRule="auto"/>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impact of recent financial reform legislation, uncertainty about presidential administration initiatives and any future laws and regulations on our business and our portfolio companies;</w:t>
      </w:r>
    </w:p>
    <w:p>
      <w:pPr>
        <w:spacing w:after="0" w:line="106" w:lineRule="exact"/>
        <w:rPr>
          <w:rFonts w:ascii="Arial" w:cs="Arial" w:eastAsia="Arial" w:hAnsi="Arial"/>
          <w:sz w:val="14"/>
          <w:szCs w:val="14"/>
          <w:color w:val="auto"/>
        </w:rPr>
      </w:pPr>
    </w:p>
    <w:p>
      <w:pPr>
        <w:ind w:left="740" w:right="300" w:hanging="368"/>
        <w:spacing w:after="0" w:line="253" w:lineRule="auto"/>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investment objectives and decisions advanced by the board of directors or the Investment Adviser which are not subject to stockholder approval and potential activism by our shareholders;</w:t>
      </w:r>
    </w:p>
    <w:p>
      <w:pPr>
        <w:spacing w:after="0" w:line="106" w:lineRule="exact"/>
        <w:rPr>
          <w:rFonts w:ascii="Arial" w:cs="Arial" w:eastAsia="Arial" w:hAnsi="Arial"/>
          <w:sz w:val="14"/>
          <w:szCs w:val="14"/>
          <w:color w:val="auto"/>
        </w:rPr>
      </w:pPr>
    </w:p>
    <w:p>
      <w:pPr>
        <w:ind w:left="740" w:hanging="368"/>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illiquid nature of the assets in which we invest and our valuation procedures with respect to such assets;</w:t>
      </w:r>
    </w:p>
    <w:p>
      <w:pPr>
        <w:spacing w:after="0" w:line="203" w:lineRule="exact"/>
        <w:rPr>
          <w:rFonts w:ascii="Arial" w:cs="Arial" w:eastAsia="Arial" w:hAnsi="Arial"/>
          <w:sz w:val="14"/>
          <w:szCs w:val="14"/>
          <w:color w:val="auto"/>
        </w:rPr>
      </w:pPr>
    </w:p>
    <w:p>
      <w:pPr>
        <w:ind w:left="740" w:right="120" w:hanging="368"/>
        <w:spacing w:after="0" w:line="253" w:lineRule="auto"/>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making investments in first lien secured debt, second lien secured debt, subordinated debt and the equity of certain portfolio companies, and the risks of making such investments in privately held middle-market companies;</w:t>
      </w:r>
    </w:p>
    <w:p>
      <w:pPr>
        <w:spacing w:after="0" w:line="106" w:lineRule="exact"/>
        <w:rPr>
          <w:rFonts w:ascii="Arial" w:cs="Arial" w:eastAsia="Arial" w:hAnsi="Arial"/>
          <w:sz w:val="14"/>
          <w:szCs w:val="14"/>
          <w:color w:val="auto"/>
        </w:rPr>
      </w:pPr>
    </w:p>
    <w:p>
      <w:pPr>
        <w:ind w:left="740" w:right="480" w:hanging="368"/>
        <w:spacing w:after="0" w:line="253" w:lineRule="auto"/>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Investment Adviser’s incentive to make speculative investments to earn a greater incentive fee and, in some instances, our obligation to pay incentive compensation to our Investment Adviser even after we incur a loss;</w:t>
      </w:r>
    </w:p>
    <w:p>
      <w:pPr>
        <w:spacing w:after="0" w:line="106" w:lineRule="exact"/>
        <w:rPr>
          <w:rFonts w:ascii="Arial" w:cs="Arial" w:eastAsia="Arial" w:hAnsi="Arial"/>
          <w:sz w:val="14"/>
          <w:szCs w:val="14"/>
          <w:color w:val="auto"/>
        </w:rPr>
      </w:pPr>
    </w:p>
    <w:p>
      <w:pPr>
        <w:ind w:left="740" w:hanging="368"/>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potential dilution of our common stock which may result from issuances of our common stock below the then current NAV per share;</w:t>
      </w:r>
    </w:p>
    <w:p>
      <w:pPr>
        <w:spacing w:after="0" w:line="203" w:lineRule="exact"/>
        <w:rPr>
          <w:rFonts w:ascii="Arial" w:cs="Arial" w:eastAsia="Arial" w:hAnsi="Arial"/>
          <w:sz w:val="14"/>
          <w:szCs w:val="14"/>
          <w:color w:val="auto"/>
        </w:rPr>
      </w:pPr>
    </w:p>
    <w:p>
      <w:pPr>
        <w:ind w:left="740" w:right="420" w:hanging="368"/>
        <w:spacing w:after="0" w:line="253" w:lineRule="auto"/>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allocation of net proceeds from offering in ways which you may not agree and our inability to invest proceeds from offerings in new investment opportunities, which could negatively affect our financial performance;</w:t>
      </w:r>
    </w:p>
    <w:p>
      <w:pPr>
        <w:spacing w:after="0" w:line="106" w:lineRule="exact"/>
        <w:rPr>
          <w:rFonts w:ascii="Arial" w:cs="Arial" w:eastAsia="Arial" w:hAnsi="Arial"/>
          <w:sz w:val="14"/>
          <w:szCs w:val="14"/>
          <w:color w:val="auto"/>
        </w:rPr>
      </w:pPr>
    </w:p>
    <w:p>
      <w:pPr>
        <w:ind w:left="740" w:hanging="368"/>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tax liabilities resulting from reinvestments in our common stock or from receiving our stock as a distribution;</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 w:name="page4"/>
    <w:bookmarkEnd w:id="3"/>
    <w:p>
      <w:pPr>
        <w:ind w:left="740" w:hanging="368"/>
        <w:spacing w:after="0"/>
        <w:tabs>
          <w:tab w:leader="none" w:pos="7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measures we have taken to deter takeover attempts, which may adversely impact the price of our common stock;</w:t>
      </w:r>
    </w:p>
    <w:p>
      <w:pPr>
        <w:spacing w:after="0" w:line="203" w:lineRule="exact"/>
        <w:rPr>
          <w:rFonts w:ascii="Arial" w:cs="Arial" w:eastAsia="Arial" w:hAnsi="Arial"/>
          <w:sz w:val="14"/>
          <w:szCs w:val="14"/>
          <w:color w:val="auto"/>
        </w:rPr>
      </w:pPr>
    </w:p>
    <w:p>
      <w:pPr>
        <w:ind w:left="740" w:right="80" w:hanging="368"/>
        <w:spacing w:after="0" w:line="253" w:lineRule="auto"/>
        <w:tabs>
          <w:tab w:leader="none" w:pos="740" w:val="left"/>
        </w:tabs>
        <w:numPr>
          <w:ilvl w:val="0"/>
          <w:numId w:val="4"/>
        </w:numPr>
        <w:rPr>
          <w:rFonts w:ascii="Arial" w:cs="Arial" w:eastAsia="Arial" w:hAnsi="Arial"/>
          <w:sz w:val="14"/>
          <w:szCs w:val="14"/>
          <w:color w:val="auto"/>
        </w:rPr>
      </w:pPr>
      <w:r>
        <w:rPr>
          <w:rFonts w:ascii="Arial" w:cs="Arial" w:eastAsia="Arial" w:hAnsi="Arial"/>
          <w:sz w:val="14"/>
          <w:szCs w:val="14"/>
          <w:color w:val="auto"/>
        </w:rPr>
        <w:t>changes to political, economic or industry conditions or conditions affecting the financial and capital markets, including changes caused by the COVID-19 pandemic and Brexit, that could cause volatility or prolonged disruption of the capital markets and impact the value of our assets;</w:t>
      </w:r>
    </w:p>
    <w:p>
      <w:pPr>
        <w:spacing w:after="0" w:line="106" w:lineRule="exact"/>
        <w:rPr>
          <w:rFonts w:ascii="Arial" w:cs="Arial" w:eastAsia="Arial" w:hAnsi="Arial"/>
          <w:sz w:val="14"/>
          <w:szCs w:val="14"/>
          <w:color w:val="auto"/>
        </w:rPr>
      </w:pPr>
    </w:p>
    <w:p>
      <w:pPr>
        <w:ind w:left="740" w:hanging="368"/>
        <w:spacing w:after="0"/>
        <w:tabs>
          <w:tab w:leader="none" w:pos="7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COVID-19 pandemic and its effect on our results of operations and the operations of our portfolio companies;</w:t>
      </w:r>
    </w:p>
    <w:p>
      <w:pPr>
        <w:spacing w:after="0" w:line="203" w:lineRule="exact"/>
        <w:rPr>
          <w:rFonts w:ascii="Arial" w:cs="Arial" w:eastAsia="Arial" w:hAnsi="Arial"/>
          <w:sz w:val="14"/>
          <w:szCs w:val="14"/>
          <w:color w:val="auto"/>
        </w:rPr>
      </w:pPr>
    </w:p>
    <w:p>
      <w:pPr>
        <w:ind w:left="740" w:right="280" w:hanging="368"/>
        <w:spacing w:after="0" w:line="253" w:lineRule="auto"/>
        <w:tabs>
          <w:tab w:leader="none" w:pos="7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impact of economic sanction laws in the United States and other jurisdictions which may prohibit us and our affiliates from transacting with certain countries, individuals and companies;</w:t>
      </w:r>
    </w:p>
    <w:p>
      <w:pPr>
        <w:spacing w:after="0" w:line="106" w:lineRule="exact"/>
        <w:rPr>
          <w:rFonts w:ascii="Arial" w:cs="Arial" w:eastAsia="Arial" w:hAnsi="Arial"/>
          <w:sz w:val="14"/>
          <w:szCs w:val="14"/>
          <w:color w:val="auto"/>
        </w:rPr>
      </w:pPr>
    </w:p>
    <w:p>
      <w:pPr>
        <w:ind w:left="740" w:hanging="368"/>
        <w:spacing w:after="0"/>
        <w:tabs>
          <w:tab w:leader="none" w:pos="740" w:val="left"/>
        </w:tabs>
        <w:numPr>
          <w:ilvl w:val="0"/>
          <w:numId w:val="4"/>
        </w:numPr>
        <w:rPr>
          <w:rFonts w:ascii="Arial" w:cs="Arial" w:eastAsia="Arial" w:hAnsi="Arial"/>
          <w:sz w:val="14"/>
          <w:szCs w:val="14"/>
          <w:color w:val="auto"/>
        </w:rPr>
      </w:pPr>
      <w:r>
        <w:rPr>
          <w:rFonts w:ascii="Arial" w:cs="Arial" w:eastAsia="Arial" w:hAnsi="Arial"/>
          <w:sz w:val="14"/>
          <w:szCs w:val="14"/>
          <w:color w:val="auto"/>
        </w:rPr>
        <w:t>potential litigation, whether initiated by shareholders or other parties; and</w:t>
      </w:r>
    </w:p>
    <w:p>
      <w:pPr>
        <w:spacing w:after="0" w:line="203" w:lineRule="exact"/>
        <w:rPr>
          <w:rFonts w:ascii="Arial" w:cs="Arial" w:eastAsia="Arial" w:hAnsi="Arial"/>
          <w:sz w:val="14"/>
          <w:szCs w:val="14"/>
          <w:color w:val="auto"/>
        </w:rPr>
      </w:pPr>
    </w:p>
    <w:p>
      <w:pPr>
        <w:ind w:left="740" w:hanging="368"/>
        <w:spacing w:after="0"/>
        <w:tabs>
          <w:tab w:leader="none" w:pos="7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impact of global climate change on the operations of our portfolio companies.</w:t>
      </w:r>
    </w:p>
    <w:p>
      <w:pPr>
        <w:spacing w:after="0" w:line="204" w:lineRule="exact"/>
        <w:rPr>
          <w:sz w:val="20"/>
          <w:szCs w:val="20"/>
          <w:color w:val="auto"/>
        </w:rPr>
      </w:pPr>
    </w:p>
    <w:p>
      <w:pPr>
        <w:ind w:right="180" w:firstLine="729"/>
        <w:spacing w:after="0" w:line="290" w:lineRule="auto"/>
        <w:rPr>
          <w:sz w:val="20"/>
          <w:szCs w:val="20"/>
          <w:color w:val="auto"/>
        </w:rPr>
      </w:pPr>
      <w:r>
        <w:rPr>
          <w:rFonts w:ascii="Arial" w:cs="Arial" w:eastAsia="Arial" w:hAnsi="Arial"/>
          <w:sz w:val="13"/>
          <w:szCs w:val="13"/>
          <w:color w:val="auto"/>
        </w:rPr>
        <w:t>Additional risks and uncertainties not currently known to us or that we currently deem to be immaterial may also have a material adverse effect on our business, financial condition and/or operating results. For a more detailed discussion of the risks that you should consider prior to investing in our securities, see Item “1A. Risk Factors” below.</w:t>
      </w:r>
    </w:p>
    <w:p>
      <w:pPr>
        <w:spacing w:after="0" w:line="80"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1"/>
          <w:szCs w:val="11"/>
          <w:b w:val="1"/>
          <w:bCs w:val="1"/>
          <w:color w:val="auto"/>
        </w:rPr>
        <w:t>Business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Business of PennantPark Investment Corporation</w:t>
      </w:r>
    </w:p>
    <w:p>
      <w:pPr>
        <w:spacing w:after="0" w:line="123" w:lineRule="exact"/>
        <w:rPr>
          <w:sz w:val="20"/>
          <w:szCs w:val="20"/>
          <w:color w:val="auto"/>
        </w:rPr>
      </w:pPr>
    </w:p>
    <w:p>
      <w:pPr>
        <w:ind w:right="260" w:firstLine="438"/>
        <w:spacing w:after="0" w:line="290" w:lineRule="auto"/>
        <w:rPr>
          <w:sz w:val="20"/>
          <w:szCs w:val="20"/>
          <w:color w:val="auto"/>
        </w:rPr>
      </w:pPr>
      <w:r>
        <w:rPr>
          <w:rFonts w:ascii="Arial" w:cs="Arial" w:eastAsia="Arial" w:hAnsi="Arial"/>
          <w:sz w:val="13"/>
          <w:szCs w:val="13"/>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84" w:lineRule="exact"/>
        <w:rPr>
          <w:sz w:val="20"/>
          <w:szCs w:val="20"/>
          <w:color w:val="auto"/>
        </w:rPr>
      </w:pPr>
    </w:p>
    <w:p>
      <w:pPr>
        <w:ind w:firstLine="438"/>
        <w:spacing w:after="0" w:line="245" w:lineRule="auto"/>
        <w:rPr>
          <w:sz w:val="20"/>
          <w:szCs w:val="20"/>
          <w:color w:val="auto"/>
        </w:rPr>
      </w:pPr>
      <w:r>
        <w:rPr>
          <w:rFonts w:ascii="Arial" w:cs="Arial" w:eastAsia="Arial" w:hAnsi="Arial"/>
          <w:sz w:val="13"/>
          <w:szCs w:val="13"/>
          <w:color w:val="auto"/>
        </w:rPr>
        <w:t>We believe U.S.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6" w:lineRule="exact"/>
        <w:rPr>
          <w:sz w:val="20"/>
          <w:szCs w:val="20"/>
          <w:color w:val="auto"/>
        </w:rPr>
      </w:pPr>
    </w:p>
    <w:p>
      <w:pPr>
        <w:ind w:right="200" w:firstLine="438"/>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136" w:lineRule="exact"/>
        <w:rPr>
          <w:sz w:val="20"/>
          <w:szCs w:val="20"/>
          <w:color w:val="auto"/>
        </w:rPr>
      </w:pPr>
    </w:p>
    <w:p>
      <w:pPr>
        <w:ind w:right="120" w:firstLine="438"/>
        <w:spacing w:after="0" w:line="290" w:lineRule="auto"/>
        <w:rPr>
          <w:sz w:val="20"/>
          <w:szCs w:val="20"/>
          <w:color w:val="auto"/>
        </w:rPr>
      </w:pPr>
      <w:r>
        <w:rPr>
          <w:rFonts w:ascii="Arial" w:cs="Arial" w:eastAsia="Arial" w:hAnsi="Arial"/>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SBIC II, our wholly-owned subsidiary, was organized in Delaware as a limited partnership in July 2012. SBIC II received a license from the SBA to operate as a SBIC under</w:t>
      </w:r>
    </w:p>
    <w:p>
      <w:pPr>
        <w:spacing w:after="0"/>
        <w:rPr>
          <w:sz w:val="20"/>
          <w:szCs w:val="20"/>
          <w:color w:val="auto"/>
        </w:rPr>
      </w:pPr>
      <w:r>
        <w:rPr>
          <w:rFonts w:ascii="Arial" w:cs="Arial" w:eastAsia="Arial" w:hAnsi="Arial"/>
          <w:sz w:val="13"/>
          <w:szCs w:val="13"/>
          <w:color w:val="auto"/>
        </w:rPr>
        <w:t>Section 301(c) of the 1958 Act in 2013. SBIC II’s objectives are to generate both current income and capital appreciation through debt and equity investments generally by investing with us in</w:t>
      </w:r>
    </w:p>
    <w:p>
      <w:pPr>
        <w:spacing w:after="0"/>
        <w:rPr>
          <w:sz w:val="20"/>
          <w:szCs w:val="20"/>
          <w:color w:val="auto"/>
        </w:rPr>
      </w:pPr>
      <w:r>
        <w:rPr>
          <w:rFonts w:ascii="Arial" w:cs="Arial" w:eastAsia="Arial" w:hAnsi="Arial"/>
          <w:sz w:val="13"/>
          <w:szCs w:val="13"/>
          <w:color w:val="auto"/>
        </w:rPr>
        <w:t>SBA-eligible businesses that meet the investment selection criteria used by PennantPark Investment. During the year ended September 30, 2019, we liquidated and dissolved SBIC I.</w:t>
      </w:r>
    </w:p>
    <w:p>
      <w:pPr>
        <w:spacing w:after="0" w:line="136" w:lineRule="exact"/>
        <w:rPr>
          <w:sz w:val="20"/>
          <w:szCs w:val="20"/>
          <w:color w:val="auto"/>
        </w:rPr>
      </w:pPr>
    </w:p>
    <w:p>
      <w:pPr>
        <w:ind w:right="60" w:firstLine="438"/>
        <w:spacing w:after="0" w:line="251" w:lineRule="auto"/>
        <w:rPr>
          <w:sz w:val="20"/>
          <w:szCs w:val="20"/>
          <w:color w:val="auto"/>
        </w:rPr>
      </w:pPr>
      <w:r>
        <w:rPr>
          <w:rFonts w:ascii="Arial" w:cs="Arial" w:eastAsia="Arial" w:hAnsi="Arial"/>
          <w:sz w:val="13"/>
          <w:szCs w:val="13"/>
          <w:color w:val="auto"/>
        </w:rPr>
        <w:t>Funding I, a wholly-owned subsidiary and a special purpose entity of the Company prior to July 31, 2020, was organized in Delaware as a limited liability company in February 2019. We formed Funding I in order to establish the BNP Credit Facility. The Investment Adviser serves as the servicer to Funding I and has irrevocably directed that the management fee owed to it with respect to such services be paid to us so long as the Investment Adviser remains the servicer. This arrangement did not increase our consolidated management fee. The BNP Credit Facility allowed Funding I to borrow up to $250 million at LIBOR (or an alternative risk-free floating interest rate index) plus 260 basis points during the reinvestment period. The BNP Credit Facility was secured by all of the assets held by Funding I. Funding I is no longer a subsidiary of PennantPark Investment as result of the joint venture described below.</w:t>
      </w:r>
    </w:p>
    <w:p>
      <w:pPr>
        <w:spacing w:after="0" w:line="109" w:lineRule="exact"/>
        <w:rPr>
          <w:sz w:val="20"/>
          <w:szCs w:val="20"/>
          <w:color w:val="auto"/>
        </w:rPr>
      </w:pPr>
    </w:p>
    <w:p>
      <w:pPr>
        <w:ind w:right="240" w:firstLine="438"/>
        <w:spacing w:after="0" w:line="233" w:lineRule="auto"/>
        <w:rPr>
          <w:sz w:val="20"/>
          <w:szCs w:val="20"/>
          <w:color w:val="auto"/>
        </w:rPr>
      </w:pPr>
      <w:r>
        <w:rPr>
          <w:rFonts w:ascii="Arial" w:cs="Arial" w:eastAsia="Arial" w:hAnsi="Arial"/>
          <w:sz w:val="14"/>
          <w:szCs w:val="14"/>
          <w:color w:val="auto"/>
        </w:rPr>
        <w:t>On July 31, 2020, we and certain entities and managed accounts of the private credit investment manager of Pantheon Ventures (UK) LLP (“Pantheon”) entered into a limited liability company agreement to co-manage PSLF, a newly-formed unconsolidated joint venture. In connection with this transaction, we contributed in-kind our formerly wholly-owned subsidiary, Funding I. As a result of this transaction, Funding I became a wholly-owned subsidiary of PSLF and has been deconsolidated from our financial statements. PSLF invests primarily in middle-market and other corporate debt securities consistent with our strategy. PSLF was formed as a Delaware limited liability company.</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 Adviser and Administrator</w:t>
      </w:r>
    </w:p>
    <w:p>
      <w:pPr>
        <w:spacing w:after="0" w:line="136"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through its managed funds $13.8 billion in 585 companies with more than 195 different financial sponsors.</w:t>
      </w:r>
    </w:p>
    <w:p>
      <w:pPr>
        <w:spacing w:after="0" w:line="111"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Securities and Exchange Commission, or the SEC, and the SBA. The Administrator assists in the determination and publication of our net asset value, or NAV, oversees the preparation and filing of our tax returns, and monitors the payment of our expenses as well as the performance of administrative 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 w:name="page5"/>
    <w:bookmarkEnd w:id="4"/>
    <w:p>
      <w:pPr>
        <w:ind w:right="80"/>
        <w:spacing w:after="0" w:line="238" w:lineRule="auto"/>
        <w:rPr>
          <w:sz w:val="20"/>
          <w:szCs w:val="20"/>
          <w:color w:val="auto"/>
        </w:rPr>
      </w:pPr>
      <w:r>
        <w:rPr>
          <w:rFonts w:ascii="Arial" w:cs="Arial" w:eastAsia="Arial" w:hAnsi="Arial"/>
          <w:sz w:val="14"/>
          <w:szCs w:val="14"/>
          <w:color w:val="auto"/>
        </w:rPr>
        <w:t>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 Opportunity</w:t>
      </w:r>
    </w:p>
    <w:p>
      <w:pPr>
        <w:spacing w:after="0" w:line="136" w:lineRule="exact"/>
        <w:rPr>
          <w:sz w:val="20"/>
          <w:szCs w:val="20"/>
          <w:color w:val="auto"/>
        </w:rPr>
      </w:pPr>
    </w:p>
    <w:p>
      <w:pPr>
        <w:ind w:right="460" w:firstLine="438"/>
        <w:spacing w:after="0" w:line="253" w:lineRule="auto"/>
        <w:rPr>
          <w:sz w:val="20"/>
          <w:szCs w:val="20"/>
          <w:color w:val="auto"/>
        </w:rPr>
      </w:pPr>
      <w:r>
        <w:rPr>
          <w:rFonts w:ascii="Arial" w:cs="Arial" w:eastAsia="Arial" w:hAnsi="Arial"/>
          <w:sz w:val="14"/>
          <w:szCs w:val="14"/>
          <w:color w:val="auto"/>
        </w:rPr>
        <w:t>We believe that the limited amount of capital available to middle-market companies, coupled with the desire of these companies for flexible sources of capital, creates an attractive investment environment for us.</w:t>
      </w:r>
    </w:p>
    <w:p>
      <w:pPr>
        <w:spacing w:after="0" w:line="102" w:lineRule="exact"/>
        <w:rPr>
          <w:sz w:val="20"/>
          <w:szCs w:val="20"/>
          <w:color w:val="auto"/>
        </w:rPr>
      </w:pPr>
    </w:p>
    <w:p>
      <w:pPr>
        <w:ind w:left="920" w:hanging="359"/>
        <w:spacing w:after="0" w:line="297" w:lineRule="auto"/>
        <w:tabs>
          <w:tab w:leader="none" w:pos="920" w:val="left"/>
        </w:tabs>
        <w:numPr>
          <w:ilvl w:val="0"/>
          <w:numId w:val="5"/>
        </w:numPr>
        <w:rPr>
          <w:rFonts w:ascii="Arial" w:cs="Arial" w:eastAsia="Arial" w:hAnsi="Arial"/>
          <w:sz w:val="13"/>
          <w:szCs w:val="13"/>
          <w:color w:val="auto"/>
        </w:rPr>
      </w:pPr>
      <w:r>
        <w:rPr>
          <w:rFonts w:ascii="Arial" w:cs="Arial" w:eastAsia="Arial" w:hAnsi="Arial"/>
          <w:sz w:val="13"/>
          <w:szCs w:val="13"/>
          <w:b w:val="1"/>
          <w:bCs w:val="1"/>
          <w:color w:val="auto"/>
        </w:rPr>
        <w:t xml:space="preserve">We believe middle-market companies have faced difficulty raising debt in private markets. </w:t>
      </w:r>
      <w:r>
        <w:rPr>
          <w:rFonts w:ascii="Arial" w:cs="Arial" w:eastAsia="Arial" w:hAnsi="Arial"/>
          <w:sz w:val="13"/>
          <w:szCs w:val="13"/>
          <w:color w:val="auto"/>
        </w:rPr>
        <w:t>From time to time, banks, finance companies, hedge funds and collateralized loan</w:t>
      </w:r>
      <w:r>
        <w:rPr>
          <w:rFonts w:ascii="Arial" w:cs="Arial" w:eastAsia="Arial" w:hAnsi="Arial"/>
          <w:sz w:val="13"/>
          <w:szCs w:val="13"/>
          <w:b w:val="1"/>
          <w:bCs w:val="1"/>
          <w:color w:val="auto"/>
        </w:rPr>
        <w:t xml:space="preserve"> </w:t>
      </w:r>
      <w:r>
        <w:rPr>
          <w:rFonts w:ascii="Arial" w:cs="Arial" w:eastAsia="Arial" w:hAnsi="Arial"/>
          <w:sz w:val="13"/>
          <w:szCs w:val="13"/>
          <w:color w:val="auto"/>
        </w:rPr>
        <w:t>obligation, or CLO, funds have withdrawn, and may again withdraw, capital from the middle-market, resulting in opportunities for alternative funding sources.</w:t>
      </w:r>
    </w:p>
    <w:p>
      <w:pPr>
        <w:spacing w:after="0" w:line="75" w:lineRule="exact"/>
        <w:rPr>
          <w:rFonts w:ascii="Arial" w:cs="Arial" w:eastAsia="Arial" w:hAnsi="Arial"/>
          <w:sz w:val="13"/>
          <w:szCs w:val="13"/>
          <w:color w:val="auto"/>
        </w:rPr>
      </w:pPr>
    </w:p>
    <w:p>
      <w:pPr>
        <w:ind w:left="920" w:right="40" w:hanging="359"/>
        <w:spacing w:after="0"/>
        <w:tabs>
          <w:tab w:leader="none" w:pos="92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We believe middle-market companies have faced difficulty in raising debt through the capital markets. </w:t>
      </w:r>
      <w:r>
        <w:rPr>
          <w:rFonts w:ascii="Arial" w:cs="Arial" w:eastAsia="Arial" w:hAnsi="Arial"/>
          <w:sz w:val="14"/>
          <w:szCs w:val="14"/>
          <w:color w:val="auto"/>
        </w:rPr>
        <w:t>Many middle-market companies look to raise funds by issuing high-yield bonds and broadly syndicated loans.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111" w:lineRule="exact"/>
        <w:rPr>
          <w:rFonts w:ascii="Arial" w:cs="Arial" w:eastAsia="Arial" w:hAnsi="Arial"/>
          <w:sz w:val="14"/>
          <w:szCs w:val="14"/>
          <w:color w:val="auto"/>
        </w:rPr>
      </w:pPr>
    </w:p>
    <w:p>
      <w:pPr>
        <w:ind w:left="920" w:right="20" w:hanging="359"/>
        <w:spacing w:after="0"/>
        <w:tabs>
          <w:tab w:leader="none" w:pos="92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that credit market dislocation for middle-market companies improves the risk-reward on our investments. </w:t>
      </w:r>
      <w:r>
        <w:rPr>
          <w:rFonts w:ascii="Arial" w:cs="Arial" w:eastAsia="Arial" w:hAnsi="Arial"/>
          <w:sz w:val="14"/>
          <w:szCs w:val="14"/>
          <w:color w:val="auto"/>
        </w:rPr>
        <w:t>From time to time, market participants have reduced</w:t>
      </w:r>
      <w:r>
        <w:rPr>
          <w:rFonts w:ascii="Arial" w:cs="Arial" w:eastAsia="Arial" w:hAnsi="Arial"/>
          <w:sz w:val="14"/>
          <w:szCs w:val="14"/>
          <w:b w:val="1"/>
          <w:bCs w:val="1"/>
          <w:color w:val="auto"/>
        </w:rPr>
        <w:t xml:space="preserve"> </w:t>
      </w:r>
      <w:r>
        <w:rPr>
          <w:rFonts w:ascii="Arial" w:cs="Arial" w:eastAsia="Arial" w:hAnsi="Arial"/>
          <w:sz w:val="14"/>
          <w:szCs w:val="14"/>
          <w:color w:val="auto"/>
        </w:rPr>
        <w:t>lending to middle-market and non-investment grade borrowers. As a result, we believe there is less competition in our market, more conservative capital structures, higher yields and stronger covenants.</w:t>
      </w:r>
    </w:p>
    <w:p>
      <w:pPr>
        <w:spacing w:after="0" w:line="111" w:lineRule="exact"/>
        <w:rPr>
          <w:rFonts w:ascii="Arial" w:cs="Arial" w:eastAsia="Arial" w:hAnsi="Arial"/>
          <w:sz w:val="14"/>
          <w:szCs w:val="14"/>
          <w:color w:val="auto"/>
        </w:rPr>
      </w:pPr>
    </w:p>
    <w:p>
      <w:pPr>
        <w:ind w:left="920" w:right="140" w:hanging="359"/>
        <w:spacing w:after="0" w:line="267" w:lineRule="auto"/>
        <w:tabs>
          <w:tab w:leader="none" w:pos="920" w:val="left"/>
        </w:tabs>
        <w:numPr>
          <w:ilvl w:val="0"/>
          <w:numId w:val="5"/>
        </w:numPr>
        <w:rPr>
          <w:rFonts w:ascii="Arial" w:cs="Arial" w:eastAsia="Arial" w:hAnsi="Arial"/>
          <w:sz w:val="13"/>
          <w:szCs w:val="13"/>
          <w:color w:val="auto"/>
        </w:rPr>
      </w:pPr>
      <w:r>
        <w:rPr>
          <w:rFonts w:ascii="Arial" w:cs="Arial" w:eastAsia="Arial" w:hAnsi="Arial"/>
          <w:sz w:val="13"/>
          <w:szCs w:val="13"/>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3"/>
          <w:szCs w:val="13"/>
          <w:color w:val="auto"/>
        </w:rPr>
        <w:t>We expect that private equity firms will continue to be active investors in middle-market companies. These private equity funds generally seek to leverage their investments by combining their capital with loans provided by other sources, and we believe that we are well-positioned to partner with such equity investors.</w:t>
      </w:r>
    </w:p>
    <w:p>
      <w:pPr>
        <w:spacing w:after="0" w:line="95" w:lineRule="exact"/>
        <w:rPr>
          <w:rFonts w:ascii="Arial" w:cs="Arial" w:eastAsia="Arial" w:hAnsi="Arial"/>
          <w:sz w:val="13"/>
          <w:szCs w:val="13"/>
          <w:color w:val="auto"/>
        </w:rPr>
      </w:pPr>
    </w:p>
    <w:p>
      <w:pPr>
        <w:ind w:left="920" w:right="240" w:hanging="359"/>
        <w:spacing w:after="0" w:line="232" w:lineRule="auto"/>
        <w:tabs>
          <w:tab w:leader="none" w:pos="92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there is substantial supply of opportunities resulting from maturing loans that seek refinancing. </w:t>
      </w:r>
      <w:r>
        <w:rPr>
          <w:rFonts w:ascii="Arial" w:cs="Arial" w:eastAsia="Arial" w:hAnsi="Arial"/>
          <w:sz w:val="14"/>
          <w:szCs w:val="14"/>
          <w:color w:val="auto"/>
        </w:rPr>
        <w:t>A high volume of financings will come due in the next few</w:t>
      </w:r>
      <w:r>
        <w:rPr>
          <w:rFonts w:ascii="Arial" w:cs="Arial" w:eastAsia="Arial" w:hAnsi="Arial"/>
          <w:sz w:val="14"/>
          <w:szCs w:val="14"/>
          <w:b w:val="1"/>
          <w:bCs w:val="1"/>
          <w:color w:val="auto"/>
        </w:rPr>
        <w:t xml:space="preserve"> </w:t>
      </w:r>
      <w:r>
        <w:rPr>
          <w:rFonts w:ascii="Arial" w:cs="Arial" w:eastAsia="Arial" w:hAnsi="Arial"/>
          <w:sz w:val="14"/>
          <w:szCs w:val="14"/>
          <w:color w:val="auto"/>
        </w:rPr>
        <w:t>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Competitive Advantages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believe that we have the following competitive advantages over other capital providers to middle-market companies:</w:t>
      </w:r>
    </w:p>
    <w:p>
      <w:pPr>
        <w:spacing w:after="0" w:line="136" w:lineRule="exact"/>
        <w:rPr>
          <w:sz w:val="20"/>
          <w:szCs w:val="20"/>
          <w:color w:val="auto"/>
        </w:rPr>
      </w:pPr>
    </w:p>
    <w:p>
      <w:pPr>
        <w:ind w:left="920" w:hanging="359"/>
        <w:spacing w:after="0"/>
        <w:tabs>
          <w:tab w:leader="none" w:pos="920" w:val="left"/>
        </w:tabs>
        <w:numPr>
          <w:ilvl w:val="0"/>
          <w:numId w:val="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Experienced Management Team</w:t>
      </w:r>
    </w:p>
    <w:p>
      <w:pPr>
        <w:spacing w:after="0" w:line="136" w:lineRule="exact"/>
        <w:rPr>
          <w:sz w:val="20"/>
          <w:szCs w:val="20"/>
          <w:color w:val="auto"/>
        </w:rPr>
      </w:pPr>
    </w:p>
    <w:p>
      <w:pPr>
        <w:ind w:right="340" w:firstLine="438"/>
        <w:spacing w:after="0" w:line="233" w:lineRule="auto"/>
        <w:rPr>
          <w:sz w:val="20"/>
          <w:szCs w:val="20"/>
          <w:color w:val="auto"/>
        </w:rPr>
      </w:pPr>
      <w:r>
        <w:rPr>
          <w:rFonts w:ascii="Arial" w:cs="Arial" w:eastAsia="Arial" w:hAnsi="Arial"/>
          <w:sz w:val="14"/>
          <w:szCs w:val="14"/>
          <w:color w:val="auto"/>
        </w:rPr>
        <w:t>The senior investment professionals of our Investment Adviser have worked together for many years and average over 25 years of experience in senior lending, mezzanine lending, leveraged finance, distressed debt and private equity businesses. These senior investment professionals have been involved in originating, structuring, negotiating, managing and monitoring investments in each of these businesses across changing economic and market cycles. We believe this extensive experience and history have resulted in a strong reputation across the capital markets.</w:t>
      </w:r>
    </w:p>
    <w:p>
      <w:pPr>
        <w:spacing w:after="0" w:line="117" w:lineRule="exact"/>
        <w:rPr>
          <w:sz w:val="20"/>
          <w:szCs w:val="20"/>
          <w:color w:val="auto"/>
        </w:rPr>
      </w:pPr>
    </w:p>
    <w:p>
      <w:pPr>
        <w:ind w:right="220" w:firstLine="438"/>
        <w:spacing w:after="0" w:line="233" w:lineRule="auto"/>
        <w:rPr>
          <w:sz w:val="20"/>
          <w:szCs w:val="20"/>
          <w:color w:val="auto"/>
        </w:rPr>
      </w:pPr>
      <w:r>
        <w:rPr>
          <w:rFonts w:ascii="Arial" w:cs="Arial" w:eastAsia="Arial" w:hAnsi="Arial"/>
          <w:sz w:val="14"/>
          <w:szCs w:val="14"/>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We are able to provide value-added customized financial solutions to middle-market companies as a result of specialized due diligence, underwriting capabilities and more extensive ongoing monitoring required as lenders.</w:t>
      </w:r>
    </w:p>
    <w:p>
      <w:pPr>
        <w:spacing w:after="0" w:line="104" w:lineRule="exact"/>
        <w:rPr>
          <w:sz w:val="20"/>
          <w:szCs w:val="20"/>
          <w:color w:val="auto"/>
        </w:rPr>
      </w:pPr>
    </w:p>
    <w:p>
      <w:pPr>
        <w:ind w:left="920" w:hanging="359"/>
        <w:spacing w:after="0"/>
        <w:tabs>
          <w:tab w:leader="none" w:pos="920" w:val="left"/>
        </w:tabs>
        <w:numPr>
          <w:ilvl w:val="0"/>
          <w:numId w:val="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Disciplined Investment Approach with Strong Value Orientation</w:t>
      </w:r>
    </w:p>
    <w:p>
      <w:pPr>
        <w:spacing w:after="0" w:line="136"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We employ a disciplined approach in selecting investments that meet the long-standing, consistent value-oriented investment selection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117" w:lineRule="exact"/>
        <w:rPr>
          <w:sz w:val="20"/>
          <w:szCs w:val="20"/>
          <w:color w:val="auto"/>
        </w:rPr>
      </w:pPr>
    </w:p>
    <w:p>
      <w:pPr>
        <w:ind w:right="280" w:firstLine="438"/>
        <w:spacing w:after="0" w:line="238" w:lineRule="auto"/>
        <w:rPr>
          <w:sz w:val="20"/>
          <w:szCs w:val="20"/>
          <w:color w:val="auto"/>
        </w:rPr>
      </w:pPr>
      <w:r>
        <w:rPr>
          <w:rFonts w:ascii="Arial" w:cs="Arial" w:eastAsia="Arial" w:hAnsi="Arial"/>
          <w:sz w:val="14"/>
          <w:szCs w:val="14"/>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Selection Criteria” for more information.</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addition to engaging in extensive due diligence, our Investment Adviser seeks to reduce risk by focusing on businesses with:</w:t>
      </w:r>
    </w:p>
    <w:p>
      <w:pPr>
        <w:spacing w:after="0" w:line="123" w:lineRule="exact"/>
        <w:rPr>
          <w:sz w:val="20"/>
          <w:szCs w:val="20"/>
          <w:color w:val="auto"/>
        </w:rPr>
      </w:pPr>
    </w:p>
    <w:p>
      <w:pPr>
        <w:ind w:left="920" w:hanging="359"/>
        <w:spacing w:after="0"/>
        <w:tabs>
          <w:tab w:leader="none" w:pos="920" w:val="left"/>
        </w:tabs>
        <w:numPr>
          <w:ilvl w:val="0"/>
          <w:numId w:val="8"/>
        </w:numPr>
        <w:rPr>
          <w:rFonts w:ascii="Arial" w:cs="Arial" w:eastAsia="Arial" w:hAnsi="Arial"/>
          <w:sz w:val="14"/>
          <w:szCs w:val="14"/>
          <w:b w:val="1"/>
          <w:bCs w:val="1"/>
          <w:color w:val="auto"/>
        </w:rPr>
      </w:pPr>
      <w:r>
        <w:rPr>
          <w:rFonts w:ascii="Arial" w:cs="Arial" w:eastAsia="Arial" w:hAnsi="Arial"/>
          <w:sz w:val="14"/>
          <w:szCs w:val="14"/>
          <w:color w:val="auto"/>
        </w:rPr>
        <w:t>strong competitive positions;</w:t>
      </w:r>
    </w:p>
    <w:p>
      <w:pPr>
        <w:spacing w:after="0" w:line="298" w:lineRule="exact"/>
        <w:rPr>
          <w:rFonts w:ascii="Arial" w:cs="Arial" w:eastAsia="Arial" w:hAnsi="Arial"/>
          <w:sz w:val="14"/>
          <w:szCs w:val="14"/>
          <w:b w:val="1"/>
          <w:bCs w:val="1"/>
          <w:color w:val="auto"/>
        </w:rPr>
      </w:pPr>
    </w:p>
    <w:p>
      <w:pPr>
        <w:ind w:left="920" w:hanging="359"/>
        <w:spacing w:after="0"/>
        <w:tabs>
          <w:tab w:leader="none" w:pos="920" w:val="left"/>
        </w:tabs>
        <w:numPr>
          <w:ilvl w:val="0"/>
          <w:numId w:val="8"/>
        </w:numPr>
        <w:rPr>
          <w:rFonts w:ascii="Arial" w:cs="Arial" w:eastAsia="Arial" w:hAnsi="Arial"/>
          <w:sz w:val="14"/>
          <w:szCs w:val="14"/>
          <w:b w:val="1"/>
          <w:bCs w:val="1"/>
          <w:color w:val="auto"/>
        </w:rPr>
      </w:pPr>
      <w:r>
        <w:rPr>
          <w:rFonts w:ascii="Arial" w:cs="Arial" w:eastAsia="Arial" w:hAnsi="Arial"/>
          <w:sz w:val="14"/>
          <w:szCs w:val="14"/>
          <w:color w:val="auto"/>
        </w:rPr>
        <w:t>positive cash flow that is steady and stable;</w:t>
      </w:r>
    </w:p>
    <w:p>
      <w:pPr>
        <w:spacing w:after="0" w:line="298" w:lineRule="exact"/>
        <w:rPr>
          <w:rFonts w:ascii="Arial" w:cs="Arial" w:eastAsia="Arial" w:hAnsi="Arial"/>
          <w:sz w:val="14"/>
          <w:szCs w:val="14"/>
          <w:b w:val="1"/>
          <w:bCs w:val="1"/>
          <w:color w:val="auto"/>
        </w:rPr>
      </w:pPr>
    </w:p>
    <w:p>
      <w:pPr>
        <w:ind w:left="920" w:hanging="359"/>
        <w:spacing w:after="0"/>
        <w:tabs>
          <w:tab w:leader="none" w:pos="920" w:val="left"/>
        </w:tabs>
        <w:numPr>
          <w:ilvl w:val="0"/>
          <w:numId w:val="8"/>
        </w:numPr>
        <w:rPr>
          <w:rFonts w:ascii="Arial" w:cs="Arial" w:eastAsia="Arial" w:hAnsi="Arial"/>
          <w:sz w:val="14"/>
          <w:szCs w:val="14"/>
          <w:b w:val="1"/>
          <w:bCs w:val="1"/>
          <w:color w:val="auto"/>
        </w:rPr>
      </w:pPr>
      <w:r>
        <w:rPr>
          <w:rFonts w:ascii="Arial" w:cs="Arial" w:eastAsia="Arial" w:hAnsi="Arial"/>
          <w:sz w:val="14"/>
          <w:szCs w:val="14"/>
          <w:color w:val="auto"/>
        </w:rPr>
        <w:t>experienced management teams with strong track records;</w:t>
      </w:r>
    </w:p>
    <w:p>
      <w:pPr>
        <w:spacing w:after="0" w:line="298" w:lineRule="exact"/>
        <w:rPr>
          <w:rFonts w:ascii="Arial" w:cs="Arial" w:eastAsia="Arial" w:hAnsi="Arial"/>
          <w:sz w:val="14"/>
          <w:szCs w:val="14"/>
          <w:b w:val="1"/>
          <w:bCs w:val="1"/>
          <w:color w:val="auto"/>
        </w:rPr>
      </w:pPr>
    </w:p>
    <w:p>
      <w:pPr>
        <w:ind w:left="920" w:hanging="359"/>
        <w:spacing w:after="0"/>
        <w:tabs>
          <w:tab w:leader="none" w:pos="920" w:val="left"/>
        </w:tabs>
        <w:numPr>
          <w:ilvl w:val="0"/>
          <w:numId w:val="8"/>
        </w:numPr>
        <w:rPr>
          <w:rFonts w:ascii="Arial" w:cs="Arial" w:eastAsia="Arial" w:hAnsi="Arial"/>
          <w:sz w:val="14"/>
          <w:szCs w:val="14"/>
          <w:b w:val="1"/>
          <w:bCs w:val="1"/>
          <w:color w:val="auto"/>
        </w:rPr>
      </w:pPr>
      <w:r>
        <w:rPr>
          <w:rFonts w:ascii="Arial" w:cs="Arial" w:eastAsia="Arial" w:hAnsi="Arial"/>
          <w:sz w:val="14"/>
          <w:szCs w:val="14"/>
          <w:color w:val="auto"/>
        </w:rPr>
        <w:t>potential for growth and viable exit strategies; and</w:t>
      </w:r>
    </w:p>
    <w:p>
      <w:pPr>
        <w:spacing w:after="0" w:line="298" w:lineRule="exact"/>
        <w:rPr>
          <w:rFonts w:ascii="Arial" w:cs="Arial" w:eastAsia="Arial" w:hAnsi="Arial"/>
          <w:sz w:val="14"/>
          <w:szCs w:val="14"/>
          <w:b w:val="1"/>
          <w:bCs w:val="1"/>
          <w:color w:val="auto"/>
        </w:rPr>
      </w:pPr>
    </w:p>
    <w:p>
      <w:pPr>
        <w:ind w:left="920" w:hanging="359"/>
        <w:spacing w:after="0"/>
        <w:tabs>
          <w:tab w:leader="none" w:pos="920" w:val="left"/>
        </w:tabs>
        <w:numPr>
          <w:ilvl w:val="0"/>
          <w:numId w:val="8"/>
        </w:numPr>
        <w:rPr>
          <w:rFonts w:ascii="Arial" w:cs="Arial" w:eastAsia="Arial" w:hAnsi="Arial"/>
          <w:sz w:val="14"/>
          <w:szCs w:val="14"/>
          <w:b w:val="1"/>
          <w:bCs w:val="1"/>
          <w:color w:val="auto"/>
        </w:rPr>
      </w:pPr>
      <w:r>
        <w:rPr>
          <w:rFonts w:ascii="Arial" w:cs="Arial" w:eastAsia="Arial" w:hAnsi="Arial"/>
          <w:sz w:val="14"/>
          <w:szCs w:val="14"/>
          <w:color w:val="auto"/>
        </w:rPr>
        <w:t>capital structures offering appropriate risk-adjusted terms and covenants.</w:t>
      </w:r>
    </w:p>
    <w:p>
      <w:pPr>
        <w:spacing w:after="0" w:line="298" w:lineRule="exact"/>
        <w:rPr>
          <w:sz w:val="20"/>
          <w:szCs w:val="20"/>
          <w:color w:val="auto"/>
        </w:rPr>
      </w:pPr>
    </w:p>
    <w:p>
      <w:pPr>
        <w:ind w:left="920" w:hanging="359"/>
        <w:spacing w:after="0"/>
        <w:tabs>
          <w:tab w:leader="none" w:pos="920" w:val="left"/>
        </w:tabs>
        <w:numPr>
          <w:ilvl w:val="0"/>
          <w:numId w:val="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Ability to Source and Evaluate Transactions through our Investment Adviser’s Proactive, Research Capability and Established Network</w:t>
      </w:r>
    </w:p>
    <w:p>
      <w:pPr>
        <w:spacing w:after="0" w:line="136"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The management team of our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 w:name="page6"/>
    <w:bookmarkEnd w:id="5"/>
    <w:p>
      <w:pPr>
        <w:ind w:left="920" w:hanging="359"/>
        <w:spacing w:after="0"/>
        <w:tabs>
          <w:tab w:leader="none" w:pos="920" w:val="left"/>
        </w:tabs>
        <w:numPr>
          <w:ilvl w:val="0"/>
          <w:numId w:val="1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Flexible Transaction Structuring</w:t>
      </w:r>
    </w:p>
    <w:p>
      <w:pPr>
        <w:spacing w:after="0" w:line="136" w:lineRule="exact"/>
        <w:rPr>
          <w:sz w:val="20"/>
          <w:szCs w:val="20"/>
          <w:color w:val="auto"/>
        </w:rPr>
      </w:pPr>
    </w:p>
    <w:p>
      <w:pPr>
        <w:ind w:right="100" w:firstLine="438"/>
        <w:spacing w:after="0" w:line="290" w:lineRule="auto"/>
        <w:rPr>
          <w:sz w:val="20"/>
          <w:szCs w:val="20"/>
          <w:color w:val="auto"/>
        </w:rPr>
      </w:pPr>
      <w:r>
        <w:rPr>
          <w:rFonts w:ascii="Arial" w:cs="Arial" w:eastAsia="Arial" w:hAnsi="Arial"/>
          <w:sz w:val="13"/>
          <w:szCs w:val="13"/>
          <w:color w:val="auto"/>
        </w:rPr>
        <w:t>We are flexible in structuring investments and tailor investments to meet the needs of a portfolio company while also generating attractive risk-adjusted returns. We can invest in all parts of a capital structure and our Investment Adviser has extensive experience in a wide variety of securities for leveraged companies throughout economic and market cycles.</w:t>
      </w:r>
    </w:p>
    <w:p>
      <w:pPr>
        <w:spacing w:after="0" w:line="71"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Our Investment Adviser seeks to minimize the risk of capital loss without foregoing potential for capital appreciation. In making investment decisions, we seek to invest in companies that we believe can generate consistent positive risk-adjusted returns.</w:t>
      </w:r>
    </w:p>
    <w:p>
      <w:pPr>
        <w:spacing w:after="0" w:line="106" w:lineRule="exact"/>
        <w:rPr>
          <w:sz w:val="20"/>
          <w:szCs w:val="20"/>
          <w:color w:val="auto"/>
        </w:rPr>
      </w:pPr>
    </w:p>
    <w:p>
      <w:pPr>
        <w:ind w:right="200" w:firstLine="438"/>
        <w:spacing w:after="0" w:line="253" w:lineRule="auto"/>
        <w:rPr>
          <w:sz w:val="20"/>
          <w:szCs w:val="20"/>
          <w:color w:val="auto"/>
        </w:rPr>
      </w:pPr>
      <w:r>
        <w:rPr>
          <w:rFonts w:ascii="Arial" w:cs="Arial" w:eastAsia="Arial" w:hAnsi="Arial"/>
          <w:sz w:val="14"/>
          <w:szCs w:val="14"/>
          <w:color w:val="auto"/>
        </w:rPr>
        <w:t>We believe that the in-depth experience of our Investment Adviser will enable us to invest throughout various stages of the economic and market cycles and to provide us with ongoing market insights in addition to a significant investment opportunity.</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Competition</w:t>
      </w:r>
    </w:p>
    <w:p>
      <w:pPr>
        <w:spacing w:after="0" w:line="123" w:lineRule="exact"/>
        <w:rPr>
          <w:sz w:val="20"/>
          <w:szCs w:val="20"/>
          <w:color w:val="auto"/>
        </w:rPr>
      </w:pPr>
    </w:p>
    <w:p>
      <w:pPr>
        <w:ind w:right="100" w:firstLine="438"/>
        <w:spacing w:after="0" w:line="255" w:lineRule="auto"/>
        <w:rPr>
          <w:sz w:val="20"/>
          <w:szCs w:val="20"/>
          <w:color w:val="auto"/>
        </w:rPr>
      </w:pPr>
      <w:r>
        <w:rPr>
          <w:rFonts w:ascii="Arial" w:cs="Arial" w:eastAsia="Arial" w:hAnsi="Arial"/>
          <w:sz w:val="13"/>
          <w:szCs w:val="13"/>
          <w:color w:val="auto"/>
        </w:rPr>
        <w:t>Our primary competitors provide financing to middle-market companies and include other BDCs, commercial and investment banks, commercial finance companies, CLO funds, private direct lending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107" w:lineRule="exact"/>
        <w:rPr>
          <w:sz w:val="20"/>
          <w:szCs w:val="20"/>
          <w:color w:val="auto"/>
        </w:rPr>
      </w:pPr>
    </w:p>
    <w:p>
      <w:pPr>
        <w:ind w:right="60" w:firstLine="438"/>
        <w:spacing w:after="0" w:line="255" w:lineRule="auto"/>
        <w:rPr>
          <w:sz w:val="20"/>
          <w:szCs w:val="20"/>
          <w:color w:val="auto"/>
        </w:rPr>
      </w:pPr>
      <w:r>
        <w:rPr>
          <w:rFonts w:ascii="Arial" w:cs="Arial" w:eastAsia="Arial" w:hAnsi="Arial"/>
          <w:sz w:val="13"/>
          <w:szCs w:val="13"/>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Leverage</w:t>
      </w:r>
    </w:p>
    <w:p>
      <w:pPr>
        <w:spacing w:after="0" w:line="136" w:lineRule="exact"/>
        <w:rPr>
          <w:sz w:val="20"/>
          <w:szCs w:val="20"/>
          <w:color w:val="auto"/>
        </w:rPr>
      </w:pPr>
    </w:p>
    <w:p>
      <w:pPr>
        <w:ind w:right="60" w:firstLine="438"/>
        <w:spacing w:after="0" w:line="247" w:lineRule="auto"/>
        <w:rPr>
          <w:sz w:val="20"/>
          <w:szCs w:val="20"/>
          <w:color w:val="auto"/>
        </w:rPr>
      </w:pPr>
      <w:r>
        <w:rPr>
          <w:rFonts w:ascii="Arial" w:cs="Arial" w:eastAsia="Arial" w:hAnsi="Arial"/>
          <w:sz w:val="13"/>
          <w:szCs w:val="13"/>
          <w:color w:val="auto"/>
        </w:rPr>
        <w:t>As of September 30, 2021, we had the multi-currency Truist Credit Facility for up to $435.0 million (decreased from $475.0 million on May 25, 2021 pursuant to its terms) in borrowings with certain lenders and Truist Bank (formerly SunTrust Bank), acting as administrative agent, and JPMorgan Chase Bank, N.A., acting as syndication agent for the lenders. As of September 30, 2021 and 2020, we had $316.5 million and $388.3 million, respectively, in outstanding borrowings under the Truist Credit Facility. The Truist Credit Facility had a weighted average interest rate of 2.4% and 2.5%, respectively, exclusive of the fee on undrawn commitment, as of September 30, 2021 and 2020. The Truist Credit Facility is a revolving facility with a stated maturity date of September 4, 2024, a one-year term-out period on September 4, 2023 and pricing set at 225 basis points over LIBOR (or an alternative risk-free floating interest rate index). As of September 30, 2021 and 2020, we had $118.5 million and $86.7 million of unused borrowing capacity under the Truist Credit Facility, respectively, subject to leverage and borrowing base restrictions. The Truist Credit Facility is secured by substantially all of our assets excluding assets held by SBIC II. As of September 30, 2021, we were in compliance with the terms of the Truist Credit Facility.</w:t>
      </w:r>
    </w:p>
    <w:p>
      <w:pPr>
        <w:spacing w:after="0" w:line="98"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As of September 30, 2021 and 2020, our SBIC II had $63.5 million and $118.5 million in debt commitments, respectively, all of which was drawn, with a weighted average interest rate of 3.3% and 3.2%, respectively, exclusive of 3.4% of upfront fees. As of September 30, 2021 and 2020, our SBA debentures mature between March 2026 to March 2028, respectively. SBA debentures offer competitive terms such as being non-recourse to us, a 10-year maturity, semi-annual interest payments, not requiring principal payments prior to maturity and may be prepaid at any time without penalty. The SBA debentures are secured by all the investment portfolio assets of SBIC II and have a priority claim over such assets relative to all other creditors. See “Regulation” for more information.</w:t>
      </w:r>
    </w:p>
    <w:p>
      <w:pPr>
        <w:spacing w:after="0" w:line="116" w:lineRule="exact"/>
        <w:rPr>
          <w:sz w:val="20"/>
          <w:szCs w:val="20"/>
          <w:color w:val="auto"/>
        </w:rPr>
      </w:pPr>
    </w:p>
    <w:p>
      <w:pPr>
        <w:ind w:right="100" w:firstLine="438"/>
        <w:spacing w:after="0" w:line="231" w:lineRule="auto"/>
        <w:rPr>
          <w:sz w:val="20"/>
          <w:szCs w:val="20"/>
          <w:color w:val="auto"/>
        </w:rPr>
      </w:pPr>
      <w:r>
        <w:rPr>
          <w:rFonts w:ascii="Arial" w:cs="Arial" w:eastAsia="Arial" w:hAnsi="Arial"/>
          <w:sz w:val="14"/>
          <w:szCs w:val="14"/>
          <w:color w:val="auto"/>
        </w:rPr>
        <w:t xml:space="preserve">As of September 30, 2021 and 2020, we had $86.3 in aggregate principal amount of 2024 Notes outstanding. Interest on the 2024 Notes is paid quarterly on January 15, April 15, July 15 and October 15, at a rate of 5.5% per year, commencing January 15, 2020. The 2024 Notes mature on October 15, 2024. The 2024 Notes are direct unsecured obligations and rank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in right of payment with future unsecured unsubordinated indebtedness. The 2024 Notes are structurally subordinated to all existing and future indebtedness and other obligations of any of our subsidiaries, financing vehicles, or similar facilities. The 2024 Notes may be redeemed in whole or in part at our option on or after October 15, 2021 at a redemption price of 100% of the outstanding principal amount of the 2024 Notes plus accrued and unpaid interest.</w:t>
      </w:r>
    </w:p>
    <w:p>
      <w:pPr>
        <w:spacing w:after="0" w:line="116" w:lineRule="exact"/>
        <w:rPr>
          <w:sz w:val="20"/>
          <w:szCs w:val="20"/>
          <w:color w:val="auto"/>
        </w:rPr>
      </w:pPr>
    </w:p>
    <w:p>
      <w:pPr>
        <w:ind w:right="20" w:firstLine="438"/>
        <w:spacing w:after="0" w:line="229" w:lineRule="auto"/>
        <w:rPr>
          <w:sz w:val="20"/>
          <w:szCs w:val="20"/>
          <w:color w:val="auto"/>
        </w:rPr>
      </w:pPr>
      <w:r>
        <w:rPr>
          <w:rFonts w:ascii="Arial" w:cs="Arial" w:eastAsia="Arial" w:hAnsi="Arial"/>
          <w:sz w:val="14"/>
          <w:szCs w:val="14"/>
          <w:color w:val="auto"/>
        </w:rPr>
        <w:t>In April 2021, we issued $150.0 million in aggregate principal amount of our 2026 Notes at a public offering price per note of 99.4%. Interest on the 2026 Notes is paid semi-annually on May 1 and November 1 of each year, at a rate of 4.50% per year, commencing November 1, 2021. The 2026 Notes mature on May 1, 2026 and may be redeemed in whole or in part at our 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04"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 See “Management’s Discussion and Analysis of Financial Condition and Results of Operations” for more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Policy Overview</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We seek to create a diversified portfolio that includes first lien secured debt, second lien secured debt, subordinated debt and, to a lesser extent, equity by targeting an investment size of</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$10 million to $50 million in securities, on average, of middle-market companies. We expect this investment size to vary proportionately with the size of our capital base. The companies in which</w:t>
      </w:r>
    </w:p>
    <w:p>
      <w:pPr>
        <w:spacing w:after="0"/>
        <w:rPr>
          <w:sz w:val="20"/>
          <w:szCs w:val="20"/>
          <w:color w:val="auto"/>
        </w:rPr>
      </w:pPr>
      <w:r>
        <w:rPr>
          <w:rFonts w:ascii="Arial" w:cs="Arial" w:eastAsia="Arial" w:hAnsi="Arial"/>
          <w:sz w:val="13"/>
          <w:szCs w:val="13"/>
          <w:color w:val="auto"/>
        </w:rPr>
        <w:t>we invest are typically highly leveraged, and, in most cases, are not rated by national rating agencies. If such unrated companies were rated, we believe that they would typically receive a rating</w:t>
      </w:r>
    </w:p>
    <w:p>
      <w:pPr>
        <w:spacing w:after="0"/>
        <w:rPr>
          <w:sz w:val="20"/>
          <w:szCs w:val="20"/>
          <w:color w:val="auto"/>
        </w:rPr>
      </w:pPr>
      <w:r>
        <w:rPr>
          <w:rFonts w:ascii="Arial" w:cs="Arial" w:eastAsia="Arial" w:hAnsi="Arial"/>
          <w:sz w:val="13"/>
          <w:szCs w:val="13"/>
          <w:color w:val="auto"/>
        </w:rPr>
        <w:t>below investment grade (between BB and CCC under the Standard &amp; Poor’s system) from the national rating agencies. Securities rated below investment grade are often referred to as “leveraged</w:t>
      </w:r>
    </w:p>
    <w:p>
      <w:pPr>
        <w:spacing w:after="0"/>
        <w:rPr>
          <w:sz w:val="20"/>
          <w:szCs w:val="20"/>
          <w:color w:val="auto"/>
        </w:rPr>
      </w:pPr>
      <w:r>
        <w:rPr>
          <w:rFonts w:ascii="Arial" w:cs="Arial" w:eastAsia="Arial" w:hAnsi="Arial"/>
          <w:sz w:val="13"/>
          <w:szCs w:val="13"/>
          <w:color w:val="auto"/>
        </w:rPr>
        <w:t>loans,” “high yield” securities or “junk bonds” and are often higher risk compared to debt instruments that are rated above investment grade and have speculative characteristics. In addition, we</w:t>
      </w:r>
    </w:p>
    <w:p>
      <w:pPr>
        <w:spacing w:after="0"/>
        <w:rPr>
          <w:sz w:val="20"/>
          <w:szCs w:val="20"/>
          <w:color w:val="auto"/>
        </w:rPr>
      </w:pPr>
      <w:r>
        <w:rPr>
          <w:rFonts w:ascii="Arial" w:cs="Arial" w:eastAsia="Arial" w:hAnsi="Arial"/>
          <w:sz w:val="14"/>
          <w:szCs w:val="14"/>
          <w:color w:val="auto"/>
        </w:rPr>
        <w:t>expect our debt investments to range in maturity from three to ten years.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6" w:name="page7"/>
    <w:bookmarkEnd w:id="6"/>
    <w:p>
      <w:pPr>
        <w:ind w:firstLine="438"/>
        <w:spacing w:after="0" w:line="231" w:lineRule="auto"/>
        <w:rPr>
          <w:sz w:val="20"/>
          <w:szCs w:val="20"/>
          <w:color w:val="auto"/>
        </w:rPr>
      </w:pPr>
      <w:r>
        <w:rPr>
          <w:rFonts w:ascii="Arial" w:cs="Arial" w:eastAsia="Arial" w:hAnsi="Arial"/>
          <w:sz w:val="14"/>
          <w:szCs w:val="14"/>
          <w:color w:val="auto"/>
        </w:rPr>
        <w:t>Over time, we expect that our portfolio will continue to consist primarily of first lien secured debt, second lien secured debt, subordinated debt and, to a lesser extent, equity investments in qualifying assets such as private, or thinly traded or small market-capitalization, U.S. middle-market public companies. In addition, we may invest up to 30% of our portfolio in non-qualifying assets. These non-qualifying assets may include investments in public companies whose securities are not thinly traded or have a market capitalization of greater than $250 million, securities of middle-market companies located outside of the United States and investment companies as defined in the 1940 Act. We may acquire investments in the secondary markets. See “Regulation— Qualifying Assets” and “Investment Selection Criteria” for more information.</w:t>
      </w:r>
    </w:p>
    <w:p>
      <w:pPr>
        <w:spacing w:after="0" w:line="116"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common stock. Nevertheless, the effects of changes to our operating policies and strategies may adversely affect our business, our ability to make distributions and the value of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First Lien Secured Debt</w:t>
      </w:r>
    </w:p>
    <w:p>
      <w:pPr>
        <w:spacing w:after="0" w:line="136"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Structurally, first lien secured debt ranks senior in priority of payment to second lien secured debt, subordinated debt and equity, and benefits from a senior security interest in the assets of the borrower. As such, other creditors rank junior to our investments in these securities in the event of insolvency. Due to its lower risk profile and often more restrictive covenants as compared to second lien secured debt and subordinated debt, first lien secured debt generally earns a lower return than second lien secured debt and subordinated debt. In some cases first lien secured debt lenders receive opportunities to invest directly in the equity securities of borrowers and from time to time may also receive warrants to purchase equity securities. We evaluate these investment opportunities on a case-by-case basis.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Second Lien Secured Debt</w:t>
      </w:r>
    </w:p>
    <w:p>
      <w:pPr>
        <w:spacing w:after="0" w:line="136"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Second lien secured debt usually ranks junior in priority of payment to first lien secured debt. Second lien secured debt holds a second priority with regard to right of payment in the event of insolvency. Second lien secured debt ranks senior to subordinated debt and common and preferred equity in borrowers’ capital structures. Due to its higher risk profile and often less restrictive covenants as compared to first lien secured debt, second lien secured debt generally earns a higher return than first lien secured debt. In many cases, second lien secured debt investors receive opportunities to invest directly in the equity securities of borrowers and from time to time may also receive warrants to purchase equity securities. We evaluate these investment opportunities on a case-by-case basis.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Subordinated Debt</w:t>
      </w:r>
    </w:p>
    <w:p>
      <w:pPr>
        <w:spacing w:after="0" w:line="136"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Structurally, subordinated debt usually ranks junior in priority of payment to first lien secured debt and second lien secured debt, and is often unsecured. As such, other creditors may rank senior to us in the event of insolvency. Subordinated debt ranks senior to common and preferred equity in borrowers’ capital structures. Due to its higher risk profile and often less restrictive covenants as compared to first lien secured debt and second lien secured debt, subordinated debt generally earns a higher return than first lien secured debt and second lien secured debt. In many cases, subordinated debt investors receive opportunities to invest directly in the equity securities of borrowers, and from time to time, may also receive warrants to purchase equity securities. We evaluate these investment opportunities on a case-by-case basis.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Selection Criteria</w:t>
      </w:r>
    </w:p>
    <w:p>
      <w:pPr>
        <w:spacing w:after="0" w:line="136"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We are committed to a value-oriented philosophy used by the senior investment professionals of our Investment Adviser who manage our portfolio and seek to minimize the risk of capital loss without foregoing potential for capital appreciation.</w:t>
      </w:r>
    </w:p>
    <w:p>
      <w:pPr>
        <w:spacing w:after="0" w:line="106" w:lineRule="exact"/>
        <w:rPr>
          <w:sz w:val="20"/>
          <w:szCs w:val="20"/>
          <w:color w:val="auto"/>
        </w:rPr>
      </w:pPr>
    </w:p>
    <w:p>
      <w:pPr>
        <w:ind w:right="120" w:firstLine="438"/>
        <w:spacing w:after="0" w:line="238" w:lineRule="auto"/>
        <w:rPr>
          <w:sz w:val="20"/>
          <w:szCs w:val="20"/>
          <w:color w:val="auto"/>
        </w:rPr>
      </w:pPr>
      <w:r>
        <w:rPr>
          <w:rFonts w:ascii="Arial" w:cs="Arial" w:eastAsia="Arial" w:hAnsi="Arial"/>
          <w:sz w:val="14"/>
          <w:szCs w:val="14"/>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opportunities and to structure investments efficiently and effectively.</w:t>
      </w:r>
    </w:p>
    <w:p>
      <w:pPr>
        <w:spacing w:after="0" w:line="102" w:lineRule="exact"/>
        <w:rPr>
          <w:sz w:val="20"/>
          <w:szCs w:val="20"/>
          <w:color w:val="auto"/>
        </w:rPr>
      </w:pPr>
    </w:p>
    <w:p>
      <w:pPr>
        <w:ind w:left="920" w:hanging="359"/>
        <w:spacing w:after="0"/>
        <w:tabs>
          <w:tab w:leader="none" w:pos="920" w:val="left"/>
        </w:tabs>
        <w:numPr>
          <w:ilvl w:val="0"/>
          <w:numId w:val="1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Leading and defensible competitive market positions</w:t>
      </w:r>
    </w:p>
    <w:p>
      <w:pPr>
        <w:spacing w:after="0" w:line="204" w:lineRule="exact"/>
        <w:rPr>
          <w:sz w:val="20"/>
          <w:szCs w:val="20"/>
          <w:color w:val="auto"/>
        </w:rPr>
      </w:pPr>
    </w:p>
    <w:p>
      <w:pPr>
        <w:jc w:val="both"/>
        <w:ind w:right="360" w:firstLine="438"/>
        <w:spacing w:after="0" w:line="238" w:lineRule="auto"/>
        <w:rPr>
          <w:sz w:val="20"/>
          <w:szCs w:val="20"/>
          <w:color w:val="auto"/>
        </w:rPr>
      </w:pPr>
      <w:r>
        <w:rPr>
          <w:rFonts w:ascii="Arial" w:cs="Arial" w:eastAsia="Arial" w:hAnsi="Arial"/>
          <w:sz w:val="14"/>
          <w:szCs w:val="14"/>
          <w:color w:val="auto"/>
        </w:rPr>
        <w:t>The Investment Adviser invests in portfolio companies that it believes have developed strong positions within their markets. The Investment Adviser also seeks to invest in portfolio companies that it believes possess competitive advantages, for example, in scale, scope, customer loyalty, product pricing or product quality as compared to their competitors to protect their market position.</w:t>
      </w:r>
    </w:p>
    <w:p>
      <w:pPr>
        <w:spacing w:after="0" w:line="115" w:lineRule="exact"/>
        <w:rPr>
          <w:sz w:val="20"/>
          <w:szCs w:val="20"/>
          <w:color w:val="auto"/>
        </w:rPr>
      </w:pPr>
    </w:p>
    <w:p>
      <w:pPr>
        <w:ind w:left="920" w:hanging="359"/>
        <w:spacing w:after="0"/>
        <w:tabs>
          <w:tab w:leader="none" w:pos="920" w:val="left"/>
        </w:tabs>
        <w:numPr>
          <w:ilvl w:val="0"/>
          <w:numId w:val="1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Investing in stable borrowers with positive cash flow</w:t>
      </w:r>
    </w:p>
    <w:p>
      <w:pPr>
        <w:spacing w:after="0" w:line="136"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Our investment philosophy places a premium on fundamental analysis and has a distinct value-orientation. The Investment Adviser invests in portfolio companies it believes to be stable and well-established,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17" w:lineRule="exact"/>
        <w:rPr>
          <w:sz w:val="20"/>
          <w:szCs w:val="20"/>
          <w:color w:val="auto"/>
        </w:rPr>
      </w:pPr>
    </w:p>
    <w:p>
      <w:pPr>
        <w:ind w:left="920" w:hanging="359"/>
        <w:spacing w:after="0"/>
        <w:tabs>
          <w:tab w:leader="none" w:pos="920" w:val="left"/>
        </w:tabs>
        <w:numPr>
          <w:ilvl w:val="0"/>
          <w:numId w:val="1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Proven management teams</w:t>
      </w:r>
    </w:p>
    <w:p>
      <w:pPr>
        <w:spacing w:after="0" w:line="136"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93" w:lineRule="exact"/>
        <w:rPr>
          <w:sz w:val="20"/>
          <w:szCs w:val="20"/>
          <w:color w:val="auto"/>
        </w:rPr>
      </w:pPr>
    </w:p>
    <w:p>
      <w:pPr>
        <w:ind w:left="920" w:hanging="359"/>
        <w:spacing w:after="0"/>
        <w:tabs>
          <w:tab w:leader="none" w:pos="920" w:val="left"/>
        </w:tabs>
        <w:numPr>
          <w:ilvl w:val="0"/>
          <w:numId w:val="1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Financial sponsorship</w:t>
      </w:r>
    </w:p>
    <w:p>
      <w:pPr>
        <w:spacing w:after="0" w:line="136"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The Investment Adviser may seek to cause us to participate in transactions sponsored by what it believes to be trusted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the ability, and a strong incentive, to contribute additional capital in difficult economic times should financial or operational issues arise so as to maintain their ownership position.</w:t>
      </w:r>
    </w:p>
    <w:p>
      <w:pPr>
        <w:spacing w:after="0" w:line="117" w:lineRule="exact"/>
        <w:rPr>
          <w:sz w:val="20"/>
          <w:szCs w:val="20"/>
          <w:color w:val="auto"/>
        </w:rPr>
      </w:pPr>
    </w:p>
    <w:p>
      <w:pPr>
        <w:ind w:left="920" w:hanging="359"/>
        <w:spacing w:after="0"/>
        <w:tabs>
          <w:tab w:leader="none" w:pos="920" w:val="left"/>
        </w:tabs>
        <w:numPr>
          <w:ilvl w:val="0"/>
          <w:numId w:val="1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Investments in different borrowers, industries and geographies</w:t>
      </w:r>
    </w:p>
    <w:p>
      <w:pPr>
        <w:spacing w:after="0" w:line="136"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The Investment Adviser seeks to invest our assets broadly among portfolio companies, across industries and geographical regions. The Investment Adviser believes that this approach may reduce the risk that a downturn in any one portfolio company, industry or geographical region will have a disproportionate impact on the value of our portfolio, although we are permitted to be non-diversified under the 1940 Act.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 w:name="page8"/>
    <w:bookmarkEnd w:id="7"/>
    <w:p>
      <w:pPr>
        <w:ind w:left="920" w:hanging="359"/>
        <w:spacing w:after="0"/>
        <w:tabs>
          <w:tab w:leader="none" w:pos="920" w:val="left"/>
        </w:tabs>
        <w:numPr>
          <w:ilvl w:val="0"/>
          <w:numId w:val="1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Viable exit strategy</w:t>
      </w:r>
    </w:p>
    <w:p>
      <w:pPr>
        <w:spacing w:after="0" w:line="136" w:lineRule="exact"/>
        <w:rPr>
          <w:sz w:val="20"/>
          <w:szCs w:val="20"/>
          <w:color w:val="auto"/>
        </w:rPr>
      </w:pPr>
    </w:p>
    <w:p>
      <w:pPr>
        <w:ind w:right="140" w:firstLine="438"/>
        <w:spacing w:after="0" w:line="231" w:lineRule="auto"/>
        <w:rPr>
          <w:sz w:val="20"/>
          <w:szCs w:val="20"/>
          <w:color w:val="auto"/>
        </w:rPr>
      </w:pPr>
      <w:r>
        <w:rPr>
          <w:rFonts w:ascii="Arial" w:cs="Arial" w:eastAsia="Arial" w:hAnsi="Arial"/>
          <w:sz w:val="14"/>
          <w:szCs w:val="14"/>
          <w:color w:val="auto"/>
        </w:rPr>
        <w:t>The Investment Adviser seeks to invest in portfolio companies that it believes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we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Due Diligence</w:t>
      </w:r>
    </w:p>
    <w:p>
      <w:pPr>
        <w:spacing w:after="0" w:line="136" w:lineRule="exact"/>
        <w:rPr>
          <w:sz w:val="20"/>
          <w:szCs w:val="20"/>
          <w:color w:val="auto"/>
        </w:rPr>
      </w:pPr>
    </w:p>
    <w:p>
      <w:pPr>
        <w:jc w:val="both"/>
        <w:ind w:right="280" w:firstLine="438"/>
        <w:spacing w:after="0" w:line="233" w:lineRule="auto"/>
        <w:rPr>
          <w:sz w:val="20"/>
          <w:szCs w:val="20"/>
          <w:color w:val="auto"/>
        </w:rPr>
      </w:pPr>
      <w:r>
        <w:rPr>
          <w:rFonts w:ascii="Arial" w:cs="Arial" w:eastAsia="Arial" w:hAnsi="Arial"/>
          <w:sz w:val="14"/>
          <w:szCs w:val="14"/>
          <w:color w:val="auto"/>
        </w:rPr>
        <w:t>We believe it is critical to conduct extensive due diligence in evaluating new investment targets.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due diligence may include:</w:t>
      </w:r>
    </w:p>
    <w:p>
      <w:pPr>
        <w:spacing w:after="0" w:line="123" w:lineRule="exact"/>
        <w:rPr>
          <w:sz w:val="20"/>
          <w:szCs w:val="20"/>
          <w:color w:val="auto"/>
        </w:rPr>
      </w:pPr>
    </w:p>
    <w:p>
      <w:pPr>
        <w:ind w:left="920" w:hanging="359"/>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review of historical and prospective financial information;</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research relating to the portfolio company’s management, industry, markets, products and services and competitors;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interviews with management, employees, customers and vendors of the potential portfolio company;</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on-site visits;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review of loan documents; and</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background checks.</w:t>
      </w:r>
    </w:p>
    <w:p>
      <w:pPr>
        <w:spacing w:after="0" w:line="204"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Additional due diligence with respect to any investment may be conducted on our behalf by attorneys and accountants prior to the closing of the investment, as well as other outside advisers, as appropriate.</w:t>
      </w:r>
    </w:p>
    <w:p>
      <w:pPr>
        <w:spacing w:after="0" w:line="106"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Upon the completion of due diligence on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Rather, they are employees of and receive compensation from our Investment Adviser.</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Structure</w:t>
      </w:r>
    </w:p>
    <w:p>
      <w:pPr>
        <w:spacing w:after="0" w:line="123" w:lineRule="exact"/>
        <w:rPr>
          <w:sz w:val="20"/>
          <w:szCs w:val="20"/>
          <w:color w:val="auto"/>
        </w:rPr>
      </w:pPr>
    </w:p>
    <w:p>
      <w:pPr>
        <w:jc w:val="both"/>
        <w:ind w:right="260" w:firstLine="438"/>
        <w:spacing w:after="0" w:line="238" w:lineRule="auto"/>
        <w:rPr>
          <w:sz w:val="20"/>
          <w:szCs w:val="20"/>
          <w:color w:val="auto"/>
        </w:rPr>
      </w:pPr>
      <w:r>
        <w:rPr>
          <w:rFonts w:ascii="Arial" w:cs="Arial" w:eastAsia="Arial" w:hAnsi="Arial"/>
          <w:sz w:val="14"/>
          <w:szCs w:val="14"/>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with these parties to agree on how our investment is structured relative to the other capital in the portfolio company’s capital structure.</w:t>
      </w:r>
    </w:p>
    <w:p>
      <w:pPr>
        <w:spacing w:after="0" w:line="115" w:lineRule="exact"/>
        <w:rPr>
          <w:sz w:val="20"/>
          <w:szCs w:val="20"/>
          <w:color w:val="auto"/>
        </w:rPr>
      </w:pPr>
    </w:p>
    <w:p>
      <w:pPr>
        <w:ind w:right="380" w:firstLine="438"/>
        <w:spacing w:after="0" w:line="253" w:lineRule="auto"/>
        <w:rPr>
          <w:sz w:val="20"/>
          <w:szCs w:val="20"/>
          <w:color w:val="auto"/>
        </w:rPr>
      </w:pPr>
      <w:r>
        <w:rPr>
          <w:rFonts w:ascii="Arial" w:cs="Arial" w:eastAsia="Arial" w:hAnsi="Arial"/>
          <w:sz w:val="14"/>
          <w:szCs w:val="14"/>
          <w:color w:val="auto"/>
        </w:rPr>
        <w:t>We expect our first lien secured debt to have terms of three to ten years. We generally obtain security interests in the assets of our portfolio companies that will serve as collateral in support of the repayment of these loans. This collateral may take the form of first priority liens on the assets of a portfolio company.</w:t>
      </w:r>
    </w:p>
    <w:p>
      <w:pPr>
        <w:spacing w:after="0" w:line="106"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Typically, our second lien secured debt and subordinated debt investments have maturities of three to ten years. Second lien secured debt and subordinated debt may take the form of a second priority lien on the assets of a portfolio company and have interest-only payments in the early years with cash or payment-in-kind,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second lien secured debt and subordinated debt may be collateralized by a subordinated lien on some or all of the assets of the borrower.</w:t>
      </w:r>
    </w:p>
    <w:p>
      <w:pPr>
        <w:spacing w:after="0" w:line="94"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115" w:lineRule="exact"/>
        <w:rPr>
          <w:sz w:val="20"/>
          <w:szCs w:val="20"/>
          <w:color w:val="auto"/>
        </w:rPr>
      </w:pPr>
    </w:p>
    <w:p>
      <w:pPr>
        <w:ind w:left="920" w:hanging="359"/>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requiring a total return on our investments (including both interest in the form of a floor and potential equity appreciation) that compensates us for credit risk;</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incorporating “put” rights and call protection into the investment structure; and</w:t>
      </w:r>
    </w:p>
    <w:p>
      <w:pPr>
        <w:spacing w:after="0" w:line="203" w:lineRule="exact"/>
        <w:rPr>
          <w:rFonts w:ascii="Arial" w:cs="Arial" w:eastAsia="Arial" w:hAnsi="Arial"/>
          <w:sz w:val="14"/>
          <w:szCs w:val="14"/>
          <w:color w:val="auto"/>
        </w:rPr>
      </w:pPr>
    </w:p>
    <w:p>
      <w:pPr>
        <w:jc w:val="both"/>
        <w:ind w:left="920" w:right="240" w:hanging="359"/>
        <w:spacing w:after="0" w:line="238" w:lineRule="auto"/>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negotiating covenants in connection with our investments that afford our portfolio companies as much flexibility in managing their businesses as possible, consistent with our focus of preserving capital. Such restrictions may include affirmative and negative covenants, default penalties, lien protection, change of control provisions and board rights, including either observation or participation rights.</w:t>
      </w:r>
    </w:p>
    <w:p>
      <w:pPr>
        <w:spacing w:after="0" w:line="115"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portfolio company, upon the occurrence of specified events. In many cases, we may also obtain registration rights in connection with these equity investments, which may include demand and “piggyback” registration rights.</w:t>
      </w:r>
    </w:p>
    <w:p>
      <w:pPr>
        <w:spacing w:after="0" w:line="116" w:lineRule="exact"/>
        <w:rPr>
          <w:sz w:val="20"/>
          <w:szCs w:val="20"/>
          <w:color w:val="auto"/>
        </w:rPr>
      </w:pPr>
    </w:p>
    <w:p>
      <w:pPr>
        <w:ind w:right="340" w:firstLine="438"/>
        <w:spacing w:after="0" w:line="253" w:lineRule="auto"/>
        <w:rPr>
          <w:sz w:val="20"/>
          <w:szCs w:val="20"/>
          <w:color w:val="auto"/>
        </w:rPr>
      </w:pPr>
      <w:r>
        <w:rPr>
          <w:rFonts w:ascii="Arial" w:cs="Arial" w:eastAsia="Arial" w:hAnsi="Arial"/>
          <w:sz w:val="14"/>
          <w:szCs w:val="14"/>
          <w:color w:val="auto"/>
        </w:rPr>
        <w:t>We expect to hold most of our investments to maturity or repayment, but we may exit certain investments earlier when a liquidity event, such as the sale or refinancing of a portfolio company, takes place. We also may turn over investments to better position the portfolio in light of market conditions.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283" w:right="39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i w:val="1"/>
          <w:iCs w:val="1"/>
          <w:color w:val="auto"/>
        </w:rPr>
        <w:t>Ongoing Relationships with Portfolio Companies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Monitoring</w:t>
      </w:r>
    </w:p>
    <w:p>
      <w:pPr>
        <w:spacing w:after="0" w:line="136"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The Investment Adviser monitors our portfolio companies on an ongoing basis. The Investment Adviser also monitors the financial trends of each portfolio company to determine if it is meeting its respective business plans and to assess the appropriate course of action for each portfolio company.</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Investment Adviser has several methods of evaluating and monitoring the performance and fair value of our investments, which may include the following:</w:t>
      </w:r>
    </w:p>
    <w:p>
      <w:pPr>
        <w:spacing w:after="0" w:line="123" w:lineRule="exact"/>
        <w:rPr>
          <w:sz w:val="20"/>
          <w:szCs w:val="20"/>
          <w:color w:val="auto"/>
        </w:rPr>
      </w:pPr>
    </w:p>
    <w:p>
      <w:pPr>
        <w:ind w:left="920" w:hanging="359"/>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assessment of success in adhering to a portfolio company’s business plan and compliance with covenants;</w:t>
      </w:r>
    </w:p>
    <w:p>
      <w:pPr>
        <w:spacing w:after="0" w:line="203" w:lineRule="exact"/>
        <w:rPr>
          <w:rFonts w:ascii="Arial" w:cs="Arial" w:eastAsia="Arial" w:hAnsi="Arial"/>
          <w:sz w:val="14"/>
          <w:szCs w:val="14"/>
          <w:color w:val="auto"/>
        </w:rPr>
      </w:pPr>
    </w:p>
    <w:p>
      <w:pPr>
        <w:ind w:left="920" w:right="720" w:hanging="359"/>
        <w:spacing w:after="0" w:line="253" w:lineRule="auto"/>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periodic or regular contact with portfolio company management and, if appropriate, the financial or strategic sponsor, to discuss financial position, requirements and accomplishments;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comparisons to other portfolio companies in the industry, if any;</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attendance at and participation in board meetings or presentations by portfolio companies; and</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review of periodic financial statements and financial projections for portfolio companies.</w:t>
      </w:r>
    </w:p>
    <w:p>
      <w:pPr>
        <w:spacing w:after="0" w:line="204" w:lineRule="exact"/>
        <w:rPr>
          <w:sz w:val="20"/>
          <w:szCs w:val="20"/>
          <w:color w:val="auto"/>
        </w:rPr>
      </w:pPr>
    </w:p>
    <w:p>
      <w:pPr>
        <w:ind w:right="60" w:firstLine="438"/>
        <w:spacing w:after="0" w:line="244" w:lineRule="auto"/>
        <w:rPr>
          <w:sz w:val="20"/>
          <w:szCs w:val="20"/>
          <w:color w:val="auto"/>
        </w:rPr>
      </w:pPr>
      <w:r>
        <w:rPr>
          <w:rFonts w:ascii="Arial" w:cs="Arial" w:eastAsia="Arial" w:hAnsi="Arial"/>
          <w:sz w:val="13"/>
          <w:szCs w:val="13"/>
          <w:color w:val="auto"/>
        </w:rPr>
        <w:t>The Investment Adviser monitors credit risk of each portfolio company regularly with a goal toward identifying early, and when able and appropriate, exiting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w:t>
      </w:r>
    </w:p>
    <w:p>
      <w:pPr>
        <w:spacing w:after="0" w:line="2" w:lineRule="exact"/>
        <w:rPr>
          <w:sz w:val="20"/>
          <w:szCs w:val="20"/>
          <w:color w:val="auto"/>
        </w:rPr>
      </w:pPr>
    </w:p>
    <w:p>
      <w:pPr>
        <w:ind w:right="40" w:firstLine="8"/>
        <w:spacing w:after="0" w:line="237" w:lineRule="auto"/>
        <w:tabs>
          <w:tab w:leader="none" w:pos="204"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performance of a portfolio company’s management; (5) a portfolio company’s debt maturities and capital requirements; (6) a portfolio company’s interest and asset coverage; and (7) the relative value of an investment based on a portfolio company’s anticipated cash flow.</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Managerial Assistance</w:t>
      </w:r>
    </w:p>
    <w:p>
      <w:pPr>
        <w:spacing w:after="0" w:line="136" w:lineRule="exact"/>
        <w:rPr>
          <w:sz w:val="20"/>
          <w:szCs w:val="20"/>
          <w:color w:val="auto"/>
        </w:rPr>
      </w:pPr>
    </w:p>
    <w:p>
      <w:pPr>
        <w:ind w:right="460" w:firstLine="438"/>
        <w:spacing w:after="0" w:line="253" w:lineRule="auto"/>
        <w:rPr>
          <w:sz w:val="20"/>
          <w:szCs w:val="20"/>
          <w:color w:val="auto"/>
        </w:rPr>
      </w:pPr>
      <w:r>
        <w:rPr>
          <w:rFonts w:ascii="Arial" w:cs="Arial" w:eastAsia="Arial" w:hAnsi="Arial"/>
          <w:sz w:val="14"/>
          <w:szCs w:val="14"/>
          <w:color w:val="auto"/>
        </w:rPr>
        <w:t>We offer significant managerial assistance to our portfolio companies. As a BDC, we are required to make available such significant managerial assistance within the meaning of Section 2(a)(47) of the 1940 Act. See “Regulation” for more information.</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Staffing</w:t>
      </w:r>
    </w:p>
    <w:p>
      <w:pPr>
        <w:spacing w:after="0" w:line="136"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We do not currently have any employees. Our Investment Adviser and Administrator have hired and expect to continue to hire professionals with skills applicable to our business plan, including experience in middle-market investing, senior lending, mezzanine lending, leveraged finance, distressed debt and private equity businesses.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Corporate Information</w:t>
      </w:r>
    </w:p>
    <w:p>
      <w:pPr>
        <w:spacing w:after="0" w:line="123"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 xml:space="preserve">Our administrative and principal executive offices are located at 590 Madison Avenue, 15th Floor, New York, NY 10022. Our common stock and 2024 Notes are quoted on The Nasdaq Global Select Market under the symbols “PNNT” and “PNNTG”, respectively. Our phone number is (212) 905-1000, and our Internet website address is </w:t>
      </w:r>
      <w:r>
        <w:rPr>
          <w:rFonts w:ascii="Arial" w:cs="Arial" w:eastAsia="Arial" w:hAnsi="Arial"/>
          <w:sz w:val="13"/>
          <w:szCs w:val="13"/>
          <w:i w:val="1"/>
          <w:iCs w:val="1"/>
          <w:u w:val="single" w:color="auto"/>
          <w:color w:val="auto"/>
        </w:rPr>
        <w:t>www.pennantpark.com</w:t>
      </w:r>
      <w:r>
        <w:rPr>
          <w:rFonts w:ascii="Arial" w:cs="Arial" w:eastAsia="Arial" w:hAnsi="Arial"/>
          <w:sz w:val="13"/>
          <w:szCs w:val="13"/>
          <w:color w:val="auto"/>
        </w:rPr>
        <w:t xml:space="preserve">. Information contained on our website is not incorporated by reference into this Report and you should not consider information contained on our website to be part of this Report. We file periodic reports, proxy statements and other information with the SEC and make such reports available on our website free of charge as soon as reasonably practicable. In addition, the SEC maintains an Internet website at </w:t>
      </w:r>
      <w:r>
        <w:rPr>
          <w:rFonts w:ascii="Arial" w:cs="Arial" w:eastAsia="Arial" w:hAnsi="Arial"/>
          <w:sz w:val="13"/>
          <w:szCs w:val="13"/>
          <w:i w:val="1"/>
          <w:iCs w:val="1"/>
          <w:u w:val="single" w:color="auto"/>
          <w:color w:val="auto"/>
        </w:rPr>
        <w:t>www.sec.gov</w:t>
      </w:r>
      <w:r>
        <w:rPr>
          <w:rFonts w:ascii="Arial" w:cs="Arial" w:eastAsia="Arial" w:hAnsi="Arial"/>
          <w:sz w:val="13"/>
          <w:szCs w:val="13"/>
          <w:color w:val="auto"/>
        </w:rPr>
        <w:t xml:space="preserve"> that contains material that we file with the SEC on the Electronic Data Gathering, Analysis and Retrieval, or EDGAR, Database.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Portfolio</w:t>
      </w:r>
    </w:p>
    <w:p>
      <w:pPr>
        <w:spacing w:after="0" w:line="136"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Our principal investment focus is to provide first lien secured debt, second lien secured debt and subordinated debt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20"/>
                <w:szCs w:val="20"/>
                <w:color w:val="auto"/>
              </w:rPr>
            </w:pPr>
            <w:r>
              <w:rPr>
                <w:rFonts w:ascii="Arial" w:cs="Arial" w:eastAsia="Arial" w:hAnsi="Arial"/>
                <w:sz w:val="14"/>
                <w:szCs w:val="14"/>
                <w:color w:val="auto"/>
              </w:rPr>
              <w:t>•</w:t>
            </w:r>
          </w:p>
        </w:tc>
        <w:tc>
          <w:tcPr>
            <w:tcW w:w="4620" w:type="dxa"/>
            <w:vAlign w:val="bottom"/>
          </w:tcPr>
          <w:p>
            <w:pPr>
              <w:ind w:left="120"/>
              <w:spacing w:after="0"/>
              <w:rPr>
                <w:sz w:val="20"/>
                <w:szCs w:val="20"/>
                <w:color w:val="auto"/>
              </w:rPr>
            </w:pPr>
            <w:r>
              <w:rPr>
                <w:rFonts w:ascii="Arial" w:cs="Arial" w:eastAsia="Arial" w:hAnsi="Arial"/>
                <w:sz w:val="14"/>
                <w:szCs w:val="14"/>
                <w:color w:val="auto"/>
              </w:rPr>
              <w:t>Aerospace and Defense</w:t>
            </w:r>
          </w:p>
        </w:tc>
        <w:tc>
          <w:tcPr>
            <w:tcW w:w="1120" w:type="dxa"/>
            <w:vAlign w:val="bottom"/>
          </w:tcPr>
          <w:p>
            <w:pPr>
              <w:ind w:left="940"/>
              <w:spacing w:after="0"/>
              <w:rPr>
                <w:sz w:val="20"/>
                <w:szCs w:val="20"/>
                <w:color w:val="auto"/>
              </w:rPr>
            </w:pPr>
            <w:r>
              <w:rPr>
                <w:rFonts w:ascii="Arial" w:cs="Arial" w:eastAsia="Arial" w:hAnsi="Arial"/>
                <w:sz w:val="14"/>
                <w:szCs w:val="14"/>
                <w:color w:val="auto"/>
              </w:rPr>
              <w:t>•</w:t>
            </w:r>
          </w:p>
        </w:tc>
        <w:tc>
          <w:tcPr>
            <w:tcW w:w="4340" w:type="dxa"/>
            <w:vAlign w:val="bottom"/>
          </w:tcPr>
          <w:p>
            <w:pPr>
              <w:ind w:left="120"/>
              <w:spacing w:after="0"/>
              <w:rPr>
                <w:sz w:val="20"/>
                <w:szCs w:val="20"/>
                <w:color w:val="auto"/>
              </w:rPr>
            </w:pPr>
            <w:r>
              <w:rPr>
                <w:rFonts w:ascii="Arial" w:cs="Arial" w:eastAsia="Arial" w:hAnsi="Arial"/>
                <w:sz w:val="14"/>
                <w:szCs w:val="14"/>
                <w:color w:val="auto"/>
              </w:rPr>
              <w:t>Energy and Utilities</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20"/>
              <w:spacing w:after="0" w:line="149" w:lineRule="exact"/>
              <w:rPr>
                <w:sz w:val="20"/>
                <w:szCs w:val="20"/>
                <w:color w:val="auto"/>
              </w:rPr>
            </w:pPr>
            <w:r>
              <w:rPr>
                <w:rFonts w:ascii="Arial" w:cs="Arial" w:eastAsia="Arial" w:hAnsi="Arial"/>
                <w:sz w:val="14"/>
                <w:szCs w:val="14"/>
                <w:color w:val="auto"/>
              </w:rPr>
              <w:t>Auto Sector</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Environmental Services</w:t>
            </w:r>
          </w:p>
        </w:tc>
      </w:tr>
      <w:tr>
        <w:trPr>
          <w:trHeight w:val="149"/>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Beverage, Food and Tobacco</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Financial Services</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Broadcasting and Entertainment</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Grocery</w:t>
            </w:r>
          </w:p>
        </w:tc>
      </w:tr>
      <w:tr>
        <w:trPr>
          <w:trHeight w:val="175"/>
        </w:trPr>
        <w:tc>
          <w:tcPr>
            <w:tcW w:w="180" w:type="dxa"/>
            <w:vAlign w:val="bottom"/>
          </w:tcPr>
          <w:p>
            <w:pPr>
              <w:spacing w:after="0"/>
              <w:rPr>
                <w:sz w:val="20"/>
                <w:szCs w:val="20"/>
                <w:color w:val="auto"/>
              </w:rPr>
            </w:pPr>
            <w:r>
              <w:rPr>
                <w:rFonts w:ascii="Arial" w:cs="Arial" w:eastAsia="Arial" w:hAnsi="Arial"/>
                <w:sz w:val="14"/>
                <w:szCs w:val="14"/>
                <w:color w:val="auto"/>
              </w:rPr>
              <w:t>•</w:t>
            </w:r>
          </w:p>
        </w:tc>
        <w:tc>
          <w:tcPr>
            <w:tcW w:w="4620" w:type="dxa"/>
            <w:vAlign w:val="bottom"/>
          </w:tcPr>
          <w:p>
            <w:pPr>
              <w:ind w:left="140"/>
              <w:spacing w:after="0"/>
              <w:rPr>
                <w:sz w:val="20"/>
                <w:szCs w:val="20"/>
                <w:color w:val="auto"/>
              </w:rPr>
            </w:pPr>
            <w:r>
              <w:rPr>
                <w:rFonts w:ascii="Arial" w:cs="Arial" w:eastAsia="Arial" w:hAnsi="Arial"/>
                <w:sz w:val="14"/>
                <w:szCs w:val="14"/>
                <w:color w:val="auto"/>
              </w:rPr>
              <w:t>Buildings and Real Estate</w:t>
            </w:r>
          </w:p>
        </w:tc>
        <w:tc>
          <w:tcPr>
            <w:tcW w:w="1120" w:type="dxa"/>
            <w:vAlign w:val="bottom"/>
          </w:tcPr>
          <w:p>
            <w:pPr>
              <w:ind w:left="940"/>
              <w:spacing w:after="0"/>
              <w:rPr>
                <w:sz w:val="20"/>
                <w:szCs w:val="20"/>
                <w:color w:val="auto"/>
              </w:rPr>
            </w:pPr>
            <w:r>
              <w:rPr>
                <w:rFonts w:ascii="Arial" w:cs="Arial" w:eastAsia="Arial" w:hAnsi="Arial"/>
                <w:sz w:val="14"/>
                <w:szCs w:val="14"/>
                <w:color w:val="auto"/>
              </w:rPr>
              <w:t>•</w:t>
            </w:r>
          </w:p>
        </w:tc>
        <w:tc>
          <w:tcPr>
            <w:tcW w:w="4340" w:type="dxa"/>
            <w:vAlign w:val="bottom"/>
          </w:tcPr>
          <w:p>
            <w:pPr>
              <w:ind w:left="120"/>
              <w:spacing w:after="0"/>
              <w:rPr>
                <w:sz w:val="20"/>
                <w:szCs w:val="20"/>
                <w:color w:val="auto"/>
              </w:rPr>
            </w:pPr>
            <w:r>
              <w:rPr>
                <w:rFonts w:ascii="Arial" w:cs="Arial" w:eastAsia="Arial" w:hAnsi="Arial"/>
                <w:sz w:val="14"/>
                <w:szCs w:val="14"/>
                <w:color w:val="auto"/>
              </w:rPr>
              <w:t>Healthcare, Education and Childcare</w:t>
            </w:r>
          </w:p>
        </w:tc>
      </w:tr>
      <w:tr>
        <w:trPr>
          <w:trHeight w:val="149"/>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Building Materials</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High Tech Industries</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Business Services</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w w:val="94"/>
              </w:rPr>
              <w:t>Home &amp; Office Furnishings, Housewares &amp; Durable Consumer Products</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Cable Television</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Hotels, Motels, Inns and Gaming</w:t>
            </w:r>
          </w:p>
        </w:tc>
      </w:tr>
      <w:tr>
        <w:trPr>
          <w:trHeight w:val="149"/>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Capital Equipment</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Insurance</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Cargo Transportation</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Leisure, Amusement, Motion Picture, Entertainment</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Chemicals, Plastics and Rubber</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Logistics</w:t>
            </w:r>
          </w:p>
        </w:tc>
      </w:tr>
      <w:tr>
        <w:trPr>
          <w:trHeight w:val="149"/>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Communications</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Manufacturing/Basic Industries</w:t>
            </w:r>
          </w:p>
        </w:tc>
      </w:tr>
      <w:tr>
        <w:trPr>
          <w:trHeight w:val="175"/>
        </w:trPr>
        <w:tc>
          <w:tcPr>
            <w:tcW w:w="180" w:type="dxa"/>
            <w:vAlign w:val="bottom"/>
          </w:tcPr>
          <w:p>
            <w:pPr>
              <w:spacing w:after="0"/>
              <w:rPr>
                <w:sz w:val="20"/>
                <w:szCs w:val="20"/>
                <w:color w:val="auto"/>
              </w:rPr>
            </w:pPr>
            <w:r>
              <w:rPr>
                <w:rFonts w:ascii="Arial" w:cs="Arial" w:eastAsia="Arial" w:hAnsi="Arial"/>
                <w:sz w:val="14"/>
                <w:szCs w:val="14"/>
                <w:color w:val="auto"/>
              </w:rPr>
              <w:t>•</w:t>
            </w:r>
          </w:p>
        </w:tc>
        <w:tc>
          <w:tcPr>
            <w:tcW w:w="4620" w:type="dxa"/>
            <w:vAlign w:val="bottom"/>
          </w:tcPr>
          <w:p>
            <w:pPr>
              <w:ind w:left="140"/>
              <w:spacing w:after="0"/>
              <w:rPr>
                <w:sz w:val="20"/>
                <w:szCs w:val="20"/>
                <w:color w:val="auto"/>
              </w:rPr>
            </w:pPr>
            <w:r>
              <w:rPr>
                <w:rFonts w:ascii="Arial" w:cs="Arial" w:eastAsia="Arial" w:hAnsi="Arial"/>
                <w:sz w:val="14"/>
                <w:szCs w:val="14"/>
                <w:color w:val="auto"/>
              </w:rPr>
              <w:t>Consumer Products</w:t>
            </w:r>
          </w:p>
        </w:tc>
        <w:tc>
          <w:tcPr>
            <w:tcW w:w="1120" w:type="dxa"/>
            <w:vAlign w:val="bottom"/>
          </w:tcPr>
          <w:p>
            <w:pPr>
              <w:ind w:left="940"/>
              <w:spacing w:after="0"/>
              <w:rPr>
                <w:sz w:val="20"/>
                <w:szCs w:val="20"/>
                <w:color w:val="auto"/>
              </w:rPr>
            </w:pPr>
            <w:r>
              <w:rPr>
                <w:rFonts w:ascii="Arial" w:cs="Arial" w:eastAsia="Arial" w:hAnsi="Arial"/>
                <w:sz w:val="14"/>
                <w:szCs w:val="14"/>
                <w:color w:val="auto"/>
              </w:rPr>
              <w:t>•</w:t>
            </w:r>
          </w:p>
        </w:tc>
        <w:tc>
          <w:tcPr>
            <w:tcW w:w="4340" w:type="dxa"/>
            <w:vAlign w:val="bottom"/>
          </w:tcPr>
          <w:p>
            <w:pPr>
              <w:ind w:left="120"/>
              <w:spacing w:after="0"/>
              <w:rPr>
                <w:sz w:val="20"/>
                <w:szCs w:val="20"/>
                <w:color w:val="auto"/>
              </w:rPr>
            </w:pPr>
            <w:r>
              <w:rPr>
                <w:rFonts w:ascii="Arial" w:cs="Arial" w:eastAsia="Arial" w:hAnsi="Arial"/>
                <w:sz w:val="14"/>
                <w:szCs w:val="14"/>
                <w:color w:val="auto"/>
              </w:rPr>
              <w:t>Media</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Consumer Services</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Mining, Steel, Iron and Non-Precious Metals</w:t>
            </w:r>
          </w:p>
        </w:tc>
      </w:tr>
      <w:tr>
        <w:trPr>
          <w:trHeight w:val="149"/>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Containers Packaging &amp; Glass</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Oil and Gas</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Distribution</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Other Media</w:t>
            </w:r>
          </w:p>
        </w:tc>
      </w:tr>
      <w:tr>
        <w:trPr>
          <w:trHeight w:val="175"/>
        </w:trPr>
        <w:tc>
          <w:tcPr>
            <w:tcW w:w="180" w:type="dxa"/>
            <w:vAlign w:val="bottom"/>
          </w:tcPr>
          <w:p>
            <w:pPr>
              <w:spacing w:after="0"/>
              <w:rPr>
                <w:sz w:val="20"/>
                <w:szCs w:val="20"/>
                <w:color w:val="auto"/>
              </w:rPr>
            </w:pPr>
            <w:r>
              <w:rPr>
                <w:rFonts w:ascii="Arial" w:cs="Arial" w:eastAsia="Arial" w:hAnsi="Arial"/>
                <w:sz w:val="14"/>
                <w:szCs w:val="14"/>
                <w:color w:val="auto"/>
              </w:rPr>
              <w:t>•</w:t>
            </w:r>
          </w:p>
        </w:tc>
        <w:tc>
          <w:tcPr>
            <w:tcW w:w="4620" w:type="dxa"/>
            <w:vAlign w:val="bottom"/>
          </w:tcPr>
          <w:p>
            <w:pPr>
              <w:ind w:left="140"/>
              <w:spacing w:after="0"/>
              <w:rPr>
                <w:sz w:val="20"/>
                <w:szCs w:val="20"/>
                <w:color w:val="auto"/>
              </w:rPr>
            </w:pPr>
            <w:r>
              <w:rPr>
                <w:rFonts w:ascii="Arial" w:cs="Arial" w:eastAsia="Arial" w:hAnsi="Arial"/>
                <w:sz w:val="14"/>
                <w:szCs w:val="14"/>
                <w:color w:val="auto"/>
              </w:rPr>
              <w:t>Diversified/Conglomerate Manufacturing</w:t>
            </w:r>
          </w:p>
        </w:tc>
        <w:tc>
          <w:tcPr>
            <w:tcW w:w="1120" w:type="dxa"/>
            <w:vAlign w:val="bottom"/>
          </w:tcPr>
          <w:p>
            <w:pPr>
              <w:ind w:left="940"/>
              <w:spacing w:after="0"/>
              <w:rPr>
                <w:sz w:val="20"/>
                <w:szCs w:val="20"/>
                <w:color w:val="auto"/>
              </w:rPr>
            </w:pPr>
            <w:r>
              <w:rPr>
                <w:rFonts w:ascii="Arial" w:cs="Arial" w:eastAsia="Arial" w:hAnsi="Arial"/>
                <w:sz w:val="14"/>
                <w:szCs w:val="14"/>
                <w:color w:val="auto"/>
              </w:rPr>
              <w:t>•</w:t>
            </w:r>
          </w:p>
        </w:tc>
        <w:tc>
          <w:tcPr>
            <w:tcW w:w="4340" w:type="dxa"/>
            <w:vAlign w:val="bottom"/>
          </w:tcPr>
          <w:p>
            <w:pPr>
              <w:ind w:left="120"/>
              <w:spacing w:after="0"/>
              <w:rPr>
                <w:sz w:val="20"/>
                <w:szCs w:val="20"/>
                <w:color w:val="auto"/>
              </w:rPr>
            </w:pPr>
            <w:r>
              <w:rPr>
                <w:rFonts w:ascii="Arial" w:cs="Arial" w:eastAsia="Arial" w:hAnsi="Arial"/>
                <w:sz w:val="14"/>
                <w:szCs w:val="14"/>
                <w:color w:val="auto"/>
              </w:rPr>
              <w:t>Personal, Food and Miscellaneous Services</w:t>
            </w:r>
          </w:p>
        </w:tc>
      </w:tr>
      <w:tr>
        <w:trPr>
          <w:trHeight w:val="149"/>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Diversified/Conglomerate Services</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Printing and Publishing</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Diversified Natural Resources, Precious Metals and Minerals</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Retail</w:t>
            </w:r>
          </w:p>
        </w:tc>
      </w:tr>
      <w:tr>
        <w:trPr>
          <w:trHeight w:val="160"/>
        </w:trPr>
        <w:tc>
          <w:tcPr>
            <w:tcW w:w="180" w:type="dxa"/>
            <w:vAlign w:val="bottom"/>
          </w:tcPr>
          <w:p>
            <w:pPr>
              <w:spacing w:after="0"/>
              <w:rPr>
                <w:sz w:val="20"/>
                <w:szCs w:val="20"/>
                <w:color w:val="auto"/>
              </w:rPr>
            </w:pPr>
            <w:r>
              <w:rPr>
                <w:rFonts w:ascii="Arial" w:cs="Arial" w:eastAsia="Arial" w:hAnsi="Arial"/>
                <w:sz w:val="14"/>
                <w:szCs w:val="14"/>
                <w:color w:val="auto"/>
              </w:rPr>
              <w:t>•</w:t>
            </w:r>
          </w:p>
        </w:tc>
        <w:tc>
          <w:tcPr>
            <w:tcW w:w="4620" w:type="dxa"/>
            <w:vAlign w:val="bottom"/>
          </w:tcPr>
          <w:p>
            <w:pPr>
              <w:ind w:left="140"/>
              <w:spacing w:after="0"/>
              <w:rPr>
                <w:sz w:val="20"/>
                <w:szCs w:val="20"/>
                <w:color w:val="auto"/>
              </w:rPr>
            </w:pPr>
            <w:r>
              <w:rPr>
                <w:rFonts w:ascii="Arial" w:cs="Arial" w:eastAsia="Arial" w:hAnsi="Arial"/>
                <w:sz w:val="14"/>
                <w:szCs w:val="14"/>
                <w:color w:val="auto"/>
              </w:rPr>
              <w:t>Education</w:t>
            </w:r>
          </w:p>
        </w:tc>
        <w:tc>
          <w:tcPr>
            <w:tcW w:w="1120" w:type="dxa"/>
            <w:vAlign w:val="bottom"/>
          </w:tcPr>
          <w:p>
            <w:pPr>
              <w:ind w:left="940"/>
              <w:spacing w:after="0"/>
              <w:rPr>
                <w:sz w:val="20"/>
                <w:szCs w:val="20"/>
                <w:color w:val="auto"/>
              </w:rPr>
            </w:pPr>
            <w:r>
              <w:rPr>
                <w:rFonts w:ascii="Arial" w:cs="Arial" w:eastAsia="Arial" w:hAnsi="Arial"/>
                <w:sz w:val="14"/>
                <w:szCs w:val="14"/>
                <w:color w:val="auto"/>
              </w:rPr>
              <w:t>•</w:t>
            </w:r>
          </w:p>
        </w:tc>
        <w:tc>
          <w:tcPr>
            <w:tcW w:w="4340" w:type="dxa"/>
            <w:vAlign w:val="bottom"/>
          </w:tcPr>
          <w:p>
            <w:pPr>
              <w:ind w:left="120"/>
              <w:spacing w:after="0"/>
              <w:rPr>
                <w:sz w:val="20"/>
                <w:szCs w:val="20"/>
                <w:color w:val="auto"/>
              </w:rPr>
            </w:pPr>
            <w:r>
              <w:rPr>
                <w:rFonts w:ascii="Arial" w:cs="Arial" w:eastAsia="Arial" w:hAnsi="Arial"/>
                <w:sz w:val="14"/>
                <w:szCs w:val="14"/>
                <w:color w:val="auto"/>
              </w:rPr>
              <w:t>Wholesale</w:t>
            </w:r>
          </w:p>
        </w:tc>
      </w:tr>
    </w:tbl>
    <w:p>
      <w:pPr>
        <w:ind w:left="320" w:hanging="312"/>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Electronics</w:t>
      </w:r>
    </w:p>
    <w:p>
      <w:pPr>
        <w:spacing w:after="0" w:line="34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283" w:right="459" w:bottom="1440" w:gutter="0" w:footer="0" w:header="0"/>
        </w:sectPr>
      </w:pPr>
    </w:p>
    <w:bookmarkStart w:id="9" w:name="page10"/>
    <w:bookmarkEnd w:id="9"/>
    <w:p>
      <w:pPr>
        <w:ind w:left="440"/>
        <w:spacing w:after="0"/>
        <w:rPr>
          <w:sz w:val="20"/>
          <w:szCs w:val="20"/>
          <w:color w:val="auto"/>
        </w:rPr>
      </w:pPr>
      <w:r>
        <w:rPr>
          <w:rFonts w:ascii="Arial" w:cs="Arial" w:eastAsia="Arial" w:hAnsi="Arial"/>
          <w:sz w:val="12"/>
          <w:szCs w:val="12"/>
          <w:color w:val="auto"/>
        </w:rPr>
        <w:t>Listed below are our top ten portfolio companies and industries represented as a percentage of our consolidated portfolio assets (excluding cash and cash equivalents) as of September 30:</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Portfolio Company</w:t>
            </w:r>
          </w:p>
        </w:tc>
        <w:tc>
          <w:tcPr>
            <w:tcW w:w="200" w:type="dxa"/>
            <w:vAlign w:val="bottom"/>
            <w:tcBorders>
              <w:bottom w:val="single" w:sz="8" w:color="CCECFF"/>
            </w:tcBorders>
          </w:tcPr>
          <w:p>
            <w:pPr>
              <w:spacing w:after="0"/>
              <w:rPr>
                <w:sz w:val="14"/>
                <w:szCs w:val="14"/>
                <w:color w:val="auto"/>
              </w:rPr>
            </w:pP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12"/>
                <w:szCs w:val="12"/>
                <w:b w:val="1"/>
                <w:bCs w:val="1"/>
                <w:color w:val="auto"/>
              </w:rPr>
              <w:t>(1)</w:t>
            </w:r>
          </w:p>
        </w:tc>
        <w:tc>
          <w:tcPr>
            <w:tcW w:w="340" w:type="dxa"/>
            <w:vAlign w:val="bottom"/>
            <w:tcBorders>
              <w:bottom w:val="single" w:sz="8" w:color="CCECFF"/>
            </w:tcBorders>
          </w:tcPr>
          <w:p>
            <w:pPr>
              <w:spacing w:after="0"/>
              <w:rPr>
                <w:sz w:val="14"/>
                <w:szCs w:val="14"/>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Portfolio Company</w:t>
            </w:r>
          </w:p>
        </w:tc>
        <w:tc>
          <w:tcPr>
            <w:tcW w:w="200" w:type="dxa"/>
            <w:vAlign w:val="bottom"/>
            <w:tcBorders>
              <w:bottom w:val="single" w:sz="8" w:color="CCECFF"/>
            </w:tcBorders>
          </w:tcPr>
          <w:p>
            <w:pPr>
              <w:spacing w:after="0"/>
              <w:rPr>
                <w:sz w:val="14"/>
                <w:szCs w:val="14"/>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CFF"/>
            </w:tcBorders>
          </w:tcPr>
          <w:p>
            <w:pPr>
              <w:spacing w:after="0"/>
              <w:rPr>
                <w:sz w:val="14"/>
                <w:szCs w:val="14"/>
                <w:color w:val="auto"/>
              </w:rPr>
            </w:pPr>
          </w:p>
        </w:tc>
      </w:tr>
      <w:tr>
        <w:trPr>
          <w:trHeight w:val="156"/>
        </w:trPr>
        <w:tc>
          <w:tcPr>
            <w:tcW w:w="42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PT Network, LLC</w:t>
            </w:r>
          </w:p>
        </w:tc>
        <w:tc>
          <w:tcPr>
            <w:tcW w:w="200" w:type="dxa"/>
            <w:vAlign w:val="bottom"/>
            <w:shd w:val="clear" w:color="auto" w:fill="CCECFF"/>
          </w:tcPr>
          <w:p>
            <w:pPr>
              <w:spacing w:after="0"/>
              <w:rPr>
                <w:sz w:val="13"/>
                <w:szCs w:val="13"/>
                <w:color w:val="auto"/>
              </w:rPr>
            </w:pPr>
          </w:p>
        </w:tc>
        <w:tc>
          <w:tcPr>
            <w:tcW w:w="1260" w:type="dxa"/>
            <w:vAlign w:val="bottom"/>
            <w:gridSpan w:val="2"/>
            <w:shd w:val="clear" w:color="auto" w:fill="CCECFF"/>
          </w:tcPr>
          <w:p>
            <w:pPr>
              <w:jc w:val="right"/>
              <w:ind w:right="220"/>
              <w:spacing w:after="0" w:line="155" w:lineRule="exact"/>
              <w:rPr>
                <w:sz w:val="20"/>
                <w:szCs w:val="20"/>
                <w:color w:val="auto"/>
              </w:rPr>
            </w:pPr>
            <w:r>
              <w:rPr>
                <w:rFonts w:ascii="Arial" w:cs="Arial" w:eastAsia="Arial" w:hAnsi="Arial"/>
                <w:sz w:val="14"/>
                <w:szCs w:val="14"/>
                <w:color w:val="auto"/>
              </w:rPr>
              <w:t>12%</w:t>
            </w:r>
          </w:p>
        </w:tc>
        <w:tc>
          <w:tcPr>
            <w:tcW w:w="42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PT Network, LLC</w:t>
            </w:r>
          </w:p>
        </w:tc>
        <w:tc>
          <w:tcPr>
            <w:tcW w:w="20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9%</w:t>
            </w: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RAM Energy Holdings LLC</w:t>
            </w:r>
          </w:p>
        </w:tc>
        <w:tc>
          <w:tcPr>
            <w:tcW w:w="920" w:type="dxa"/>
            <w:vAlign w:val="bottom"/>
          </w:tcPr>
          <w:p>
            <w:pPr>
              <w:jc w:val="right"/>
              <w:spacing w:after="0"/>
              <w:rPr>
                <w:sz w:val="20"/>
                <w:szCs w:val="20"/>
                <w:color w:val="auto"/>
              </w:rPr>
            </w:pPr>
            <w:r>
              <w:rPr>
                <w:rFonts w:ascii="Arial" w:cs="Arial" w:eastAsia="Arial" w:hAnsi="Arial"/>
                <w:sz w:val="14"/>
                <w:szCs w:val="14"/>
                <w:color w:val="auto"/>
              </w:rPr>
              <w:t>7</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RAM Energy Holdings LLC</w:t>
            </w:r>
          </w:p>
        </w:tc>
        <w:tc>
          <w:tcPr>
            <w:tcW w:w="920" w:type="dxa"/>
            <w:vAlign w:val="bottom"/>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Cascade Environmental LLC</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Cascade Environmental LLC</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Cano Health, LLC</w:t>
            </w:r>
          </w:p>
        </w:tc>
        <w:tc>
          <w:tcPr>
            <w:tcW w:w="920" w:type="dxa"/>
            <w:vAlign w:val="bottom"/>
          </w:tcPr>
          <w:p>
            <w:pPr>
              <w:jc w:val="right"/>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Winter Park Intermediate, Inc.</w:t>
            </w:r>
          </w:p>
        </w:tc>
        <w:tc>
          <w:tcPr>
            <w:tcW w:w="92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JF Acquisition</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AKW Holdings Limited</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AKW Holdings Limited</w:t>
            </w:r>
          </w:p>
        </w:tc>
        <w:tc>
          <w:tcPr>
            <w:tcW w:w="920" w:type="dxa"/>
            <w:vAlign w:val="bottom"/>
          </w:tcPr>
          <w:p>
            <w:pPr>
              <w:jc w:val="right"/>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DecoPac, Inc.</w:t>
            </w: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Lilly Lashes</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Halo Buyer, Inc.</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Halo Buyer, Inc.</w:t>
            </w: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Provation Medical, Inc.</w:t>
            </w: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Walker Edison Furniture Company LLC</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Research Horizons, LLC</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r>
      <w:tr>
        <w:trPr>
          <w:trHeight w:val="182"/>
        </w:trPr>
        <w:tc>
          <w:tcPr>
            <w:tcW w:w="4480" w:type="dxa"/>
            <w:vAlign w:val="bottom"/>
            <w:gridSpan w:val="2"/>
          </w:tcPr>
          <w:p>
            <w:pPr>
              <w:spacing w:after="0"/>
              <w:rPr>
                <w:sz w:val="20"/>
                <w:szCs w:val="20"/>
                <w:color w:val="auto"/>
              </w:rPr>
            </w:pPr>
            <w:r>
              <w:rPr>
                <w:rFonts w:ascii="Arial" w:cs="Arial" w:eastAsia="Arial" w:hAnsi="Arial"/>
                <w:sz w:val="14"/>
                <w:szCs w:val="14"/>
                <w:color w:val="auto"/>
              </w:rPr>
              <w:t>Research Horizons, LLC</w:t>
            </w: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15"/>
                <w:szCs w:val="15"/>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Walker Edison Furniture Company LLC</w:t>
            </w: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5"/>
                <w:szCs w:val="15"/>
                <w:color w:val="auto"/>
              </w:rPr>
            </w:pPr>
          </w:p>
        </w:tc>
      </w:tr>
      <w:tr>
        <w:trPr>
          <w:trHeight w:val="371"/>
        </w:trPr>
        <w:tc>
          <w:tcPr>
            <w:tcW w:w="4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w:t>
            </w:r>
          </w:p>
        </w:tc>
        <w:tc>
          <w:tcPr>
            <w:tcW w:w="200" w:type="dxa"/>
            <w:vAlign w:val="bottom"/>
            <w:tcBorders>
              <w:bottom w:val="single" w:sz="8" w:color="CCECFF"/>
            </w:tcBorders>
          </w:tcPr>
          <w:p>
            <w:pPr>
              <w:spacing w:after="0"/>
              <w:rPr>
                <w:sz w:val="24"/>
                <w:szCs w:val="24"/>
                <w:color w:val="auto"/>
              </w:rPr>
            </w:pP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12"/>
                <w:szCs w:val="12"/>
                <w:b w:val="1"/>
                <w:bCs w:val="1"/>
                <w:color w:val="auto"/>
              </w:rPr>
              <w:t>(1)</w:t>
            </w:r>
          </w:p>
        </w:tc>
        <w:tc>
          <w:tcPr>
            <w:tcW w:w="340" w:type="dxa"/>
            <w:vAlign w:val="bottom"/>
            <w:tcBorders>
              <w:bottom w:val="single" w:sz="8" w:color="CCECFF"/>
            </w:tcBorders>
          </w:tcPr>
          <w:p>
            <w:pPr>
              <w:spacing w:after="0"/>
              <w:rPr>
                <w:sz w:val="24"/>
                <w:szCs w:val="24"/>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w:t>
            </w:r>
          </w:p>
        </w:tc>
        <w:tc>
          <w:tcPr>
            <w:tcW w:w="200" w:type="dxa"/>
            <w:vAlign w:val="bottom"/>
            <w:tcBorders>
              <w:bottom w:val="single" w:sz="8" w:color="CCECFF"/>
            </w:tcBorders>
          </w:tcPr>
          <w:p>
            <w:pPr>
              <w:spacing w:after="0"/>
              <w:rPr>
                <w:sz w:val="24"/>
                <w:szCs w:val="24"/>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CFF"/>
            </w:tcBorders>
          </w:tcPr>
          <w:p>
            <w:pPr>
              <w:spacing w:after="0"/>
              <w:rPr>
                <w:sz w:val="24"/>
                <w:szCs w:val="24"/>
                <w:color w:val="auto"/>
              </w:rPr>
            </w:pPr>
          </w:p>
        </w:tc>
      </w:tr>
      <w:tr>
        <w:trPr>
          <w:trHeight w:val="156"/>
        </w:trPr>
        <w:tc>
          <w:tcPr>
            <w:tcW w:w="42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Healthcare, Education and Childcare</w:t>
            </w:r>
          </w:p>
        </w:tc>
        <w:tc>
          <w:tcPr>
            <w:tcW w:w="200" w:type="dxa"/>
            <w:vAlign w:val="bottom"/>
            <w:shd w:val="clear" w:color="auto" w:fill="CCECFF"/>
          </w:tcPr>
          <w:p>
            <w:pPr>
              <w:spacing w:after="0"/>
              <w:rPr>
                <w:sz w:val="13"/>
                <w:szCs w:val="13"/>
                <w:color w:val="auto"/>
              </w:rPr>
            </w:pPr>
          </w:p>
        </w:tc>
        <w:tc>
          <w:tcPr>
            <w:tcW w:w="1260" w:type="dxa"/>
            <w:vAlign w:val="bottom"/>
            <w:gridSpan w:val="2"/>
            <w:shd w:val="clear" w:color="auto" w:fill="CCECFF"/>
          </w:tcPr>
          <w:p>
            <w:pPr>
              <w:jc w:val="right"/>
              <w:ind w:right="220"/>
              <w:spacing w:after="0" w:line="155" w:lineRule="exact"/>
              <w:rPr>
                <w:sz w:val="20"/>
                <w:szCs w:val="20"/>
                <w:color w:val="auto"/>
              </w:rPr>
            </w:pPr>
            <w:r>
              <w:rPr>
                <w:rFonts w:ascii="Arial" w:cs="Arial" w:eastAsia="Arial" w:hAnsi="Arial"/>
                <w:sz w:val="14"/>
                <w:szCs w:val="14"/>
                <w:color w:val="auto"/>
              </w:rPr>
              <w:t>23%</w:t>
            </w:r>
          </w:p>
        </w:tc>
        <w:tc>
          <w:tcPr>
            <w:tcW w:w="42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Healthcare, Education and Childcare</w:t>
            </w:r>
          </w:p>
        </w:tc>
        <w:tc>
          <w:tcPr>
            <w:tcW w:w="20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17%</w:t>
            </w: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Business Services</w:t>
            </w:r>
          </w:p>
        </w:tc>
        <w:tc>
          <w:tcPr>
            <w:tcW w:w="920" w:type="dxa"/>
            <w:vAlign w:val="bottom"/>
          </w:tcPr>
          <w:p>
            <w:pPr>
              <w:jc w:val="right"/>
              <w:spacing w:after="0"/>
              <w:rPr>
                <w:sz w:val="20"/>
                <w:szCs w:val="20"/>
                <w:color w:val="auto"/>
              </w:rPr>
            </w:pPr>
            <w:r>
              <w:rPr>
                <w:rFonts w:ascii="Arial" w:cs="Arial" w:eastAsia="Arial" w:hAnsi="Arial"/>
                <w:sz w:val="14"/>
                <w:szCs w:val="14"/>
                <w:color w:val="auto"/>
              </w:rPr>
              <w:t>9</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Energy and Utilities</w:t>
            </w:r>
          </w:p>
        </w:tc>
        <w:tc>
          <w:tcPr>
            <w:tcW w:w="920" w:type="dxa"/>
            <w:vAlign w:val="bottom"/>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Consumer Products</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Auto Sector</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Energy and Utilities</w:t>
            </w:r>
          </w:p>
        </w:tc>
        <w:tc>
          <w:tcPr>
            <w:tcW w:w="920" w:type="dxa"/>
            <w:vAlign w:val="bottom"/>
          </w:tcPr>
          <w:p>
            <w:pPr>
              <w:jc w:val="right"/>
              <w:spacing w:after="0"/>
              <w:rPr>
                <w:sz w:val="20"/>
                <w:szCs w:val="20"/>
                <w:color w:val="auto"/>
              </w:rPr>
            </w:pPr>
            <w:r>
              <w:rPr>
                <w:rFonts w:ascii="Arial" w:cs="Arial" w:eastAsia="Arial" w:hAnsi="Arial"/>
                <w:sz w:val="14"/>
                <w:szCs w:val="14"/>
                <w:color w:val="auto"/>
              </w:rPr>
              <w:t>7</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Consumer Products</w:t>
            </w:r>
          </w:p>
        </w:tc>
        <w:tc>
          <w:tcPr>
            <w:tcW w:w="92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Media</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Environmental Services</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Distribution</w:t>
            </w:r>
          </w:p>
        </w:tc>
        <w:tc>
          <w:tcPr>
            <w:tcW w:w="920" w:type="dxa"/>
            <w:vAlign w:val="bottom"/>
          </w:tcPr>
          <w:p>
            <w:pPr>
              <w:jc w:val="right"/>
              <w:spacing w:after="0"/>
              <w:rPr>
                <w:sz w:val="20"/>
                <w:szCs w:val="20"/>
                <w:color w:val="auto"/>
              </w:rPr>
            </w:pPr>
            <w:r>
              <w:rPr>
                <w:rFonts w:ascii="Arial" w:cs="Arial" w:eastAsia="Arial" w:hAnsi="Arial"/>
                <w:sz w:val="14"/>
                <w:szCs w:val="14"/>
                <w:color w:val="auto"/>
              </w:rPr>
              <w:t>7</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Media</w:t>
            </w:r>
          </w:p>
        </w:tc>
        <w:tc>
          <w:tcPr>
            <w:tcW w:w="92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Environmental Services</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Building Materials</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Hotels, Motels, Inns and Gaming</w:t>
            </w:r>
          </w:p>
        </w:tc>
        <w:tc>
          <w:tcPr>
            <w:tcW w:w="920" w:type="dxa"/>
            <w:vAlign w:val="bottom"/>
          </w:tcPr>
          <w:p>
            <w:pPr>
              <w:jc w:val="right"/>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Business Services</w:t>
            </w:r>
          </w:p>
        </w:tc>
        <w:tc>
          <w:tcPr>
            <w:tcW w:w="92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Education</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Electronics</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r>
      <w:tr>
        <w:trPr>
          <w:trHeight w:val="182"/>
        </w:trPr>
        <w:tc>
          <w:tcPr>
            <w:tcW w:w="4480" w:type="dxa"/>
            <w:vAlign w:val="bottom"/>
            <w:gridSpan w:val="2"/>
          </w:tcPr>
          <w:p>
            <w:pPr>
              <w:spacing w:after="0"/>
              <w:rPr>
                <w:sz w:val="20"/>
                <w:szCs w:val="20"/>
                <w:color w:val="auto"/>
              </w:rPr>
            </w:pPr>
            <w:r>
              <w:rPr>
                <w:rFonts w:ascii="Arial" w:cs="Arial" w:eastAsia="Arial" w:hAnsi="Arial"/>
                <w:sz w:val="14"/>
                <w:szCs w:val="14"/>
                <w:color w:val="auto"/>
              </w:rPr>
              <w:t>Building Materials</w:t>
            </w: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15"/>
                <w:szCs w:val="15"/>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Insurance</w:t>
            </w:r>
          </w:p>
        </w:tc>
        <w:tc>
          <w:tcPr>
            <w:tcW w:w="92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3455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380" w:hanging="372"/>
        <w:spacing w:after="0"/>
        <w:tabs>
          <w:tab w:leader="none" w:pos="380" w:val="left"/>
        </w:tabs>
        <w:numPr>
          <w:ilvl w:val="0"/>
          <w:numId w:val="22"/>
        </w:numPr>
        <w:rPr>
          <w:rFonts w:ascii="Arial" w:cs="Arial" w:eastAsia="Arial" w:hAnsi="Arial"/>
          <w:sz w:val="20"/>
          <w:szCs w:val="20"/>
          <w:b w:val="1"/>
          <w:bCs w:val="1"/>
          <w:color w:val="auto"/>
          <w:vertAlign w:val="superscript"/>
        </w:rPr>
      </w:pPr>
      <w:r>
        <w:rPr>
          <w:rFonts w:ascii="Arial" w:cs="Arial" w:eastAsia="Arial" w:hAnsi="Arial"/>
          <w:sz w:val="12"/>
          <w:szCs w:val="12"/>
          <w:color w:val="auto"/>
        </w:rPr>
        <w:t>Excludes investments in PSLF.</w:t>
      </w:r>
    </w:p>
    <w:p>
      <w:pPr>
        <w:spacing w:after="0" w:line="123" w:lineRule="exact"/>
        <w:rPr>
          <w:sz w:val="20"/>
          <w:szCs w:val="20"/>
          <w:color w:val="auto"/>
        </w:rPr>
      </w:pPr>
    </w:p>
    <w:p>
      <w:pPr>
        <w:ind w:right="40" w:firstLine="438"/>
        <w:spacing w:after="0" w:line="226" w:lineRule="auto"/>
        <w:rPr>
          <w:sz w:val="20"/>
          <w:szCs w:val="20"/>
          <w:color w:val="auto"/>
        </w:rPr>
      </w:pPr>
      <w:r>
        <w:rPr>
          <w:rFonts w:ascii="Arial" w:cs="Arial" w:eastAsia="Arial" w:hAnsi="Arial"/>
          <w:sz w:val="14"/>
          <w:szCs w:val="14"/>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certain of the current senior investment professionals of the Investment Adviser and Administrator, serve as officers and directors of PennantPark Floating Rate Capital Ltd.,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The Investment Adviser will allocate investment opportunities in a fair and equitable manner consistent with our allocation policy, and we have received exemptive relief with respect to certain co-investment transactions. Where co-investment is unavailable or inappropriate, the Investment Adviser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17"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our trade allocation procedures and, if applicable, the terms of our exemptive relief.</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Management Agreement</w:t>
      </w:r>
    </w:p>
    <w:p>
      <w:pPr>
        <w:spacing w:after="0" w:line="123" w:lineRule="exact"/>
        <w:rPr>
          <w:sz w:val="20"/>
          <w:szCs w:val="20"/>
          <w:color w:val="auto"/>
        </w:rPr>
      </w:pPr>
    </w:p>
    <w:p>
      <w:pPr>
        <w:ind w:right="60" w:firstLine="438"/>
        <w:spacing w:after="0" w:line="251" w:lineRule="auto"/>
        <w:rPr>
          <w:sz w:val="20"/>
          <w:szCs w:val="20"/>
          <w:color w:val="auto"/>
        </w:rPr>
      </w:pPr>
      <w:r>
        <w:rPr>
          <w:rFonts w:ascii="Arial" w:cs="Arial" w:eastAsia="Arial" w:hAnsi="Arial"/>
          <w:sz w:val="13"/>
          <w:szCs w:val="13"/>
          <w:color w:val="auto"/>
        </w:rPr>
        <w:t>We have entered into an agreement with the Investment Adviser, or the Investment Management Agreement, under which the Investment Adviser, subject to the overall supervision of our board of directors, manages the day-to-day operations of, and provides investment advisory services to, us. Mr. Penn, our Chairman and Chief Executive Officer, is the managing member and a senior investment professional of, and has a financial and controlling interest in, PennantPark Investment Advisers. PennantPark Investment, through the Investment Adviser, provides similar services to SBIC II under its respective investment management agreement. Such investment management agreement does not affect the management or incentive fees that we pay to the Investment Adviser on a consolidated basis. Under the terms of our Investment Management Agreement, the Investment Adviser:</w:t>
      </w:r>
    </w:p>
    <w:p>
      <w:pPr>
        <w:spacing w:after="0" w:line="109" w:lineRule="exact"/>
        <w:rPr>
          <w:sz w:val="20"/>
          <w:szCs w:val="20"/>
          <w:color w:val="auto"/>
        </w:rPr>
      </w:pPr>
    </w:p>
    <w:p>
      <w:pPr>
        <w:ind w:left="920" w:hanging="359"/>
        <w:spacing w:after="0"/>
        <w:tabs>
          <w:tab w:leader="none" w:pos="9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determines the composition of our portfolio, the nature and timing of the changes to our portfolio and the manner of implementing such changes;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identifies, evaluates and negotiates the structure of the investments we make (including performing due diligence on our prospective portfolio companies);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closes and monitors the investments we make; and</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provides us with such other investment advisory, research and related services, as we may need from time to time.</w:t>
      </w:r>
    </w:p>
    <w:p>
      <w:pPr>
        <w:spacing w:after="0" w:line="204" w:lineRule="exact"/>
        <w:rPr>
          <w:sz w:val="20"/>
          <w:szCs w:val="20"/>
          <w:color w:val="auto"/>
        </w:rPr>
      </w:pPr>
    </w:p>
    <w:p>
      <w:pPr>
        <w:ind w:right="280" w:firstLine="438"/>
        <w:spacing w:after="0" w:line="233" w:lineRule="auto"/>
        <w:rPr>
          <w:sz w:val="20"/>
          <w:szCs w:val="20"/>
          <w:color w:val="auto"/>
        </w:rPr>
      </w:pPr>
      <w:r>
        <w:rPr>
          <w:rFonts w:ascii="Arial" w:cs="Arial" w:eastAsia="Arial" w:hAnsi="Arial"/>
          <w:sz w:val="14"/>
          <w:szCs w:val="14"/>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us, consisting of two components—a base management fee and an incentive fee or, collectively, Management Fees.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i w:val="1"/>
          <w:iCs w:val="1"/>
          <w:color w:val="auto"/>
        </w:rPr>
        <w:t>Management Fees</w:t>
      </w:r>
    </w:p>
    <w:p>
      <w:pPr>
        <w:spacing w:after="0" w:line="123" w:lineRule="exact"/>
        <w:rPr>
          <w:sz w:val="20"/>
          <w:szCs w:val="20"/>
          <w:color w:val="auto"/>
        </w:rPr>
      </w:pPr>
    </w:p>
    <w:p>
      <w:pPr>
        <w:ind w:right="20" w:firstLine="438"/>
        <w:spacing w:after="0" w:line="243" w:lineRule="auto"/>
        <w:rPr>
          <w:sz w:val="20"/>
          <w:szCs w:val="20"/>
          <w:color w:val="auto"/>
        </w:rPr>
      </w:pPr>
      <w:r>
        <w:rPr>
          <w:rFonts w:ascii="Arial" w:cs="Arial" w:eastAsia="Arial" w:hAnsi="Arial"/>
          <w:sz w:val="13"/>
          <w:szCs w:val="13"/>
          <w:color w:val="auto"/>
        </w:rPr>
        <w:t>Effective January 1, 2018, 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In addition, on November 13, 2018, in connection with our board of directors’ approval of the application of the modified asset coverage requirement under the 1940 Act to the Company, our board of directors also approved an amendment to the Investment Advisory Agreement reducing the Investment Adviser’s annual base management fee from 1.50% to 1.00% on gross assets that exceed 200% of the Company’s total net assets as of the immediately preceding quarter-end. This amendment became effective on February 5, 2019 with the amendment and restatement of the Investment Management Agreement on April 12, 2019.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periods prior to January 1, 2018, the base management fee was calculated at an annual rate of 2.00% of our “average adjusted gross assets”. For the years ended September 30, 2021, 2020 and 2019, the Investment Adviser earned base management fees of $17.3 million, $18.6 million and $18.2 million, respectively, from us.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is a hypothetical example of the calculation of average adjusted gross assets:</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Gross assets as of December 31, 20XX = $160 million</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U.S. Treasury bills and temporary draws on credit facilities as of December 31, 20XX = $10 million</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Adjusted gross assets as of December 31, 20XX = $150 million</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Gross assets as of March 31, 20XX = $200 million</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U.S. Treasury bills and temporary draws on credit facilities as of March 31, 20XX = $20 million</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Adjusted gross assets as of March 31, 20XX = $180 million</w:t>
      </w:r>
    </w:p>
    <w:p>
      <w:pPr>
        <w:spacing w:after="0" w:line="136" w:lineRule="exact"/>
        <w:rPr>
          <w:sz w:val="20"/>
          <w:szCs w:val="20"/>
          <w:color w:val="auto"/>
        </w:rPr>
      </w:pPr>
    </w:p>
    <w:p>
      <w:pPr>
        <w:ind w:right="260" w:firstLine="438"/>
        <w:spacing w:after="0" w:line="253" w:lineRule="auto"/>
        <w:rPr>
          <w:sz w:val="20"/>
          <w:szCs w:val="20"/>
          <w:color w:val="auto"/>
        </w:rPr>
      </w:pPr>
      <w:r>
        <w:rPr>
          <w:rFonts w:ascii="Arial" w:cs="Arial" w:eastAsia="Arial" w:hAnsi="Arial"/>
          <w:sz w:val="14"/>
          <w:szCs w:val="14"/>
          <w:color w:val="auto"/>
        </w:rPr>
        <w:t>Average value of adjusted gross assets as of March 31, 20XX and December 31, 20XX, which are the two immediately preceding calendar quarters, and appropriately adjusted for any share issuances or repurchases during the current calendar quarter equals ($150 million + $180 million) / 2 = $165 million.</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firstLine="438"/>
        <w:spacing w:after="0" w:line="260"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(as defined below), and any interest expense or amendment fees under any credit facilities and distribution paid on any issued and outstanding preferred stock, but excluding the incentive fee). Pre-Incentive Fee Net Investment Income includes, in the case of investments with a deferred interest feature (such as original issue discount, or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Effective January 1, 2018, we pay the Investment Adviser an incentive fee with respect to our Pre-Incentive Fee Net Investment Income in each calendar quarter as follows:</w:t>
      </w:r>
    </w:p>
    <w:p>
      <w:pPr>
        <w:spacing w:after="0" w:line="3" w:lineRule="exact"/>
        <w:rPr>
          <w:sz w:val="20"/>
          <w:szCs w:val="20"/>
          <w:color w:val="auto"/>
        </w:rPr>
      </w:pPr>
    </w:p>
    <w:p>
      <w:pPr>
        <w:ind w:firstLine="8"/>
        <w:spacing w:after="0" w:line="241" w:lineRule="auto"/>
        <w:tabs>
          <w:tab w:leader="none" w:pos="204" w:val="left"/>
        </w:tabs>
        <w:numPr>
          <w:ilvl w:val="0"/>
          <w:numId w:val="24"/>
        </w:numPr>
        <w:rPr>
          <w:rFonts w:ascii="Arial" w:cs="Arial" w:eastAsia="Arial" w:hAnsi="Arial"/>
          <w:sz w:val="13"/>
          <w:szCs w:val="13"/>
          <w:color w:val="auto"/>
        </w:rPr>
      </w:pPr>
      <w:r>
        <w:rPr>
          <w:rFonts w:ascii="Arial" w:cs="Arial" w:eastAsia="Arial" w:hAnsi="Arial"/>
          <w:sz w:val="13"/>
          <w:szCs w:val="13"/>
          <w:color w:val="auto"/>
        </w:rPr>
        <w:t>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 For periods prior to January 1, 2018, we paid the Investment Adviser an incentive fee with respect to our Pre-Incentive Fee Net Investment Income in each calendar quarter as follows: (1) no incentive fee in any calendar quarter in which our Pre-Incentive Fee Net Investment Income did not exceed the hurdle rate of 1.75%, (2) 100% of our Pre-Incentive Fee Net Investment Income with respect to that portion of such Pre-Incentive Fee Net Investment Income, if any, that exceeded the hurdle rate but was less than 2.1875% in any calendar quarter (8.75% annualized), and (3) 20% of the amount of our Pre-Incentive Fee Net Investment Income, if any, that exceeded 2.1875% in any calendar quarter. From December 31, 2015 through December 31, 2017, the Investment Adviser voluntarily agreed, in consultation with the board of directors, to irrevocably waive 16% of incentive fees, correlated to our 16% energy cost exposure (oil &amp; gas and energy &amp; utilities industries) at cost as of December 31, 2015. Additionally, beginning April 1, 2020 and through March 31, 2021, the Investment Adviser has voluntarily agreed, in consultation with our board of directors, to irrevocably waive the performance-based incentive fees. For the years ended September 30, 2021, 2020 and 2019, the Investment Adviser earned $0.6 million, $2.7 million (after a waiver of $1.9 million) and $5.1 million, respectively, in incentive fees on net investment income from us.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is a graphical representation of the calculation of quarterly incentive fee based on Pre-Incentive Fee Net Investment Income: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90805</wp:posOffset>
            </wp:positionV>
            <wp:extent cx="2486025" cy="4889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8602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Percentage of 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allocated to income-related portion of incentive fee</w:t>
      </w:r>
    </w:p>
    <w:p>
      <w:pPr>
        <w:spacing w:after="0" w:line="124" w:lineRule="exact"/>
        <w:rPr>
          <w:sz w:val="20"/>
          <w:szCs w:val="20"/>
          <w:color w:val="auto"/>
        </w:rPr>
      </w:pPr>
    </w:p>
    <w:p>
      <w:pPr>
        <w:ind w:right="120" w:firstLine="438"/>
        <w:spacing w:after="0" w:line="231"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2021, 2020 and 2019, the Investment Adviser did not accrue an incentive fee on capital gains as calculated under the Investment Management Agreement (as described above).</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1" w:name="page12"/>
    <w:bookmarkEnd w:id="11"/>
    <w:p>
      <w:pPr>
        <w:ind w:firstLine="438"/>
        <w:spacing w:after="0" w:line="245" w:lineRule="auto"/>
        <w:rPr>
          <w:sz w:val="20"/>
          <w:szCs w:val="20"/>
          <w:color w:val="auto"/>
        </w:rPr>
      </w:pPr>
      <w:r>
        <w:rPr>
          <w:rFonts w:ascii="Arial" w:cs="Arial" w:eastAsia="Arial" w:hAnsi="Arial"/>
          <w:sz w:val="13"/>
          <w:szCs w:val="13"/>
          <w:color w:val="auto"/>
        </w:rPr>
        <w:t>Under U.S. generally accepted accounting principles, or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(20.0% for periods prior to January 1, 2018), less the aggregate amount of actual capital gains related to incentive fees paid in all prior years. If such amount is negative, then there is no accrual for such year. There can be no assurance that such unrealized capital appreciation will be realized in the future. For the years ended September 30, 2021, 2020 and 2019, the Investment Adviser did not accrue an incentive fee on capital gains as calculated under GAAP.</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Examples of Quarterly Incentive Fee Calculation</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1: Income Related Portion of Incentive Fee (*):</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Assumptions</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 (including interest, dividends, fees, etc.) = 1.25%</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Hurdle </w:t>
      </w:r>
      <w:r>
        <w:rPr>
          <w:rFonts w:ascii="Arial" w:cs="Arial" w:eastAsia="Arial" w:hAnsi="Arial"/>
          <w:sz w:val="12"/>
          <w:szCs w:val="12"/>
          <w:color w:val="auto"/>
        </w:rPr>
        <w:t>(1)</w:t>
      </w:r>
      <w:r>
        <w:rPr>
          <w:rFonts w:ascii="Arial" w:cs="Arial" w:eastAsia="Arial" w:hAnsi="Arial"/>
          <w:sz w:val="14"/>
          <w:szCs w:val="14"/>
          <w:color w:val="auto"/>
        </w:rPr>
        <w:t xml:space="preserve"> = 1.75%</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Base management fee </w:t>
      </w:r>
      <w:r>
        <w:rPr>
          <w:rFonts w:ascii="Arial" w:cs="Arial" w:eastAsia="Arial" w:hAnsi="Arial"/>
          <w:sz w:val="12"/>
          <w:szCs w:val="12"/>
          <w:color w:val="auto"/>
        </w:rPr>
        <w:t>(2)</w:t>
      </w:r>
      <w:r>
        <w:rPr>
          <w:rFonts w:ascii="Arial" w:cs="Arial" w:eastAsia="Arial" w:hAnsi="Arial"/>
          <w:sz w:val="14"/>
          <w:szCs w:val="14"/>
          <w:color w:val="auto"/>
        </w:rPr>
        <w:t xml:space="preserve"> = 0.375%</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Other expenses (legal, accounting, custodian, transfer agent, etc.) = 0.20%</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Pre-Incentive Fee Net Investment Income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income—(base management fee + other expenses)) = 0.675%</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Pre-Incentive Fee Net Investment Income does not exceed the hurdle; therefore, there is no incentive fee.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Assumptions</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 (including interest, dividends, fees, etc.) = 2.70%</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Hurdle </w:t>
      </w:r>
      <w:r>
        <w:rPr>
          <w:rFonts w:ascii="Arial" w:cs="Arial" w:eastAsia="Arial" w:hAnsi="Arial"/>
          <w:sz w:val="12"/>
          <w:szCs w:val="12"/>
          <w:color w:val="auto"/>
        </w:rPr>
        <w:t>(1)</w:t>
      </w:r>
      <w:r>
        <w:rPr>
          <w:rFonts w:ascii="Arial" w:cs="Arial" w:eastAsia="Arial" w:hAnsi="Arial"/>
          <w:sz w:val="14"/>
          <w:szCs w:val="14"/>
          <w:color w:val="auto"/>
        </w:rPr>
        <w:t xml:space="preserve"> = 1.75%</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Base management fee </w:t>
      </w:r>
      <w:r>
        <w:rPr>
          <w:rFonts w:ascii="Arial" w:cs="Arial" w:eastAsia="Arial" w:hAnsi="Arial"/>
          <w:sz w:val="12"/>
          <w:szCs w:val="12"/>
          <w:color w:val="auto"/>
        </w:rPr>
        <w:t>(2)</w:t>
      </w:r>
      <w:r>
        <w:rPr>
          <w:rFonts w:ascii="Arial" w:cs="Arial" w:eastAsia="Arial" w:hAnsi="Arial"/>
          <w:sz w:val="14"/>
          <w:szCs w:val="14"/>
          <w:color w:val="auto"/>
        </w:rPr>
        <w:t xml:space="preserve"> = 0.375%</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Other expenses (legal, accounting, custodian, transfer agent, etc.) = 0.20%</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Pre-Incentive Fee Net Investment Income</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income—(base management fee + other expenses)) = 2.125%</w:t>
      </w:r>
    </w:p>
    <w:p>
      <w:pPr>
        <w:spacing w:after="0" w:line="136" w:lineRule="exact"/>
        <w:rPr>
          <w:sz w:val="20"/>
          <w:szCs w:val="20"/>
          <w:color w:val="auto"/>
        </w:rPr>
      </w:pPr>
    </w:p>
    <w:p>
      <w:pPr>
        <w:ind w:left="1100"/>
        <w:spacing w:after="0"/>
        <w:tabs>
          <w:tab w:leader="none" w:pos="2320" w:val="left"/>
        </w:tabs>
        <w:rPr>
          <w:sz w:val="20"/>
          <w:szCs w:val="20"/>
          <w:color w:val="auto"/>
        </w:rPr>
      </w:pPr>
      <w:r>
        <w:rPr>
          <w:rFonts w:ascii="Arial" w:cs="Arial" w:eastAsia="Arial" w:hAnsi="Arial"/>
          <w:sz w:val="14"/>
          <w:szCs w:val="14"/>
          <w:color w:val="auto"/>
        </w:rPr>
        <w:t>Incentive fee</w:t>
      </w:r>
      <w:r>
        <w:rPr>
          <w:sz w:val="20"/>
          <w:szCs w:val="20"/>
          <w:color w:val="auto"/>
        </w:rPr>
        <w:tab/>
      </w:r>
      <w:r>
        <w:rPr>
          <w:rFonts w:ascii="Arial" w:cs="Arial" w:eastAsia="Arial" w:hAnsi="Arial"/>
          <w:sz w:val="13"/>
          <w:szCs w:val="13"/>
          <w:color w:val="auto"/>
        </w:rPr>
        <w:t>= 17.5% x Pre-Incentive Fee Net Investment Income, subject to “catch-up”</w:t>
      </w:r>
    </w:p>
    <w:p>
      <w:pPr>
        <w:ind w:left="2440" w:hanging="110"/>
        <w:spacing w:after="0" w:line="221" w:lineRule="auto"/>
        <w:tabs>
          <w:tab w:leader="none" w:pos="24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2.125% - 1.75%</w:t>
      </w:r>
    </w:p>
    <w:p>
      <w:pPr>
        <w:ind w:left="2440" w:hanging="110"/>
        <w:spacing w:after="0" w:line="221" w:lineRule="auto"/>
        <w:tabs>
          <w:tab w:leader="none" w:pos="24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0.375%</w:t>
      </w:r>
    </w:p>
    <w:p>
      <w:pPr>
        <w:ind w:left="2440" w:hanging="110"/>
        <w:spacing w:after="0" w:line="221" w:lineRule="auto"/>
        <w:tabs>
          <w:tab w:leader="none" w:pos="24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100% x 0.375%</w:t>
      </w:r>
    </w:p>
    <w:p>
      <w:pPr>
        <w:ind w:left="2440" w:hanging="110"/>
        <w:spacing w:after="0"/>
        <w:tabs>
          <w:tab w:leader="none" w:pos="24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0.375%</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3:</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Assumptions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 (including interest, dividends, fees, etc.) = 3.00%</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Hurdle </w:t>
      </w:r>
      <w:r>
        <w:rPr>
          <w:rFonts w:ascii="Arial" w:cs="Arial" w:eastAsia="Arial" w:hAnsi="Arial"/>
          <w:sz w:val="12"/>
          <w:szCs w:val="12"/>
          <w:color w:val="auto"/>
        </w:rPr>
        <w:t>(1)</w:t>
      </w:r>
      <w:r>
        <w:rPr>
          <w:rFonts w:ascii="Arial" w:cs="Arial" w:eastAsia="Arial" w:hAnsi="Arial"/>
          <w:sz w:val="14"/>
          <w:szCs w:val="14"/>
          <w:color w:val="auto"/>
        </w:rPr>
        <w:t xml:space="preserve"> = 1.75%</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Base management fee </w:t>
      </w:r>
      <w:r>
        <w:rPr>
          <w:rFonts w:ascii="Arial" w:cs="Arial" w:eastAsia="Arial" w:hAnsi="Arial"/>
          <w:sz w:val="12"/>
          <w:szCs w:val="12"/>
          <w:color w:val="auto"/>
        </w:rPr>
        <w:t>(2)</w:t>
      </w:r>
      <w:r>
        <w:rPr>
          <w:rFonts w:ascii="Arial" w:cs="Arial" w:eastAsia="Arial" w:hAnsi="Arial"/>
          <w:sz w:val="14"/>
          <w:szCs w:val="14"/>
          <w:color w:val="auto"/>
        </w:rPr>
        <w:t xml:space="preserve"> = 0.375%</w:t>
      </w: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320" w:top="364" w:right="479" w:bottom="1440" w:gutter="0" w:footer="0" w:header="0"/>
        </w:sectPr>
      </w:pPr>
    </w:p>
    <w:bookmarkStart w:id="12" w:name="page13"/>
    <w:bookmarkEnd w:id="12"/>
    <w:p>
      <w:pPr>
        <w:ind w:left="160"/>
        <w:spacing w:after="0"/>
        <w:rPr>
          <w:sz w:val="20"/>
          <w:szCs w:val="20"/>
          <w:color w:val="auto"/>
        </w:rPr>
      </w:pPr>
      <w:r>
        <w:rPr>
          <w:rFonts w:ascii="Arial" w:cs="Arial" w:eastAsia="Arial" w:hAnsi="Arial"/>
          <w:sz w:val="12"/>
          <w:szCs w:val="12"/>
          <w:color w:val="auto"/>
        </w:rPr>
        <w:t>Other expenses (legal, accounting, custodian, transfer agent, etc.) = 0.20%</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Pre-Incentive Fee Net Investment Income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(investment income—(base management fee + other expenses)) = 2.425%</w:t>
      </w:r>
    </w:p>
    <w:p>
      <w:pPr>
        <w:sectPr>
          <w:pgSz w:w="11900" w:h="16838" w:orient="portrait"/>
          <w:cols w:equalWidth="0" w:num="1">
            <w:col w:w="11220"/>
          </w:cols>
          <w:pgMar w:left="320" w:top="283" w:right="359" w:bottom="1440" w:gutter="0" w:footer="0" w:header="0"/>
        </w:sectPr>
      </w:pPr>
    </w:p>
    <w:p>
      <w:pPr>
        <w:spacing w:after="0" w:line="159"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Incentive fee</w:t>
      </w:r>
    </w:p>
    <w:p>
      <w:pPr>
        <w:spacing w:after="0" w:line="10"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Incentive fee</w:t>
      </w:r>
    </w:p>
    <w:p>
      <w:pPr>
        <w:ind w:left="1100"/>
        <w:spacing w:after="0"/>
        <w:rPr>
          <w:sz w:val="20"/>
          <w:szCs w:val="20"/>
          <w:color w:val="auto"/>
        </w:rPr>
      </w:pPr>
      <w:r>
        <w:rPr>
          <w:rFonts w:ascii="Arial" w:cs="Arial" w:eastAsia="Arial" w:hAnsi="Arial"/>
          <w:sz w:val="14"/>
          <w:szCs w:val="14"/>
          <w:color w:val="auto"/>
        </w:rPr>
        <w:t>Catch-up</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17.5% x Pre-Incentive Fee Net Investment Income, subject to “catch-up” </w:t>
      </w:r>
      <w:r>
        <w:rPr>
          <w:rFonts w:ascii="Arial" w:cs="Arial" w:eastAsia="Arial" w:hAnsi="Arial"/>
          <w:sz w:val="12"/>
          <w:szCs w:val="12"/>
          <w:color w:val="auto"/>
        </w:rPr>
        <w:t>(3)</w:t>
      </w:r>
    </w:p>
    <w:p>
      <w:pPr>
        <w:spacing w:after="0"/>
        <w:rPr>
          <w:sz w:val="20"/>
          <w:szCs w:val="20"/>
          <w:color w:val="auto"/>
        </w:rPr>
      </w:pPr>
      <w:r>
        <w:rPr>
          <w:rFonts w:ascii="Arial" w:cs="Arial" w:eastAsia="Arial" w:hAnsi="Arial"/>
          <w:sz w:val="13"/>
          <w:szCs w:val="13"/>
          <w:color w:val="auto"/>
        </w:rPr>
        <w:t>= 100% x “catch-up” + (17.5% x (Pre-Incentive Fee Net Investment Income - 2.1212%))</w:t>
      </w:r>
    </w:p>
    <w:p>
      <w:pPr>
        <w:spacing w:after="0"/>
        <w:rPr>
          <w:sz w:val="20"/>
          <w:szCs w:val="20"/>
          <w:color w:val="auto"/>
        </w:rPr>
      </w:pPr>
      <w:r>
        <w:rPr>
          <w:rFonts w:ascii="Arial" w:cs="Arial" w:eastAsia="Arial" w:hAnsi="Arial"/>
          <w:sz w:val="14"/>
          <w:szCs w:val="14"/>
          <w:color w:val="auto"/>
        </w:rPr>
        <w:t>= 2.1212% - 1.75%</w:t>
      </w:r>
    </w:p>
    <w:p>
      <w:pPr>
        <w:spacing w:after="0" w:line="1" w:lineRule="exact"/>
        <w:rPr>
          <w:sz w:val="20"/>
          <w:szCs w:val="20"/>
          <w:color w:val="auto"/>
        </w:rPr>
      </w:pPr>
    </w:p>
    <w:p>
      <w:pPr>
        <w:sectPr>
          <w:pgSz w:w="11900" w:h="16838" w:orient="portrait"/>
          <w:cols w:equalWidth="0" w:num="2">
            <w:col w:w="1840" w:space="500"/>
            <w:col w:w="8880"/>
          </w:cols>
          <w:pgMar w:left="320" w:top="283" w:right="359" w:bottom="1440" w:gutter="0" w:footer="0" w:header="0"/>
          <w:type w:val="continuous"/>
        </w:sectPr>
      </w:pPr>
    </w:p>
    <w:p>
      <w:pPr>
        <w:ind w:left="2440" w:hanging="110"/>
        <w:spacing w:after="0" w:line="202" w:lineRule="auto"/>
        <w:tabs>
          <w:tab w:leader="none" w:pos="2440" w:val="left"/>
        </w:tabs>
        <w:numPr>
          <w:ilvl w:val="1"/>
          <w:numId w:val="26"/>
        </w:numPr>
        <w:rPr>
          <w:rFonts w:ascii="Arial" w:cs="Arial" w:eastAsia="Arial" w:hAnsi="Arial"/>
          <w:sz w:val="14"/>
          <w:szCs w:val="14"/>
          <w:color w:val="auto"/>
        </w:rPr>
      </w:pPr>
      <w:r>
        <w:rPr>
          <w:rFonts w:ascii="Arial" w:cs="Arial" w:eastAsia="Arial" w:hAnsi="Arial"/>
          <w:sz w:val="14"/>
          <w:szCs w:val="14"/>
          <w:color w:val="auto"/>
        </w:rPr>
        <w:t>0.3712%</w:t>
      </w:r>
    </w:p>
    <w:p>
      <w:pPr>
        <w:ind w:left="2440" w:hanging="110"/>
        <w:spacing w:after="0" w:line="221" w:lineRule="auto"/>
        <w:tabs>
          <w:tab w:leader="none" w:pos="2440" w:val="left"/>
        </w:tabs>
        <w:numPr>
          <w:ilvl w:val="1"/>
          <w:numId w:val="26"/>
        </w:numPr>
        <w:rPr>
          <w:rFonts w:ascii="Arial" w:cs="Arial" w:eastAsia="Arial" w:hAnsi="Arial"/>
          <w:sz w:val="14"/>
          <w:szCs w:val="14"/>
          <w:color w:val="auto"/>
        </w:rPr>
      </w:pPr>
      <w:r>
        <w:rPr>
          <w:rFonts w:ascii="Arial" w:cs="Arial" w:eastAsia="Arial" w:hAnsi="Arial"/>
          <w:sz w:val="14"/>
          <w:szCs w:val="14"/>
          <w:color w:val="auto"/>
        </w:rPr>
        <w:t>(100% x 0.3712%) + (17.5% x (2.425% - 2.1212%))</w:t>
      </w:r>
    </w:p>
    <w:p>
      <w:pPr>
        <w:ind w:left="2440" w:hanging="110"/>
        <w:spacing w:after="0" w:line="221" w:lineRule="auto"/>
        <w:tabs>
          <w:tab w:leader="none" w:pos="2440" w:val="left"/>
        </w:tabs>
        <w:numPr>
          <w:ilvl w:val="1"/>
          <w:numId w:val="26"/>
        </w:numPr>
        <w:rPr>
          <w:rFonts w:ascii="Arial" w:cs="Arial" w:eastAsia="Arial" w:hAnsi="Arial"/>
          <w:sz w:val="14"/>
          <w:szCs w:val="14"/>
          <w:color w:val="auto"/>
        </w:rPr>
      </w:pPr>
      <w:r>
        <w:rPr>
          <w:rFonts w:ascii="Arial" w:cs="Arial" w:eastAsia="Arial" w:hAnsi="Arial"/>
          <w:sz w:val="14"/>
          <w:szCs w:val="14"/>
          <w:color w:val="auto"/>
        </w:rPr>
        <w:t>0.3712% + (17.5% x 0.3038%)</w:t>
      </w:r>
    </w:p>
    <w:p>
      <w:pPr>
        <w:ind w:left="2440" w:hanging="110"/>
        <w:spacing w:after="0" w:line="221" w:lineRule="auto"/>
        <w:tabs>
          <w:tab w:leader="none" w:pos="2440" w:val="left"/>
        </w:tabs>
        <w:numPr>
          <w:ilvl w:val="1"/>
          <w:numId w:val="26"/>
        </w:numPr>
        <w:rPr>
          <w:rFonts w:ascii="Arial" w:cs="Arial" w:eastAsia="Arial" w:hAnsi="Arial"/>
          <w:sz w:val="14"/>
          <w:szCs w:val="14"/>
          <w:color w:val="auto"/>
        </w:rPr>
      </w:pPr>
      <w:r>
        <w:rPr>
          <w:rFonts w:ascii="Arial" w:cs="Arial" w:eastAsia="Arial" w:hAnsi="Arial"/>
          <w:sz w:val="14"/>
          <w:szCs w:val="14"/>
          <w:color w:val="auto"/>
        </w:rPr>
        <w:t>0.3712% + 0.053165%</w:t>
      </w:r>
    </w:p>
    <w:p>
      <w:pPr>
        <w:ind w:left="2440" w:hanging="110"/>
        <w:spacing w:after="0"/>
        <w:tabs>
          <w:tab w:leader="none" w:pos="2440" w:val="left"/>
        </w:tabs>
        <w:numPr>
          <w:ilvl w:val="1"/>
          <w:numId w:val="26"/>
        </w:numPr>
        <w:rPr>
          <w:rFonts w:ascii="Arial" w:cs="Arial" w:eastAsia="Arial" w:hAnsi="Arial"/>
          <w:sz w:val="14"/>
          <w:szCs w:val="14"/>
          <w:color w:val="auto"/>
        </w:rPr>
      </w:pPr>
      <w:r>
        <w:rPr>
          <w:rFonts w:ascii="Arial" w:cs="Arial" w:eastAsia="Arial" w:hAnsi="Arial"/>
          <w:sz w:val="14"/>
          <w:szCs w:val="14"/>
          <w:color w:val="auto"/>
        </w:rPr>
        <w:t>0.424365%</w:t>
      </w:r>
    </w:p>
    <w:p>
      <w:pPr>
        <w:spacing w:after="0" w:line="17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2"/>
          <w:szCs w:val="12"/>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3455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ind w:left="380" w:hanging="372"/>
        <w:spacing w:after="0"/>
        <w:tabs>
          <w:tab w:leader="none" w:pos="380" w:val="left"/>
        </w:tabs>
        <w:numPr>
          <w:ilvl w:val="0"/>
          <w:numId w:val="27"/>
        </w:numPr>
        <w:rPr>
          <w:rFonts w:ascii="Arial" w:cs="Arial" w:eastAsia="Arial" w:hAnsi="Arial"/>
          <w:sz w:val="12"/>
          <w:szCs w:val="12"/>
          <w:color w:val="auto"/>
        </w:rPr>
      </w:pPr>
      <w:r>
        <w:rPr>
          <w:rFonts w:ascii="Arial" w:cs="Arial" w:eastAsia="Arial" w:hAnsi="Arial"/>
          <w:sz w:val="14"/>
          <w:szCs w:val="14"/>
          <w:color w:val="auto"/>
        </w:rPr>
        <w:t>Represents 7.0% annualized hurdle.</w:t>
      </w:r>
    </w:p>
    <w:p>
      <w:pPr>
        <w:ind w:left="380" w:hanging="372"/>
        <w:spacing w:after="0" w:line="221" w:lineRule="auto"/>
        <w:tabs>
          <w:tab w:leader="none" w:pos="380" w:val="left"/>
        </w:tabs>
        <w:numPr>
          <w:ilvl w:val="0"/>
          <w:numId w:val="27"/>
        </w:numPr>
        <w:rPr>
          <w:rFonts w:ascii="Arial" w:cs="Arial" w:eastAsia="Arial" w:hAnsi="Arial"/>
          <w:sz w:val="12"/>
          <w:szCs w:val="12"/>
          <w:color w:val="auto"/>
        </w:rPr>
      </w:pPr>
      <w:r>
        <w:rPr>
          <w:rFonts w:ascii="Arial" w:cs="Arial" w:eastAsia="Arial" w:hAnsi="Arial"/>
          <w:sz w:val="14"/>
          <w:szCs w:val="14"/>
          <w:color w:val="auto"/>
        </w:rPr>
        <w:t>Represents 1.5% annualized base management fee.</w:t>
      </w:r>
    </w:p>
    <w:p>
      <w:pPr>
        <w:ind w:left="380" w:right="260" w:hanging="372"/>
        <w:spacing w:after="0" w:line="237" w:lineRule="auto"/>
        <w:tabs>
          <w:tab w:leader="none" w:pos="380" w:val="left"/>
        </w:tabs>
        <w:numPr>
          <w:ilvl w:val="0"/>
          <w:numId w:val="27"/>
        </w:numPr>
        <w:rPr>
          <w:rFonts w:ascii="Arial" w:cs="Arial" w:eastAsia="Arial" w:hAnsi="Arial"/>
          <w:sz w:val="12"/>
          <w:szCs w:val="12"/>
          <w:color w:val="auto"/>
        </w:rPr>
      </w:pPr>
      <w:r>
        <w:rPr>
          <w:rFonts w:ascii="Arial" w:cs="Arial" w:eastAsia="Arial" w:hAnsi="Arial"/>
          <w:sz w:val="14"/>
          <w:szCs w:val="14"/>
          <w:color w:val="auto"/>
        </w:rPr>
        <w:t>The “catch-up” provision is intended to provide the Investment Adviser with an incentive fee of 17.5% on all of our Pre-Incentive Fee Net Investment Income as if a hurdle rate did not apply when our net investment income exceeds 2.1212% in any calendar quarter.</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2: Capital Gains Portion of Incentive Fee:</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Assumptions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1 = no net realized capital gains or losses</w:t>
      </w:r>
    </w:p>
    <w:p>
      <w:pPr>
        <w:spacing w:after="0" w:line="123" w:lineRule="exact"/>
        <w:rPr>
          <w:sz w:val="20"/>
          <w:szCs w:val="20"/>
          <w:color w:val="auto"/>
        </w:rPr>
      </w:pPr>
    </w:p>
    <w:p>
      <w:pPr>
        <w:ind w:left="160" w:right="200"/>
        <w:spacing w:after="0" w:line="253" w:lineRule="auto"/>
        <w:rPr>
          <w:sz w:val="20"/>
          <w:szCs w:val="20"/>
          <w:color w:val="auto"/>
        </w:rPr>
      </w:pPr>
      <w:r>
        <w:rPr>
          <w:rFonts w:ascii="Arial" w:cs="Arial" w:eastAsia="Arial" w:hAnsi="Arial"/>
          <w:sz w:val="14"/>
          <w:szCs w:val="14"/>
          <w:color w:val="auto"/>
        </w:rPr>
        <w:t>Year 2 = 6% realized capital gains and 1% realized capital losses and unrealized capital depreciation, capital gain incentive fee = 17.5% x (realized capital gains for year computed net of all realized capital losses and unrealized capital depreciation at year end)</w:t>
      </w:r>
    </w:p>
    <w:p>
      <w:pPr>
        <w:spacing w:after="0" w:line="106" w:lineRule="exact"/>
        <w:rPr>
          <w:sz w:val="20"/>
          <w:szCs w:val="20"/>
          <w:color w:val="auto"/>
        </w:rPr>
      </w:pPr>
    </w:p>
    <w:p>
      <w:pPr>
        <w:ind w:left="1100"/>
        <w:spacing w:after="0"/>
        <w:tabs>
          <w:tab w:leader="none" w:pos="2360" w:val="left"/>
        </w:tabs>
        <w:rPr>
          <w:sz w:val="20"/>
          <w:szCs w:val="20"/>
          <w:color w:val="auto"/>
        </w:rPr>
      </w:pPr>
      <w:r>
        <w:rPr>
          <w:rFonts w:ascii="Arial" w:cs="Arial" w:eastAsia="Arial" w:hAnsi="Arial"/>
          <w:sz w:val="14"/>
          <w:szCs w:val="14"/>
          <w:color w:val="auto"/>
        </w:rPr>
        <w:t>Year 1 incentive fee</w:t>
      </w:r>
      <w:r>
        <w:rPr>
          <w:sz w:val="20"/>
          <w:szCs w:val="20"/>
          <w:color w:val="auto"/>
        </w:rPr>
        <w:tab/>
      </w:r>
      <w:r>
        <w:rPr>
          <w:rFonts w:ascii="Arial" w:cs="Arial" w:eastAsia="Arial" w:hAnsi="Arial"/>
          <w:sz w:val="13"/>
          <w:szCs w:val="13"/>
          <w:color w:val="auto"/>
        </w:rPr>
        <w:t>= 17.5% x (0)</w:t>
      </w:r>
    </w:p>
    <w:p>
      <w:pPr>
        <w:ind w:left="2500" w:hanging="116"/>
        <w:spacing w:after="0" w:line="221" w:lineRule="auto"/>
        <w:tabs>
          <w:tab w:leader="none" w:pos="2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0</w:t>
      </w:r>
    </w:p>
    <w:p>
      <w:pPr>
        <w:ind w:left="2500" w:hanging="116"/>
        <w:spacing w:after="0"/>
        <w:tabs>
          <w:tab w:leader="none" w:pos="2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no incentive fee</w:t>
      </w:r>
    </w:p>
    <w:p>
      <w:pPr>
        <w:spacing w:after="0" w:line="124" w:lineRule="exact"/>
        <w:rPr>
          <w:sz w:val="20"/>
          <w:szCs w:val="20"/>
          <w:color w:val="auto"/>
        </w:rPr>
      </w:pPr>
    </w:p>
    <w:p>
      <w:pPr>
        <w:ind w:left="2500" w:hanging="116"/>
        <w:spacing w:after="0"/>
        <w:tabs>
          <w:tab w:leader="none" w:pos="2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17.5% x 5%</w:t>
      </w:r>
    </w:p>
    <w:p>
      <w:pPr>
        <w:ind w:left="2500" w:hanging="116"/>
        <w:spacing w:after="0"/>
        <w:tabs>
          <w:tab w:leader="none" w:pos="2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0.875%</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of the Investment Adviser</w:t>
      </w:r>
    </w:p>
    <w:p>
      <w:pPr>
        <w:spacing w:after="0" w:line="136" w:lineRule="exact"/>
        <w:rPr>
          <w:sz w:val="20"/>
          <w:szCs w:val="20"/>
          <w:color w:val="auto"/>
        </w:rPr>
      </w:pPr>
    </w:p>
    <w:p>
      <w:pPr>
        <w:ind w:right="460" w:firstLine="438"/>
        <w:spacing w:after="0" w:line="253" w:lineRule="auto"/>
        <w:rPr>
          <w:sz w:val="20"/>
          <w:szCs w:val="20"/>
          <w:color w:val="auto"/>
        </w:rPr>
      </w:pPr>
      <w:r>
        <w:rPr>
          <w:rFonts w:ascii="Arial" w:cs="Arial" w:eastAsia="Arial" w:hAnsi="Arial"/>
          <w:sz w:val="14"/>
          <w:szCs w:val="14"/>
          <w:color w:val="auto"/>
        </w:rPr>
        <w:t>PennantPark Investment Advisers is a registered investment adviser under the Investment Advisers Act of 1940, as amended, or the Advisers Act. The principal executive office of PennantPark Investment Advisers is located at 590 Madison Avenue, 15th Floor, New York, NY 10022.</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Duration and Termination of Investment Management Agreement</w:t>
      </w:r>
    </w:p>
    <w:p>
      <w:pPr>
        <w:spacing w:after="0" w:line="136"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The Investment Management Agreement was reapproved by our board of directors, including a majority of our directors who are not interested persons of us or the Investment Adviser in February 2021. Unless terminated earlier as described below, the Investment Management Agreement will continue in effect for a period of one year through February 2022.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the Investment Adviser’s ability to manage conflicts of interest effectively, our short and long-term performance, our costs, including as compared to comparable externally and internally managed publicly traded BDCs that engage in similar investing activities, the Investment Adviser’s profitability, any economies of scale, and any other benefits of the relationship for the Investment Adviser.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100"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Administration Agreement</w:t>
      </w:r>
    </w:p>
    <w:p>
      <w:pPr>
        <w:spacing w:after="0" w:line="136" w:lineRule="exact"/>
        <w:rPr>
          <w:sz w:val="20"/>
          <w:szCs w:val="20"/>
          <w:color w:val="auto"/>
        </w:rPr>
      </w:pPr>
    </w:p>
    <w:p>
      <w:pPr>
        <w:ind w:right="40" w:firstLine="438"/>
        <w:spacing w:after="0" w:line="243" w:lineRule="auto"/>
        <w:rPr>
          <w:sz w:val="20"/>
          <w:szCs w:val="20"/>
          <w:color w:val="auto"/>
        </w:rPr>
      </w:pPr>
      <w:r>
        <w:rPr>
          <w:rFonts w:ascii="Arial" w:cs="Arial" w:eastAsia="Arial" w:hAnsi="Arial"/>
          <w:sz w:val="13"/>
          <w:szCs w:val="13"/>
          <w:color w:val="auto"/>
        </w:rPr>
        <w:t>We have entered into an agreement, or the Administration Agreement, with the Administrator, under which the Administrator furnishes us with office facilities, equipment and clerical, bookkeeping and record keeping services. Under our Administration Agreement, the Administrator performs, or oversees the performance of, our required administrative services, which include, among other activities, being responsible for the financial records we are required to maintain and preparing reports to our stockholders and reports filed with the SEC. In addition, the Administrator assists us in determining and publishing our NAV, oversees the preparation and filing of our tax returns and generally oversees the payment of our expenses and the performance of administrative and professional services rendered to us by others. PennantPark Investment, through the Administrator, provides similar services to SBIC II under its administration agreement with us. For providing these services, facilities and personnel, we have agreed to reimburse the Administrator for its allocable portion of overhead and other expenses incurred by the Administrator in performing its obligations under the Administration Agreement, including rent, technology systems, insurance and our allocable portion of the cost of compensation and related expenses of our Chief Compliance Officer, Chief Financial Officer and their respective staffs. The Administrator also offers on our behalf, significant managerial assistance to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Statements of Operations. For the years ended September 30, 2021, 2020 and 2019, we reimbursed the Investment Adviser approximately $1.2 million, $1.4 million and $1.8 million, respectively, including expenses the Investment Adviser incurred on behalf of the Administrator for services described above.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b w:val="1"/>
          <w:bCs w:val="1"/>
          <w:i w:val="1"/>
          <w:iCs w:val="1"/>
          <w:color w:val="auto"/>
        </w:rPr>
        <w:t>Duration and Termination of Administration Agreement</w:t>
      </w:r>
    </w:p>
    <w:p>
      <w:pPr>
        <w:spacing w:after="0" w:line="123" w:lineRule="exact"/>
        <w:rPr>
          <w:sz w:val="20"/>
          <w:szCs w:val="20"/>
          <w:color w:val="auto"/>
        </w:rPr>
      </w:pPr>
    </w:p>
    <w:p>
      <w:pPr>
        <w:ind w:right="140" w:firstLine="438"/>
        <w:spacing w:after="0" w:line="231" w:lineRule="auto"/>
        <w:rPr>
          <w:sz w:val="20"/>
          <w:szCs w:val="20"/>
          <w:color w:val="auto"/>
        </w:rPr>
      </w:pPr>
      <w:r>
        <w:rPr>
          <w:rFonts w:ascii="Arial" w:cs="Arial" w:eastAsia="Arial" w:hAnsi="Arial"/>
          <w:sz w:val="14"/>
          <w:szCs w:val="14"/>
          <w:color w:val="auto"/>
        </w:rPr>
        <w:t>The Administration Agreement was reapproved by our board of directors, including a majority of our directors who are not interested persons of us, in February 2021. Unless terminated earlier as described below, our Administration Agreement will continue in effect for a period of one year through February 2022. It will remain in effect if approved annually by our board of directors, or by the affirmative vote of the holders of a majority of our outstanding voting securities, including, in either case, approval by a majority of our directors who are not interested persons of us. The Administration Agreement may not be assigned by either party without the consent of the other party. The Administration Agreement may be terminated by either party without penalty upon 60 days’ written notice to the other.</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Indemnification</w:t>
      </w:r>
    </w:p>
    <w:p>
      <w:pPr>
        <w:spacing w:after="0" w:line="136" w:lineRule="exact"/>
        <w:rPr>
          <w:sz w:val="20"/>
          <w:szCs w:val="20"/>
          <w:color w:val="auto"/>
        </w:rPr>
      </w:pPr>
    </w:p>
    <w:p>
      <w:pPr>
        <w:ind w:right="260" w:firstLine="438"/>
        <w:spacing w:after="0" w:line="251" w:lineRule="auto"/>
        <w:rPr>
          <w:sz w:val="20"/>
          <w:szCs w:val="20"/>
          <w:color w:val="auto"/>
        </w:rPr>
      </w:pPr>
      <w:r>
        <w:rPr>
          <w:rFonts w:ascii="Arial" w:cs="Arial" w:eastAsia="Arial" w:hAnsi="Arial"/>
          <w:sz w:val="13"/>
          <w:szCs w:val="13"/>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managers,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License Agreement</w:t>
      </w:r>
    </w:p>
    <w:p>
      <w:pPr>
        <w:spacing w:after="0" w:line="136"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We have entered into a license agreement, or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PennantPark Senior Loan Fund, LLC</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In July 2020, we and Pantheon formed PSLF, an unconsolidated joint venture. PSLF invests primarily in middle-market and other corporate debt securities consistent with our strategy.</w:t>
      </w:r>
    </w:p>
    <w:p>
      <w:pPr>
        <w:spacing w:after="0" w:line="33" w:lineRule="exact"/>
        <w:rPr>
          <w:sz w:val="20"/>
          <w:szCs w:val="20"/>
          <w:color w:val="auto"/>
        </w:rPr>
      </w:pPr>
    </w:p>
    <w:p>
      <w:pPr>
        <w:ind w:right="80"/>
        <w:spacing w:after="0" w:line="252" w:lineRule="auto"/>
        <w:rPr>
          <w:sz w:val="20"/>
          <w:szCs w:val="20"/>
          <w:color w:val="auto"/>
        </w:rPr>
      </w:pPr>
      <w:r>
        <w:rPr>
          <w:rFonts w:ascii="Arial" w:cs="Arial" w:eastAsia="Arial" w:hAnsi="Arial"/>
          <w:sz w:val="13"/>
          <w:szCs w:val="13"/>
          <w:color w:val="auto"/>
        </w:rPr>
        <w:t>PSLF was formed as a Delaware limited liability company. As of September 30, 2021 and 2020 PSLF had total assets of $417.4 million and $361.8 million, respectively. PSLF’s portfolio consisted of debt investments in 47 and 37 portfolio companies as of September 30, 2021 and 2020, respectively. As of September 30, 2021, at fair value, the largest investment in a single portfolio company in PSLF was $16.8 million and the five largest investments totaled $74.4 million. As of September 30, 2020, at fair value, the largest investment in a single portfolio company in PSLF was $18.4 million and the five largest investments totaled $77.9 million. PSLF invests in portfolio companies in the same industries in which we may directly invest.</w:t>
      </w:r>
    </w:p>
    <w:p>
      <w:pPr>
        <w:spacing w:after="0" w:line="108"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We provide capital to PSLF in the form of subordinated notes and equity interests. As of September 30, 2021 and 2020 we and Pantheon owned 60.5% and 39.5%, respectively, and 72.0% and 28.0%, respectively, of each of the outstanding subordinated notes and equity interests of PSLF. As of the same dates, our investment in PSLF consisted of subordinated notes of $64.2 million and $63.0 million, respectively, and equity interests of $41.2 million and $36.3 million, respectively.</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REGULATION</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Development Company, Regulated Investment Company Regulations and Small Business Investment Company Regulations</w:t>
      </w:r>
    </w:p>
    <w:p>
      <w:pPr>
        <w:spacing w:after="0" w:line="136" w:lineRule="exact"/>
        <w:rPr>
          <w:sz w:val="20"/>
          <w:szCs w:val="20"/>
          <w:color w:val="auto"/>
        </w:rPr>
      </w:pPr>
    </w:p>
    <w:p>
      <w:pPr>
        <w:ind w:right="60" w:firstLine="438"/>
        <w:spacing w:after="0" w:line="255" w:lineRule="auto"/>
        <w:rPr>
          <w:sz w:val="20"/>
          <w:szCs w:val="20"/>
          <w:color w:val="auto"/>
        </w:rPr>
      </w:pPr>
      <w:r>
        <w:rPr>
          <w:rFonts w:ascii="Arial" w:cs="Arial" w:eastAsia="Arial" w:hAnsi="Arial"/>
          <w:sz w:val="13"/>
          <w:szCs w:val="13"/>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94" w:lineRule="exact"/>
        <w:rPr>
          <w:sz w:val="20"/>
          <w:szCs w:val="20"/>
          <w:color w:val="auto"/>
        </w:rPr>
      </w:pPr>
    </w:p>
    <w:p>
      <w:pPr>
        <w:ind w:right="100" w:firstLine="438"/>
        <w:spacing w:after="0" w:line="226" w:lineRule="auto"/>
        <w:rPr>
          <w:sz w:val="20"/>
          <w:szCs w:val="20"/>
          <w:color w:val="auto"/>
        </w:rPr>
      </w:pPr>
      <w:r>
        <w:rPr>
          <w:rFonts w:ascii="Arial" w:cs="Arial" w:eastAsia="Arial" w:hAnsi="Arial"/>
          <w:sz w:val="14"/>
          <w:szCs w:val="14"/>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of 1933, as amended, or the Securities Act. We may purchase or otherwise receive warrants to purchase the common stock of our portfolio companies in connection with acquisition financing or other investments. Similarly, in connection with an acquisition, we may acquire rights to require the issuers of securities we own or their affiliates to repurchase them under certain circumstances. We do not intend to acquire securities issued by any registered investment company that exceed the limits imposed by the 1940 Act. Under these limits, we generally cannot acquire more than 3% of the voting stock of any registered investment company, invest more than 5% of the value of our total assets in the securities of one registered investment company or invest more than 10% of the value of our total assets in the securities of more than one registered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and currency fluctuations. None of these policies are fundamental and they may be changed without stockholder approval.</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Qualifying Assets</w:t>
      </w:r>
    </w:p>
    <w:p>
      <w:pPr>
        <w:spacing w:after="0" w:line="136" w:lineRule="exact"/>
        <w:rPr>
          <w:sz w:val="20"/>
          <w:szCs w:val="20"/>
          <w:color w:val="auto"/>
        </w:rPr>
      </w:pPr>
    </w:p>
    <w:p>
      <w:pPr>
        <w:ind w:right="40" w:firstLine="438"/>
        <w:spacing w:after="0" w:line="290" w:lineRule="auto"/>
        <w:rPr>
          <w:sz w:val="20"/>
          <w:szCs w:val="20"/>
          <w:color w:val="auto"/>
        </w:rPr>
      </w:pPr>
      <w:r>
        <w:rPr>
          <w:rFonts w:ascii="Arial" w:cs="Arial" w:eastAsia="Arial" w:hAnsi="Arial"/>
          <w:sz w:val="13"/>
          <w:szCs w:val="13"/>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71" w:lineRule="exact"/>
        <w:rPr>
          <w:sz w:val="20"/>
          <w:szCs w:val="20"/>
          <w:color w:val="auto"/>
        </w:rPr>
      </w:pPr>
    </w:p>
    <w:p>
      <w:pPr>
        <w:ind w:left="920" w:right="60" w:hanging="359"/>
        <w:spacing w:after="0" w:line="238" w:lineRule="auto"/>
        <w:tabs>
          <w:tab w:leader="none" w:pos="9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115" w:lineRule="exact"/>
        <w:rPr>
          <w:rFonts w:ascii="Arial" w:cs="Arial" w:eastAsia="Arial" w:hAnsi="Arial"/>
          <w:sz w:val="14"/>
          <w:szCs w:val="14"/>
          <w:color w:val="auto"/>
        </w:rPr>
      </w:pPr>
    </w:p>
    <w:p>
      <w:pPr>
        <w:ind w:left="1480" w:hanging="365"/>
        <w:spacing w:after="0"/>
        <w:tabs>
          <w:tab w:leader="none" w:pos="1480" w:val="left"/>
        </w:tabs>
        <w:numPr>
          <w:ilvl w:val="1"/>
          <w:numId w:val="30"/>
        </w:numPr>
        <w:rPr>
          <w:rFonts w:ascii="Arial" w:cs="Arial" w:eastAsia="Arial" w:hAnsi="Arial"/>
          <w:sz w:val="14"/>
          <w:szCs w:val="14"/>
          <w:color w:val="auto"/>
        </w:rPr>
      </w:pPr>
      <w:r>
        <w:rPr>
          <w:rFonts w:ascii="Arial" w:cs="Arial" w:eastAsia="Arial" w:hAnsi="Arial"/>
          <w:sz w:val="14"/>
          <w:szCs w:val="14"/>
          <w:color w:val="auto"/>
        </w:rPr>
        <w:t>is organized under the laws of, and has its principal place of business in, the United States;</w:t>
      </w:r>
    </w:p>
    <w:p>
      <w:pPr>
        <w:spacing w:after="0" w:line="203" w:lineRule="exact"/>
        <w:rPr>
          <w:rFonts w:ascii="Arial" w:cs="Arial" w:eastAsia="Arial" w:hAnsi="Arial"/>
          <w:sz w:val="14"/>
          <w:szCs w:val="14"/>
          <w:color w:val="auto"/>
        </w:rPr>
      </w:pPr>
    </w:p>
    <w:p>
      <w:pPr>
        <w:ind w:left="1480" w:right="140" w:hanging="365"/>
        <w:spacing w:after="0" w:line="253" w:lineRule="auto"/>
        <w:tabs>
          <w:tab w:leader="none" w:pos="1480" w:val="left"/>
        </w:tabs>
        <w:numPr>
          <w:ilvl w:val="1"/>
          <w:numId w:val="30"/>
        </w:numPr>
        <w:rPr>
          <w:rFonts w:ascii="Arial" w:cs="Arial" w:eastAsia="Arial" w:hAnsi="Arial"/>
          <w:sz w:val="14"/>
          <w:szCs w:val="14"/>
          <w:color w:val="auto"/>
        </w:rPr>
      </w:pPr>
      <w:r>
        <w:rPr>
          <w:rFonts w:ascii="Arial" w:cs="Arial" w:eastAsia="Arial" w:hAnsi="Arial"/>
          <w:sz w:val="14"/>
          <w:szCs w:val="14"/>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106" w:lineRule="exact"/>
        <w:rPr>
          <w:rFonts w:ascii="Arial" w:cs="Arial" w:eastAsia="Arial" w:hAnsi="Arial"/>
          <w:sz w:val="14"/>
          <w:szCs w:val="14"/>
          <w:color w:val="auto"/>
        </w:rPr>
      </w:pPr>
    </w:p>
    <w:p>
      <w:pPr>
        <w:ind w:left="1480" w:hanging="365"/>
        <w:spacing w:after="0"/>
        <w:tabs>
          <w:tab w:leader="none" w:pos="1480" w:val="left"/>
        </w:tabs>
        <w:numPr>
          <w:ilvl w:val="1"/>
          <w:numId w:val="30"/>
        </w:numPr>
        <w:rPr>
          <w:rFonts w:ascii="Arial" w:cs="Arial" w:eastAsia="Arial" w:hAnsi="Arial"/>
          <w:sz w:val="14"/>
          <w:szCs w:val="14"/>
          <w:color w:val="auto"/>
        </w:rPr>
      </w:pPr>
      <w:r>
        <w:rPr>
          <w:rFonts w:ascii="Arial" w:cs="Arial" w:eastAsia="Arial" w:hAnsi="Arial"/>
          <w:sz w:val="14"/>
          <w:szCs w:val="14"/>
          <w:color w:val="auto"/>
        </w:rPr>
        <w:t>satisfies any of the following:</w:t>
      </w:r>
    </w:p>
    <w:p>
      <w:pPr>
        <w:spacing w:after="0" w:line="203" w:lineRule="exact"/>
        <w:rPr>
          <w:rFonts w:ascii="Arial" w:cs="Arial" w:eastAsia="Arial" w:hAnsi="Arial"/>
          <w:sz w:val="14"/>
          <w:szCs w:val="14"/>
          <w:color w:val="auto"/>
        </w:rPr>
      </w:pPr>
    </w:p>
    <w:p>
      <w:pPr>
        <w:ind w:left="2040" w:hanging="372"/>
        <w:spacing w:after="0"/>
        <w:tabs>
          <w:tab w:leader="none" w:pos="2040" w:val="left"/>
        </w:tabs>
        <w:numPr>
          <w:ilvl w:val="2"/>
          <w:numId w:val="30"/>
        </w:numPr>
        <w:rPr>
          <w:rFonts w:ascii="Arial" w:cs="Arial" w:eastAsia="Arial" w:hAnsi="Arial"/>
          <w:sz w:val="14"/>
          <w:szCs w:val="14"/>
          <w:color w:val="auto"/>
        </w:rPr>
      </w:pPr>
      <w:r>
        <w:rPr>
          <w:rFonts w:ascii="Arial" w:cs="Arial" w:eastAsia="Arial" w:hAnsi="Arial"/>
          <w:sz w:val="14"/>
          <w:szCs w:val="14"/>
          <w:color w:val="auto"/>
        </w:rPr>
        <w:t>does not have any class of securities listed on a national securities exchange;</w:t>
      </w:r>
    </w:p>
    <w:p>
      <w:pPr>
        <w:spacing w:after="0" w:line="203" w:lineRule="exact"/>
        <w:rPr>
          <w:rFonts w:ascii="Arial" w:cs="Arial" w:eastAsia="Arial" w:hAnsi="Arial"/>
          <w:sz w:val="14"/>
          <w:szCs w:val="14"/>
          <w:color w:val="auto"/>
        </w:rPr>
      </w:pPr>
    </w:p>
    <w:p>
      <w:pPr>
        <w:ind w:left="2040" w:hanging="372"/>
        <w:spacing w:after="0"/>
        <w:tabs>
          <w:tab w:leader="none" w:pos="2040" w:val="left"/>
        </w:tabs>
        <w:numPr>
          <w:ilvl w:val="2"/>
          <w:numId w:val="30"/>
        </w:numPr>
        <w:rPr>
          <w:rFonts w:ascii="Arial" w:cs="Arial" w:eastAsia="Arial" w:hAnsi="Arial"/>
          <w:sz w:val="14"/>
          <w:szCs w:val="14"/>
          <w:color w:val="auto"/>
        </w:rPr>
      </w:pPr>
      <w:r>
        <w:rPr>
          <w:rFonts w:ascii="Arial" w:cs="Arial" w:eastAsia="Arial" w:hAnsi="Arial"/>
          <w:sz w:val="14"/>
          <w:szCs w:val="14"/>
          <w:color w:val="auto"/>
        </w:rPr>
        <w:t>has any class of securities listed on a national securities exchange subject to a maximum market capitalization of $250.0 million; or</w:t>
      </w:r>
    </w:p>
    <w:p>
      <w:pPr>
        <w:spacing w:after="0" w:line="203" w:lineRule="exact"/>
        <w:rPr>
          <w:rFonts w:ascii="Arial" w:cs="Arial" w:eastAsia="Arial" w:hAnsi="Arial"/>
          <w:sz w:val="14"/>
          <w:szCs w:val="14"/>
          <w:color w:val="auto"/>
        </w:rPr>
      </w:pPr>
    </w:p>
    <w:p>
      <w:pPr>
        <w:ind w:left="2040" w:right="400" w:hanging="372"/>
        <w:spacing w:after="0" w:line="290" w:lineRule="auto"/>
        <w:tabs>
          <w:tab w:leader="none" w:pos="2040" w:val="left"/>
        </w:tabs>
        <w:numPr>
          <w:ilvl w:val="2"/>
          <w:numId w:val="30"/>
        </w:numPr>
        <w:rPr>
          <w:rFonts w:ascii="Arial" w:cs="Arial" w:eastAsia="Arial" w:hAnsi="Arial"/>
          <w:sz w:val="13"/>
          <w:szCs w:val="13"/>
          <w:color w:val="auto"/>
        </w:rPr>
      </w:pPr>
      <w:r>
        <w:rPr>
          <w:rFonts w:ascii="Arial" w:cs="Arial" w:eastAsia="Arial" w:hAnsi="Arial"/>
          <w:sz w:val="13"/>
          <w:szCs w:val="13"/>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84" w:lineRule="exact"/>
        <w:rPr>
          <w:rFonts w:ascii="Arial" w:cs="Arial" w:eastAsia="Arial" w:hAnsi="Arial"/>
          <w:sz w:val="13"/>
          <w:szCs w:val="13"/>
          <w:color w:val="auto"/>
        </w:rPr>
      </w:pPr>
    </w:p>
    <w:p>
      <w:pPr>
        <w:ind w:left="920" w:hanging="359"/>
        <w:spacing w:after="0"/>
        <w:tabs>
          <w:tab w:leader="none" w:pos="9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Securities of any eligible portfolio company which we control.</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4" w:name="page15"/>
    <w:bookmarkEnd w:id="14"/>
    <w:p>
      <w:pPr>
        <w:ind w:left="920" w:right="160" w:hanging="359"/>
        <w:spacing w:after="0" w:line="238" w:lineRule="auto"/>
        <w:tabs>
          <w:tab w:leader="none" w:pos="9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15" w:lineRule="exact"/>
        <w:rPr>
          <w:rFonts w:ascii="Arial" w:cs="Arial" w:eastAsia="Arial" w:hAnsi="Arial"/>
          <w:sz w:val="14"/>
          <w:szCs w:val="14"/>
          <w:color w:val="auto"/>
        </w:rPr>
      </w:pPr>
    </w:p>
    <w:p>
      <w:pPr>
        <w:ind w:left="920" w:right="100" w:hanging="359"/>
        <w:spacing w:after="0" w:line="253" w:lineRule="auto"/>
        <w:tabs>
          <w:tab w:leader="none" w:pos="9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Securities of an eligible portfolio company purchased from any person in a private transaction if there is no readily available market for such securities and we already own 60% of the outstanding equity of the eligible portfolio company.</w:t>
      </w:r>
    </w:p>
    <w:p>
      <w:pPr>
        <w:spacing w:after="0" w:line="106" w:lineRule="exact"/>
        <w:rPr>
          <w:rFonts w:ascii="Arial" w:cs="Arial" w:eastAsia="Arial" w:hAnsi="Arial"/>
          <w:sz w:val="14"/>
          <w:szCs w:val="14"/>
          <w:color w:val="auto"/>
        </w:rPr>
      </w:pPr>
    </w:p>
    <w:p>
      <w:pPr>
        <w:ind w:left="920" w:right="220" w:hanging="359"/>
        <w:spacing w:after="0" w:line="253" w:lineRule="auto"/>
        <w:tabs>
          <w:tab w:leader="none" w:pos="9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Securities received in exchange for or distributed on or with respect to securities described in (1) through (4) above, or pursuant to the exercise of warrants or rights relating to such securities.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Cash, cash equivalents, U.S. government securities or high-quality debt securities maturing in one year or less from the time of investment.</w:t>
      </w:r>
    </w:p>
    <w:p>
      <w:pPr>
        <w:spacing w:after="0" w:line="204" w:lineRule="exact"/>
        <w:rPr>
          <w:sz w:val="20"/>
          <w:szCs w:val="20"/>
          <w:color w:val="auto"/>
        </w:rPr>
      </w:pPr>
    </w:p>
    <w:p>
      <w:pPr>
        <w:ind w:right="300" w:firstLine="438"/>
        <w:spacing w:after="0" w:line="253" w:lineRule="auto"/>
        <w:rPr>
          <w:sz w:val="20"/>
          <w:szCs w:val="20"/>
          <w:color w:val="auto"/>
        </w:rPr>
      </w:pPr>
      <w:r>
        <w:rPr>
          <w:rFonts w:ascii="Arial" w:cs="Arial" w:eastAsia="Arial" w:hAnsi="Arial"/>
          <w:sz w:val="14"/>
          <w:szCs w:val="14"/>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Managerial Assistance to Portfolio Companies</w:t>
      </w:r>
    </w:p>
    <w:p>
      <w:pPr>
        <w:spacing w:after="0" w:line="136" w:lineRule="exact"/>
        <w:rPr>
          <w:sz w:val="20"/>
          <w:szCs w:val="20"/>
          <w:color w:val="auto"/>
        </w:rPr>
      </w:pPr>
    </w:p>
    <w:p>
      <w:pPr>
        <w:ind w:right="20" w:firstLine="438"/>
        <w:spacing w:after="0" w:line="251" w:lineRule="auto"/>
        <w:rPr>
          <w:sz w:val="20"/>
          <w:szCs w:val="20"/>
          <w:color w:val="auto"/>
        </w:rPr>
      </w:pPr>
      <w:r>
        <w:rPr>
          <w:rFonts w:ascii="Arial" w:cs="Arial" w:eastAsia="Arial" w:hAnsi="Arial"/>
          <w:sz w:val="13"/>
          <w:szCs w:val="13"/>
          <w:color w:val="auto"/>
        </w:rPr>
        <w:t>As a BDC, we are required to make available significant managerial assistance to our portfolio companies that constitute a qualifying asset within the meaning of Section 2(a)(47) of the 1940 Act. However, if a BDC purchases securities in conjunction with one or more other persons acting together, one of the other persons in the group may make available such significant managerial assistance. Making available significant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may provide assistance to controlled affiliates.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Temporary Investments</w:t>
      </w:r>
    </w:p>
    <w:p>
      <w:pPr>
        <w:spacing w:after="0" w:line="123" w:lineRule="exact"/>
        <w:rPr>
          <w:sz w:val="20"/>
          <w:szCs w:val="20"/>
          <w:color w:val="auto"/>
        </w:rPr>
      </w:pPr>
    </w:p>
    <w:p>
      <w:pPr>
        <w:ind w:firstLine="438"/>
        <w:spacing w:after="0" w:line="245" w:lineRule="auto"/>
        <w:rPr>
          <w:sz w:val="20"/>
          <w:szCs w:val="20"/>
          <w:color w:val="auto"/>
        </w:rPr>
      </w:pPr>
      <w:r>
        <w:rPr>
          <w:rFonts w:ascii="Arial" w:cs="Arial" w:eastAsia="Arial" w:hAnsi="Arial"/>
          <w:sz w:val="13"/>
          <w:szCs w:val="13"/>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below under “Regulation—Election to be Treated as a RIC,” in order to qualify as a RIC for federal income tax purposes. Thus, we do not intend to enter into repurchase agreements with a single counterparty in excess of this limit. Our Investment Adviser will monitor the creditworthiness of the counterparties with which we may enter into repurchase agreement transactions.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Senior Securities</w:t>
      </w:r>
    </w:p>
    <w:p>
      <w:pPr>
        <w:spacing w:after="0" w:line="136" w:lineRule="exact"/>
        <w:rPr>
          <w:sz w:val="20"/>
          <w:szCs w:val="20"/>
          <w:color w:val="auto"/>
        </w:rPr>
      </w:pPr>
    </w:p>
    <w:p>
      <w:pPr>
        <w:ind w:firstLine="438"/>
        <w:spacing w:after="0" w:line="248" w:lineRule="auto"/>
        <w:rPr>
          <w:sz w:val="20"/>
          <w:szCs w:val="20"/>
          <w:color w:val="auto"/>
        </w:rPr>
      </w:pPr>
      <w:r>
        <w:rPr>
          <w:rFonts w:ascii="Arial" w:cs="Arial" w:eastAsia="Arial" w:hAnsi="Arial"/>
          <w:sz w:val="13"/>
          <w:szCs w:val="13"/>
          <w:color w:val="auto"/>
        </w:rPr>
        <w:t>We are permitted, under specified conditions, to issue multiple classes of indebtedness and one class of stock senior to our common stock if our asset coverage, as defined in the 1940 Act and referred to as the asset coverage ratio,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our asset coverage ratio. We received exemptive relief from the SEC allowing us to modify the asset coverage requirement to exclude the SBA debentures from the calculation. For a discussion of the risks associated with leverage, see “Risk Factors —Risks Relating to our Business and Structure—Regulations governing our operation as a BDC will affect our ability to, and the way in which we, raise additional capital” for more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Joint Code of Ethics and Code of Conduct</w:t>
      </w:r>
    </w:p>
    <w:p>
      <w:pPr>
        <w:spacing w:after="0" w:line="136" w:lineRule="exact"/>
        <w:rPr>
          <w:sz w:val="20"/>
          <w:szCs w:val="20"/>
          <w:color w:val="auto"/>
        </w:rPr>
      </w:pPr>
    </w:p>
    <w:p>
      <w:pPr>
        <w:ind w:right="80" w:firstLine="438"/>
        <w:spacing w:after="0" w:line="251" w:lineRule="auto"/>
        <w:rPr>
          <w:sz w:val="20"/>
          <w:szCs w:val="20"/>
          <w:color w:val="auto"/>
        </w:rPr>
      </w:pPr>
      <w:r>
        <w:rPr>
          <w:rFonts w:ascii="Arial" w:cs="Arial" w:eastAsia="Arial" w:hAnsi="Arial"/>
          <w:sz w:val="13"/>
          <w:szCs w:val="13"/>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3"/>
          <w:szCs w:val="13"/>
          <w:i w:val="1"/>
          <w:iCs w:val="1"/>
          <w:u w:val="single" w:color="auto"/>
          <w:color w:val="auto"/>
        </w:rPr>
        <w:t>www.pennantpark.com</w:t>
      </w:r>
      <w:r>
        <w:rPr>
          <w:rFonts w:ascii="Arial" w:cs="Arial" w:eastAsia="Arial" w:hAnsi="Arial"/>
          <w:sz w:val="13"/>
          <w:szCs w:val="13"/>
          <w:color w:val="auto"/>
        </w:rPr>
        <w:t xml:space="preserve">. In addition, the joint code of ethics is attached as an exhibit to this Report and is available on the EDGAR Database on the SEC’s Internet site at </w:t>
      </w:r>
      <w:r>
        <w:rPr>
          <w:rFonts w:ascii="Arial" w:cs="Arial" w:eastAsia="Arial" w:hAnsi="Arial"/>
          <w:sz w:val="13"/>
          <w:szCs w:val="13"/>
          <w:i w:val="1"/>
          <w:iCs w:val="1"/>
          <w:u w:val="single" w:color="auto"/>
          <w:color w:val="auto"/>
        </w:rPr>
        <w:t>www.sec.gov</w:t>
      </w:r>
      <w:r>
        <w:rPr>
          <w:rFonts w:ascii="Arial" w:cs="Arial" w:eastAsia="Arial" w:hAnsi="Arial"/>
          <w:sz w:val="13"/>
          <w:szCs w:val="13"/>
          <w:color w:val="auto"/>
        </w:rPr>
        <w:t xml:space="preserve">. You may also obtain a copy of our joint code of ethics, after paying a duplicating fee, by electronic request at the following email address: </w:t>
      </w:r>
      <w:r>
        <w:rPr>
          <w:rFonts w:ascii="Arial" w:cs="Arial" w:eastAsia="Arial" w:hAnsi="Arial"/>
          <w:sz w:val="13"/>
          <w:szCs w:val="13"/>
          <w:i w:val="1"/>
          <w:iCs w:val="1"/>
          <w:u w:val="single" w:color="auto"/>
          <w:color w:val="auto"/>
        </w:rPr>
        <w:t>publicinfo@sec.gov</w:t>
      </w:r>
      <w:r>
        <w:rPr>
          <w:rFonts w:ascii="Arial" w:cs="Arial" w:eastAsia="Arial" w:hAnsi="Arial"/>
          <w:sz w:val="13"/>
          <w:szCs w:val="13"/>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Proxy Voting Policies and Procedures</w:t>
      </w:r>
    </w:p>
    <w:p>
      <w:pPr>
        <w:spacing w:after="0" w:line="123" w:lineRule="exact"/>
        <w:rPr>
          <w:sz w:val="20"/>
          <w:szCs w:val="20"/>
          <w:color w:val="auto"/>
        </w:rPr>
      </w:pPr>
    </w:p>
    <w:p>
      <w:pPr>
        <w:jc w:val="both"/>
        <w:ind w:right="20" w:firstLine="438"/>
        <w:spacing w:after="0" w:line="238" w:lineRule="auto"/>
        <w:rPr>
          <w:sz w:val="20"/>
          <w:szCs w:val="20"/>
          <w:color w:val="auto"/>
        </w:rPr>
      </w:pPr>
      <w:r>
        <w:rPr>
          <w:rFonts w:ascii="Arial" w:cs="Arial" w:eastAsia="Arial" w:hAnsi="Arial"/>
          <w:sz w:val="14"/>
          <w:szCs w:val="14"/>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Introduction</w:t>
      </w:r>
    </w:p>
    <w:p>
      <w:pPr>
        <w:spacing w:after="0" w:line="136" w:lineRule="exact"/>
        <w:rPr>
          <w:sz w:val="20"/>
          <w:szCs w:val="20"/>
          <w:color w:val="auto"/>
        </w:rPr>
      </w:pPr>
    </w:p>
    <w:p>
      <w:pPr>
        <w:ind w:right="100" w:firstLine="438"/>
        <w:spacing w:after="0" w:line="253" w:lineRule="auto"/>
        <w:rPr>
          <w:sz w:val="20"/>
          <w:szCs w:val="20"/>
          <w:color w:val="auto"/>
        </w:rPr>
      </w:pPr>
      <w:r>
        <w:rPr>
          <w:rFonts w:ascii="Arial" w:cs="Arial" w:eastAsia="Arial" w:hAnsi="Arial"/>
          <w:sz w:val="14"/>
          <w:szCs w:val="14"/>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These policies and procedures for voting proxies for our investment advisory clients are intended to comply with Section 206 of, and Rule 206(4)-6 under, the Advisers Act.</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Proxy Policies</w:t>
      </w:r>
    </w:p>
    <w:p>
      <w:pPr>
        <w:spacing w:after="0" w:line="136"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We vote proxies relating to our portfolio securities in what we perceive to be the best interests of our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02"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Our proxy voting decisions are made by the senior investment professionals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647" w:right="379" w:bottom="1440" w:gutter="0" w:footer="0" w:header="0"/>
        </w:sectPr>
      </w:pPr>
    </w:p>
    <w:bookmarkStart w:id="15" w:name="page16"/>
    <w:bookmarkEnd w:id="15"/>
    <w:p>
      <w:pPr>
        <w:ind w:left="440"/>
        <w:spacing w:after="0"/>
        <w:rPr>
          <w:sz w:val="20"/>
          <w:szCs w:val="20"/>
          <w:color w:val="auto"/>
        </w:rPr>
      </w:pPr>
      <w:r>
        <w:rPr>
          <w:rFonts w:ascii="Arial" w:cs="Arial" w:eastAsia="Arial" w:hAnsi="Arial"/>
          <w:sz w:val="14"/>
          <w:szCs w:val="14"/>
          <w:i w:val="1"/>
          <w:iCs w:val="1"/>
          <w:color w:val="auto"/>
        </w:rPr>
        <w:t>Proxy Voting Records</w:t>
      </w:r>
    </w:p>
    <w:p>
      <w:pPr>
        <w:spacing w:after="0" w:line="123" w:lineRule="exact"/>
        <w:rPr>
          <w:sz w:val="20"/>
          <w:szCs w:val="20"/>
          <w:color w:val="auto"/>
        </w:rPr>
      </w:pPr>
    </w:p>
    <w:p>
      <w:pPr>
        <w:ind w:right="140" w:firstLine="438"/>
        <w:spacing w:after="0" w:line="253" w:lineRule="auto"/>
        <w:rPr>
          <w:sz w:val="20"/>
          <w:szCs w:val="20"/>
          <w:color w:val="auto"/>
        </w:rPr>
      </w:pPr>
      <w:r>
        <w:rPr>
          <w:rFonts w:ascii="Arial" w:cs="Arial" w:eastAsia="Arial" w:hAnsi="Arial"/>
          <w:sz w:val="14"/>
          <w:szCs w:val="14"/>
          <w:color w:val="auto"/>
        </w:rPr>
        <w:t>You may obtain information about how we voted proxies, free of charge, by calling us collect at (212) 905-1000 or by making a written request for proxy voting information to: Richard Cheung, Chief Financial Officer and Treasurer, 590 Madison Avenue, 15th Floor, New York, New York 10022.</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Privacy Protection Principles</w:t>
      </w:r>
    </w:p>
    <w:p>
      <w:pPr>
        <w:spacing w:after="0" w:line="136"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93"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We restrict access to non-public personal information about our stockholders to employees of our Investment Adviser and its affiliates with a legitimate business need for the information.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We maintain physical, electronic and procedural safeguards designed to protect the non-public personal information of our stockholders.</w:t>
      </w:r>
    </w:p>
    <w:p>
      <w:pPr>
        <w:spacing w:after="0" w:line="124" w:lineRule="exact"/>
        <w:rPr>
          <w:sz w:val="20"/>
          <w:szCs w:val="20"/>
          <w:color w:val="auto"/>
        </w:rPr>
      </w:pPr>
    </w:p>
    <w:p>
      <w:pPr>
        <w:ind w:right="160" w:firstLine="438"/>
        <w:spacing w:after="0" w:line="253" w:lineRule="auto"/>
        <w:rPr>
          <w:sz w:val="20"/>
          <w:szCs w:val="20"/>
          <w:color w:val="auto"/>
        </w:rPr>
      </w:pPr>
      <w:r>
        <w:rPr>
          <w:rFonts w:ascii="Arial" w:cs="Arial" w:eastAsia="Arial" w:hAnsi="Arial"/>
          <w:sz w:val="14"/>
          <w:szCs w:val="14"/>
          <w:color w:val="auto"/>
        </w:rPr>
        <w:t xml:space="preserve">Our privacy protection policies are available, free of charge, on our website at </w:t>
      </w:r>
      <w:r>
        <w:rPr>
          <w:rFonts w:ascii="Arial" w:cs="Arial" w:eastAsia="Arial" w:hAnsi="Arial"/>
          <w:sz w:val="14"/>
          <w:szCs w:val="14"/>
          <w:i w:val="1"/>
          <w:iCs w:val="1"/>
          <w:u w:val="single" w:color="auto"/>
          <w:color w:val="auto"/>
        </w:rPr>
        <w:t>www.pennantpark.com</w:t>
      </w:r>
      <w:r>
        <w:rPr>
          <w:rFonts w:ascii="Arial" w:cs="Arial" w:eastAsia="Arial" w:hAnsi="Arial"/>
          <w:sz w:val="14"/>
          <w:szCs w:val="14"/>
          <w:color w:val="auto"/>
        </w:rPr>
        <w:t xml:space="preserve">. In addition, the privacy policy is available on the EDGAR Database on the SEC’s Internet website at </w:t>
      </w:r>
      <w:r>
        <w:rPr>
          <w:rFonts w:ascii="Arial" w:cs="Arial" w:eastAsia="Arial" w:hAnsi="Arial"/>
          <w:sz w:val="14"/>
          <w:szCs w:val="14"/>
          <w:i w:val="1"/>
          <w:iCs w:val="1"/>
          <w:u w:val="single" w:color="auto"/>
          <w:color w:val="auto"/>
        </w:rPr>
        <w:t>www.sec.gov</w:t>
      </w:r>
      <w:r>
        <w:rPr>
          <w:rFonts w:ascii="Arial" w:cs="Arial" w:eastAsia="Arial" w:hAnsi="Arial"/>
          <w:sz w:val="14"/>
          <w:szCs w:val="14"/>
          <w:color w:val="auto"/>
        </w:rPr>
        <w:t>, filed as an exhibit to our annual report on Form 10-K (File No. 814-00736), filed on November 16, 2011.</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w:t>
      </w:r>
    </w:p>
    <w:p>
      <w:pPr>
        <w:spacing w:after="0" w:line="136" w:lineRule="exact"/>
        <w:rPr>
          <w:sz w:val="20"/>
          <w:szCs w:val="20"/>
          <w:color w:val="auto"/>
        </w:rPr>
      </w:pPr>
    </w:p>
    <w:p>
      <w:pPr>
        <w:ind w:right="300" w:firstLine="438"/>
        <w:spacing w:after="0" w:line="253" w:lineRule="auto"/>
        <w:rPr>
          <w:sz w:val="20"/>
          <w:szCs w:val="20"/>
          <w:color w:val="auto"/>
        </w:rPr>
      </w:pPr>
      <w:r>
        <w:rPr>
          <w:rFonts w:ascii="Arial" w:cs="Arial" w:eastAsia="Arial" w:hAnsi="Arial"/>
          <w:sz w:val="14"/>
          <w:szCs w:val="14"/>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will be periodically examined by the SEC and SBA for compliance with the 1940 Act and 1958 Act, respectively.</w:t>
      </w:r>
    </w:p>
    <w:p>
      <w:pPr>
        <w:spacing w:after="0" w:line="123" w:lineRule="exact"/>
        <w:rPr>
          <w:sz w:val="20"/>
          <w:szCs w:val="20"/>
          <w:color w:val="auto"/>
        </w:rPr>
      </w:pPr>
    </w:p>
    <w:p>
      <w:pPr>
        <w:ind w:right="140" w:firstLine="438"/>
        <w:spacing w:after="0" w:line="238" w:lineRule="auto"/>
        <w:rPr>
          <w:sz w:val="20"/>
          <w:szCs w:val="20"/>
          <w:color w:val="auto"/>
        </w:rPr>
      </w:pPr>
      <w:r>
        <w:rPr>
          <w:rFonts w:ascii="Arial" w:cs="Arial" w:eastAsia="Arial" w:hAnsi="Arial"/>
          <w:sz w:val="14"/>
          <w:szCs w:val="14"/>
          <w:color w:val="auto"/>
        </w:rPr>
        <w:t>We are required by law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15" w:lineRule="exact"/>
        <w:rPr>
          <w:sz w:val="20"/>
          <w:szCs w:val="20"/>
          <w:color w:val="auto"/>
        </w:rPr>
      </w:pPr>
    </w:p>
    <w:p>
      <w:pPr>
        <w:jc w:val="both"/>
        <w:ind w:right="80" w:firstLine="438"/>
        <w:spacing w:after="0" w:line="238" w:lineRule="auto"/>
        <w:rPr>
          <w:sz w:val="20"/>
          <w:szCs w:val="20"/>
          <w:color w:val="auto"/>
        </w:rPr>
      </w:pPr>
      <w:r>
        <w:rPr>
          <w:rFonts w:ascii="Arial" w:cs="Arial" w:eastAsia="Arial" w:hAnsi="Arial"/>
          <w:sz w:val="14"/>
          <w:szCs w:val="14"/>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Sarbanes-Oxley Act of 2002</w:t>
      </w:r>
    </w:p>
    <w:p>
      <w:pPr>
        <w:spacing w:after="0" w:line="123" w:lineRule="exact"/>
        <w:rPr>
          <w:sz w:val="20"/>
          <w:szCs w:val="20"/>
          <w:color w:val="auto"/>
        </w:rPr>
      </w:pPr>
    </w:p>
    <w:p>
      <w:pPr>
        <w:ind w:right="580" w:firstLine="438"/>
        <w:spacing w:after="0" w:line="253" w:lineRule="auto"/>
        <w:rPr>
          <w:sz w:val="20"/>
          <w:szCs w:val="20"/>
          <w:color w:val="auto"/>
        </w:rPr>
      </w:pPr>
      <w:r>
        <w:rPr>
          <w:rFonts w:ascii="Arial" w:cs="Arial" w:eastAsia="Arial" w:hAnsi="Arial"/>
          <w:sz w:val="14"/>
          <w:szCs w:val="14"/>
          <w:color w:val="auto"/>
        </w:rPr>
        <w:t>The Sarbanes-Oxley Act of 2002, as amended, or the Sarbanes-Oxley Act, imposes several regulatory requirements on publicly held companies and their insiders. Many of these requirements affect us.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For example:</w:t>
      </w:r>
    </w:p>
    <w:p>
      <w:pPr>
        <w:spacing w:after="0" w:line="136" w:lineRule="exact"/>
        <w:rPr>
          <w:sz w:val="20"/>
          <w:szCs w:val="20"/>
          <w:color w:val="auto"/>
        </w:rPr>
      </w:pPr>
    </w:p>
    <w:p>
      <w:pPr>
        <w:ind w:left="920" w:right="380" w:hanging="359"/>
        <w:spacing w:after="0" w:line="253" w:lineRule="auto"/>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pursuant to Rule 13a-14 of the Securities Exchange Act of 1934, as amended, or the Exchange Act, our Chief Executive Officer and Chief Financial Officer must certify the accuracy of the financial statements contained in our periodic reports;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pursuant to Item 307 of Regulation S-K, our periodic reports must disclose our conclusions about the effectiveness of our disclosure controls and procedures;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32"/>
        </w:numPr>
        <w:rPr>
          <w:rFonts w:ascii="Arial" w:cs="Arial" w:eastAsia="Arial" w:hAnsi="Arial"/>
          <w:sz w:val="13"/>
          <w:szCs w:val="13"/>
          <w:color w:val="auto"/>
        </w:rPr>
      </w:pPr>
      <w:r>
        <w:rPr>
          <w:rFonts w:ascii="Arial" w:cs="Arial" w:eastAsia="Arial" w:hAnsi="Arial"/>
          <w:sz w:val="13"/>
          <w:szCs w:val="13"/>
          <w:color w:val="auto"/>
        </w:rPr>
        <w:t>pursuant to Rule 13a-15 of the Exchange Act, our management must prepare an annual report regarding its assessment of our internal controls over financial reporting; and</w:t>
      </w:r>
    </w:p>
    <w:p>
      <w:pPr>
        <w:spacing w:after="0" w:line="215" w:lineRule="exact"/>
        <w:rPr>
          <w:rFonts w:ascii="Arial" w:cs="Arial" w:eastAsia="Arial" w:hAnsi="Arial"/>
          <w:sz w:val="13"/>
          <w:szCs w:val="13"/>
          <w:color w:val="auto"/>
        </w:rPr>
      </w:pPr>
    </w:p>
    <w:p>
      <w:pPr>
        <w:jc w:val="both"/>
        <w:ind w:left="920" w:right="160" w:hanging="359"/>
        <w:spacing w:after="0" w:line="238" w:lineRule="auto"/>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15"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Election to be Treated as a RIC</w:t>
      </w:r>
    </w:p>
    <w:p>
      <w:pPr>
        <w:spacing w:after="0" w:line="136"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to our stockholders of an amount generally at least equal to 90% of the sum of our ordinary income and realized net short-term capital gains in excess of realized net long-term capital losses, or investment company taxable income, and determined without regard to any deduction for dividends paid out of the assets legally available for distribution, or the Annual Distribution Requirement.</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order to qualify as a RIC for federal income tax purposes, we must:</w:t>
      </w:r>
    </w:p>
    <w:p>
      <w:pPr>
        <w:spacing w:after="0" w:line="136" w:lineRule="exact"/>
        <w:rPr>
          <w:sz w:val="20"/>
          <w:szCs w:val="20"/>
          <w:color w:val="auto"/>
        </w:rPr>
      </w:pPr>
    </w:p>
    <w:p>
      <w:pPr>
        <w:ind w:left="920" w:hanging="359"/>
        <w:spacing w:after="0"/>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maintain an election to be treated as a BDC under the 1940 Act at all times during each taxable year;</w:t>
      </w:r>
    </w:p>
    <w:p>
      <w:pPr>
        <w:spacing w:after="0" w:line="203" w:lineRule="exact"/>
        <w:rPr>
          <w:rFonts w:ascii="Arial" w:cs="Arial" w:eastAsia="Arial" w:hAnsi="Arial"/>
          <w:sz w:val="14"/>
          <w:szCs w:val="14"/>
          <w:color w:val="auto"/>
        </w:rPr>
      </w:pPr>
    </w:p>
    <w:p>
      <w:pPr>
        <w:ind w:left="920" w:right="120" w:hanging="359"/>
        <w:spacing w:after="0" w:line="238" w:lineRule="auto"/>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115" w:lineRule="exact"/>
        <w:rPr>
          <w:rFonts w:ascii="Arial" w:cs="Arial" w:eastAsia="Arial" w:hAnsi="Arial"/>
          <w:sz w:val="14"/>
          <w:szCs w:val="14"/>
          <w:color w:val="auto"/>
        </w:rPr>
      </w:pPr>
    </w:p>
    <w:p>
      <w:pPr>
        <w:ind w:left="920" w:hanging="359"/>
        <w:spacing w:after="0"/>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diversify our holdings, or the Diversification Tests, so that at the end of each quarter of the taxable year:</w:t>
      </w:r>
    </w:p>
    <w:p>
      <w:pPr>
        <w:spacing w:after="0" w:line="204" w:lineRule="exact"/>
        <w:rPr>
          <w:sz w:val="20"/>
          <w:szCs w:val="20"/>
          <w:color w:val="auto"/>
        </w:rPr>
      </w:pPr>
    </w:p>
    <w:p>
      <w:pPr>
        <w:ind w:left="1480" w:right="20" w:hanging="365"/>
        <w:spacing w:after="0" w:line="290" w:lineRule="auto"/>
        <w:tabs>
          <w:tab w:leader="none" w:pos="14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16" w:name="page17"/>
    <w:bookmarkEnd w:id="16"/>
    <w:p>
      <w:pPr>
        <w:ind w:left="1480" w:right="160" w:hanging="365"/>
        <w:spacing w:after="0" w:line="238" w:lineRule="auto"/>
        <w:tabs>
          <w:tab w:leader="none" w:pos="14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15" w:lineRule="exact"/>
        <w:rPr>
          <w:sz w:val="20"/>
          <w:szCs w:val="20"/>
          <w:color w:val="auto"/>
        </w:rPr>
      </w:pPr>
    </w:p>
    <w:p>
      <w:pPr>
        <w:ind w:firstLine="438"/>
        <w:spacing w:after="0" w:line="248"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federal excise tax imposed on RICs, we must distribute in respect of each calendar year dividends to our stockholders of an amount at least equal to the sum of (1) 98% of our net ordinary income (subject to certain deferrals and elections) for the calendar year,</w:t>
      </w:r>
    </w:p>
    <w:p>
      <w:pPr>
        <w:ind w:right="40" w:firstLine="8"/>
        <w:spacing w:after="0" w:line="246" w:lineRule="auto"/>
        <w:tabs>
          <w:tab w:leader="none" w:pos="204" w:val="left"/>
        </w:tabs>
        <w:numPr>
          <w:ilvl w:val="0"/>
          <w:numId w:val="36"/>
        </w:numPr>
        <w:rPr>
          <w:rFonts w:ascii="Arial" w:cs="Arial" w:eastAsia="Arial" w:hAnsi="Arial"/>
          <w:sz w:val="13"/>
          <w:szCs w:val="13"/>
          <w:color w:val="auto"/>
        </w:rPr>
      </w:pPr>
      <w:r>
        <w:rPr>
          <w:rFonts w:ascii="Arial" w:cs="Arial" w:eastAsia="Arial" w:hAnsi="Arial"/>
          <w:sz w:val="13"/>
          <w:szCs w:val="13"/>
          <w:color w:val="auto"/>
        </w:rPr>
        <w:t>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on which we did not incur any corporate income tax, or the Excise Tax Avoidance Requirement. Although we may distribute realized net capital gains (i.e., net long-term capital gains in excess of net short-term capital losses), if any, at least annually, out of the assets legally available for such distributions in the manner described above, we may retain and incur tax on such net capital gains or investment company taxable income, subject to maintaining our ability to be treated as a RIC for federal income tax purposes, in order to provide us with additional liquidity.</w:t>
      </w:r>
    </w:p>
    <w:p>
      <w:pPr>
        <w:spacing w:after="0" w:line="99" w:lineRule="exact"/>
        <w:rPr>
          <w:sz w:val="20"/>
          <w:szCs w:val="20"/>
          <w:color w:val="auto"/>
        </w:rPr>
      </w:pPr>
    </w:p>
    <w:p>
      <w:pPr>
        <w:jc w:val="both"/>
        <w:ind w:right="220" w:firstLine="438"/>
        <w:spacing w:after="0" w:line="233" w:lineRule="auto"/>
        <w:rPr>
          <w:sz w:val="20"/>
          <w:szCs w:val="20"/>
          <w:color w:val="auto"/>
        </w:rPr>
      </w:pPr>
      <w:r>
        <w:rPr>
          <w:rFonts w:ascii="Arial" w:cs="Arial" w:eastAsia="Arial" w:hAnsi="Arial"/>
          <w:sz w:val="14"/>
          <w:szCs w:val="14"/>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17" w:lineRule="exact"/>
        <w:rPr>
          <w:sz w:val="20"/>
          <w:szCs w:val="20"/>
          <w:color w:val="auto"/>
        </w:rPr>
      </w:pPr>
    </w:p>
    <w:p>
      <w:pPr>
        <w:ind w:right="80" w:firstLine="438"/>
        <w:spacing w:after="0" w:line="255" w:lineRule="auto"/>
        <w:rPr>
          <w:sz w:val="20"/>
          <w:szCs w:val="20"/>
          <w:color w:val="auto"/>
        </w:rPr>
      </w:pPr>
      <w:r>
        <w:rPr>
          <w:rFonts w:ascii="Arial" w:cs="Arial" w:eastAsia="Arial" w:hAnsi="Arial"/>
          <w:sz w:val="13"/>
          <w:szCs w:val="13"/>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be required to recognize such income and fees indirectly through the Taxable Subsidiaries, which are classified as corporations for U.S. federal income tax purposes. The Taxable Subsidiaries generally will be subject to corporate income taxes on their earnings, which ultimately will reduce our return on such income and fees.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Taxation as a RIC</w:t>
      </w:r>
    </w:p>
    <w:p>
      <w:pPr>
        <w:spacing w:after="0" w:line="123" w:lineRule="exact"/>
        <w:rPr>
          <w:sz w:val="20"/>
          <w:szCs w:val="20"/>
          <w:color w:val="auto"/>
        </w:rPr>
      </w:pPr>
    </w:p>
    <w:p>
      <w:pPr>
        <w:ind w:right="140" w:firstLine="438"/>
        <w:spacing w:after="0" w:line="231" w:lineRule="auto"/>
        <w:rPr>
          <w:sz w:val="20"/>
          <w:szCs w:val="20"/>
          <w:color w:val="auto"/>
        </w:rPr>
      </w:pPr>
      <w:r>
        <w:rPr>
          <w:rFonts w:ascii="Arial" w:cs="Arial" w:eastAsia="Arial" w:hAnsi="Arial"/>
          <w:sz w:val="14"/>
          <w:szCs w:val="14"/>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distribute)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116"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16"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3"/>
          <w:szCs w:val="13"/>
          <w:color w:val="auto"/>
        </w:rPr>
        <w:t>Gain or loss realized by us from equity securities and warrants acquired by us, as well as any loss attributable to the lapse of such warrants, generally will be treated as capital gain or loss.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Such gain or loss generally will be long-term or short-term, depending on how long we held a particular warrant.</w:t>
      </w:r>
    </w:p>
    <w:p>
      <w:pPr>
        <w:spacing w:after="0" w:line="124"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16"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would be taxable income to a stockholder even though only a small portion of the dividend was paid in cash to pay any taxes due on the total dividend. We have not yet elected to distribute stock as a dividend but reserve the right to do so.</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to Qualify as a RIC</w:t>
      </w:r>
    </w:p>
    <w:p>
      <w:pPr>
        <w:spacing w:after="0" w:line="136"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If we fail to satisfy the Annual Distribution Requirement or fail to qualify as a RIC in any taxable year, unless certain cure provisions of the Code apply, we will be subject to tax in that taxable year on all of our taxable income at regular corporate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117" w:lineRule="exact"/>
        <w:rPr>
          <w:sz w:val="20"/>
          <w:szCs w:val="20"/>
          <w:color w:val="auto"/>
        </w:rPr>
      </w:pPr>
    </w:p>
    <w:p>
      <w:pPr>
        <w:ind w:right="60" w:firstLine="438"/>
        <w:spacing w:after="0" w:line="244" w:lineRule="auto"/>
        <w:rPr>
          <w:sz w:val="20"/>
          <w:szCs w:val="20"/>
          <w:color w:val="auto"/>
        </w:rPr>
      </w:pPr>
      <w:r>
        <w:rPr>
          <w:rFonts w:ascii="Arial" w:cs="Arial" w:eastAsia="Arial" w:hAnsi="Arial"/>
          <w:sz w:val="13"/>
          <w:szCs w:val="13"/>
          <w:color w:val="auto"/>
        </w:rPr>
        <w:t>If we are unable to maintain our status as a RIC, we also would not be able to deduct distributions to stockholders, nor would distributions be required to be made. Distributions would generally be taxable as dividends to our stockholders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i w:val="1"/>
          <w:iCs w:val="1"/>
          <w:color w:val="auto"/>
        </w:rPr>
        <w:t>SBA Regulations</w:t>
      </w:r>
    </w:p>
    <w:p>
      <w:pPr>
        <w:spacing w:after="0" w:line="123" w:lineRule="exact"/>
        <w:rPr>
          <w:sz w:val="20"/>
          <w:szCs w:val="20"/>
          <w:color w:val="auto"/>
        </w:rPr>
      </w:pPr>
    </w:p>
    <w:p>
      <w:pPr>
        <w:ind w:right="160" w:firstLine="438"/>
        <w:spacing w:after="0" w:line="253" w:lineRule="auto"/>
        <w:rPr>
          <w:sz w:val="20"/>
          <w:szCs w:val="20"/>
          <w:color w:val="auto"/>
        </w:rPr>
      </w:pPr>
      <w:r>
        <w:rPr>
          <w:rFonts w:ascii="Arial" w:cs="Arial" w:eastAsia="Arial" w:hAnsi="Arial"/>
          <w:sz w:val="14"/>
          <w:szCs w:val="14"/>
          <w:color w:val="auto"/>
        </w:rPr>
        <w:t>SBIC II is licensed to operate under the SBA as a SBIC under Section 301(c) of the 1958 Act and received its license in 2013. During the year ended September 30, 2019, we liquidated and dissolved SBIC I.</w:t>
      </w:r>
    </w:p>
    <w:p>
      <w:pPr>
        <w:spacing w:after="0" w:line="106" w:lineRule="exact"/>
        <w:rPr>
          <w:sz w:val="20"/>
          <w:szCs w:val="20"/>
          <w:color w:val="auto"/>
        </w:rPr>
      </w:pPr>
    </w:p>
    <w:p>
      <w:pPr>
        <w:ind w:right="80" w:firstLine="438"/>
        <w:spacing w:after="0" w:line="241" w:lineRule="auto"/>
        <w:rPr>
          <w:sz w:val="20"/>
          <w:szCs w:val="20"/>
          <w:color w:val="auto"/>
        </w:rPr>
      </w:pPr>
      <w:r>
        <w:rPr>
          <w:rFonts w:ascii="Arial" w:cs="Arial" w:eastAsia="Arial" w:hAnsi="Arial"/>
          <w:sz w:val="13"/>
          <w:szCs w:val="13"/>
          <w:color w:val="auto"/>
        </w:rPr>
        <w:t>SBICs are designed to stimulate the flow of capital to businesses that meet specified eligibility requirements discussed below. Under SBA regulations, SBIC II is subject to regulatory requirements including, among other things, making investments in SBA eligible “small businesses” (as defined by the SBA), investing at least 25% of regulatory capital in eligible “smaller business enterprises”, placing certain limitations on the financing terms of investments by SBICs in portfolio companies, prohibiting investing in certain industries, and meeting certain required capitalization thresholds among other regulations. Furthermore, SBIC II is subject to regulation and oversight by the SBA, including, among other things, periodic the performance of financial audits by an independent auditor and periodic examinations, including of SBIC II’s of their financial statements that are prepared on a basis of accounting other than GAAP pursuant to SBA accounting standards and financial reporting requirements for SBICs. For example, SBIC II does not use fair value accounting on its assets or liabilities under SBA valuation guidelines. If SBIC</w:t>
      </w:r>
    </w:p>
    <w:p>
      <w:pPr>
        <w:spacing w:after="0" w:line="2" w:lineRule="exact"/>
        <w:rPr>
          <w:sz w:val="20"/>
          <w:szCs w:val="20"/>
          <w:color w:val="auto"/>
        </w:rPr>
      </w:pPr>
    </w:p>
    <w:p>
      <w:pPr>
        <w:ind w:right="40" w:firstLine="8"/>
        <w:spacing w:after="0" w:line="255" w:lineRule="auto"/>
        <w:tabs>
          <w:tab w:leader="none" w:pos="132" w:val="left"/>
        </w:tabs>
        <w:numPr>
          <w:ilvl w:val="0"/>
          <w:numId w:val="37"/>
        </w:numPr>
        <w:rPr>
          <w:rFonts w:ascii="Arial" w:cs="Arial" w:eastAsia="Arial" w:hAnsi="Arial"/>
          <w:sz w:val="13"/>
          <w:szCs w:val="13"/>
          <w:color w:val="auto"/>
        </w:rPr>
      </w:pPr>
      <w:r>
        <w:rPr>
          <w:rFonts w:ascii="Arial" w:cs="Arial" w:eastAsia="Arial" w:hAnsi="Arial"/>
          <w:sz w:val="13"/>
          <w:szCs w:val="13"/>
          <w:color w:val="auto"/>
        </w:rPr>
        <w:t>fails to comply with applicable SBA regulations, the SBA could, depending on the severity of the violation, limit or prohibit use of SBA-guaranteed debentures, declare outstanding debentures immediately due and payable, and/or limit SBIC II from making new investments. In addition, the SBA can revoke or suspend a SBIC license for willful or repeated violation of, or willful or repeated failure to observe, any provision of the 1958 Act or any rule or regulation promulgated thereunder. These actions by the SBA would, in turn, negatively affect us.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Eligible Small and Smaller Businesses</w:t>
      </w:r>
    </w:p>
    <w:p>
      <w:pPr>
        <w:spacing w:after="0" w:line="123"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Under present current SBA regulations, eligible “small business” generally include businesses that (together with their affiliates) have tangible net worth not exceeding $19.5 million and have average annual net income after U.S. federal income taxes not exceeding of $6.5 million (average net income to be computed without benefit of any carryover loss) for the two most recent fiscal years. In addition, SBIC II must invest at least 25% of its investment capitals in “smaller” concerns enterprises”. A “smaller concern enterprise” is generally includes a business (together with its affiliates) that has tangible net worth not exceeding $6.0 million and has average annual net income after U.S. federal income taxes not exceeding $2.0 million (average net income to be computed without benefit of any carryover loss) for the two most recent fiscal years. SBA regulations also provide alternative industry size standard criteria to determine eligibility for designation as an eligible small business or a smaller enterprise, which criteria depend on the primary industry in which the business is engaged and is based on the number of employees or gross revenue of the business and its affiliates or as an alternative to the aforementioned requirement, meet the size requirements based on either the number of employees or gross revenue, which is based on the industry in which the smaller concern operates. However, Once an SBIC has invested in a company, it may continue to make follow-on investments in the company, regardless of the size of the business at the time of the follow-on investment, up and until to the time a business offers its securities in a public market the company’s initial public offering, if any.</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Financing Limitations, Terms and Changes in Control</w:t>
      </w:r>
    </w:p>
    <w:p>
      <w:pPr>
        <w:spacing w:after="0" w:line="136" w:lineRule="exact"/>
        <w:rPr>
          <w:sz w:val="20"/>
          <w:szCs w:val="20"/>
          <w:color w:val="auto"/>
        </w:rPr>
      </w:pPr>
    </w:p>
    <w:p>
      <w:pPr>
        <w:ind w:right="100" w:firstLine="438"/>
        <w:spacing w:after="0" w:line="255" w:lineRule="auto"/>
        <w:rPr>
          <w:sz w:val="20"/>
          <w:szCs w:val="20"/>
          <w:color w:val="auto"/>
        </w:rPr>
      </w:pPr>
      <w:r>
        <w:rPr>
          <w:rFonts w:ascii="Arial" w:cs="Arial" w:eastAsia="Arial" w:hAnsi="Arial"/>
          <w:sz w:val="13"/>
          <w:szCs w:val="13"/>
          <w:color w:val="auto"/>
        </w:rPr>
        <w:t>The SBA generally prohibits an SBIC from financing small businesses in certain industries, such as relending, gambling, oil and gas exploration and other passive businesses. Additional SBA prohibitions include investing outside the United States, investing more than 30% of regulatory capital in any one company and its affiliates and lending money to any officer, director or employee or to invest in any affiliate thereof. The SBA places certain limits on the financing terms of investments by SBIC II in portfolio companies such as limiting the interest rate on debt securities and loans provided to portfolio companies. The SBA also limits fees, prepayment terms and other economic arrangements that are typically charged in lending arrangements.</w:t>
      </w:r>
    </w:p>
    <w:p>
      <w:pPr>
        <w:spacing w:after="0" w:line="94" w:lineRule="exact"/>
        <w:rPr>
          <w:sz w:val="20"/>
          <w:szCs w:val="20"/>
          <w:color w:val="auto"/>
        </w:rPr>
      </w:pPr>
    </w:p>
    <w:p>
      <w:pPr>
        <w:jc w:val="both"/>
        <w:ind w:right="220" w:firstLine="438"/>
        <w:spacing w:after="0" w:line="238" w:lineRule="auto"/>
        <w:rPr>
          <w:sz w:val="20"/>
          <w:szCs w:val="20"/>
          <w:color w:val="auto"/>
        </w:rPr>
      </w:pPr>
      <w:r>
        <w:rPr>
          <w:rFonts w:ascii="Arial" w:cs="Arial" w:eastAsia="Arial" w:hAnsi="Arial"/>
          <w:sz w:val="14"/>
          <w:szCs w:val="14"/>
          <w:color w:val="auto"/>
        </w:rPr>
        <w:t>The SBA also prohibits, without prior written approval, a “change in control” of SBIC II or transfers that would result in any person or group owning 10% or more of a class of capital stock (or its equivalent in the case of a partnership) of a licensed SBIC. A “change of control” is any event which would result in the transfer of power, direct or indirect, to direct management and policies of an SBIC, whether through ownership, contractual arrangements or otherwise.</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Idle Funds Limitation</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SBA limits an SBIC to investing idle funds in the following types of securities:</w:t>
      </w:r>
    </w:p>
    <w:p>
      <w:pPr>
        <w:spacing w:after="0" w:line="123" w:lineRule="exact"/>
        <w:rPr>
          <w:sz w:val="20"/>
          <w:szCs w:val="20"/>
          <w:color w:val="auto"/>
        </w:rPr>
      </w:pPr>
    </w:p>
    <w:p>
      <w:pPr>
        <w:ind w:left="920" w:hanging="359"/>
        <w:spacing w:after="0"/>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direct obligations of, or obligations guaranteed as to principal and interest by, the U.S. Government, which mature within 15 months from the date of the investment;</w:t>
      </w:r>
    </w:p>
    <w:p>
      <w:pPr>
        <w:spacing w:after="0" w:line="203" w:lineRule="exact"/>
        <w:rPr>
          <w:rFonts w:ascii="Arial" w:cs="Arial" w:eastAsia="Arial" w:hAnsi="Arial"/>
          <w:sz w:val="14"/>
          <w:szCs w:val="14"/>
          <w:color w:val="auto"/>
        </w:rPr>
      </w:pPr>
    </w:p>
    <w:p>
      <w:pPr>
        <w:ind w:left="920" w:right="60" w:hanging="359"/>
        <w:spacing w:after="0" w:line="253" w:lineRule="auto"/>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mutual funds, securities or other instruments that exclusively consist of, or represent pooled assets of, investments described in the first and second bulleted paragraphs above;</w:t>
      </w:r>
    </w:p>
    <w:p>
      <w:pPr>
        <w:spacing w:after="0" w:line="215" w:lineRule="exact"/>
        <w:rPr>
          <w:rFonts w:ascii="Arial" w:cs="Arial" w:eastAsia="Arial" w:hAnsi="Arial"/>
          <w:sz w:val="13"/>
          <w:szCs w:val="13"/>
          <w:color w:val="auto"/>
        </w:rPr>
      </w:pPr>
    </w:p>
    <w:p>
      <w:pPr>
        <w:ind w:left="920" w:hanging="359"/>
        <w:spacing w:after="0"/>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certificates of deposit with a maturity of one year or less, issued by a federally insured institution; or</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 deposit account in a federally insured institution that is subject to withdrawal restriction of one year or less.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 checking account in a federally insured institution; or</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a reasonable petty cash fund.</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SBA Leverage or Debentures</w:t>
      </w:r>
    </w:p>
    <w:p>
      <w:pPr>
        <w:spacing w:after="0" w:line="136" w:lineRule="exact"/>
        <w:rPr>
          <w:sz w:val="20"/>
          <w:szCs w:val="20"/>
          <w:color w:val="auto"/>
        </w:rPr>
      </w:pPr>
    </w:p>
    <w:p>
      <w:pPr>
        <w:ind w:right="80"/>
        <w:spacing w:after="0" w:line="231" w:lineRule="auto"/>
        <w:rPr>
          <w:sz w:val="20"/>
          <w:szCs w:val="20"/>
          <w:color w:val="auto"/>
        </w:rPr>
      </w:pPr>
      <w:r>
        <w:rPr>
          <w:rFonts w:ascii="Arial" w:cs="Arial" w:eastAsia="Arial" w:hAnsi="Arial"/>
          <w:sz w:val="14"/>
          <w:szCs w:val="14"/>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an SBIC may borrow to a maximum of $175.0 million, which is up to twice its regulatory capital, and a maximum of $350.0 million as part of a group of SBICs under common control. The SBA, as a creditor, will have a superior claim to SBIC II’s assets over our stockholders in the event we liquidate SBIC II or the SBA exercises its remedies under the SBA-guaranteed debentures issued by SBIC II upon an event of default.</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18" w:name="page19"/>
    <w:bookmarkEnd w:id="18"/>
    <w:p>
      <w:pPr>
        <w:spacing w:after="0"/>
        <w:tabs>
          <w:tab w:leader="none" w:pos="98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40"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i w:val="1"/>
          <w:iCs w:val="1"/>
          <w:color w:val="auto"/>
        </w:rPr>
        <w:t>Before you invest in our securities, you should be aware of various risks, including those described below. You should carefully consider these risk factors, together with all of the other information included in this Report,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our 2024 Notes, or any securities we may issue, may decline, and you may lose all or part of your investment.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BUSINESS AND STRUCTURE</w:t>
      </w:r>
    </w:p>
    <w:p>
      <w:pPr>
        <w:spacing w:after="0" w:line="140" w:lineRule="exact"/>
        <w:rPr>
          <w:sz w:val="20"/>
          <w:szCs w:val="20"/>
          <w:color w:val="auto"/>
        </w:rPr>
      </w:pPr>
    </w:p>
    <w:p>
      <w:pPr>
        <w:ind w:right="140"/>
        <w:spacing w:after="0" w:line="253" w:lineRule="auto"/>
        <w:rPr>
          <w:sz w:val="20"/>
          <w:szCs w:val="20"/>
          <w:color w:val="auto"/>
        </w:rPr>
      </w:pPr>
      <w:r>
        <w:rPr>
          <w:rFonts w:ascii="Arial" w:cs="Arial" w:eastAsia="Arial" w:hAnsi="Arial"/>
          <w:sz w:val="14"/>
          <w:szCs w:val="14"/>
          <w:b w:val="1"/>
          <w:bCs w:val="1"/>
          <w:i w:val="1"/>
          <w:iCs w:val="1"/>
          <w:color w:val="auto"/>
        </w:rPr>
        <w:t>We are subject to various covenants under our Credit Facility which, if not complied with, could result in reduced availability and/or mandatory prepayments under our Credit Facility and SBA debentures.</w:t>
      </w:r>
    </w:p>
    <w:p>
      <w:pPr>
        <w:spacing w:after="0" w:line="106"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In addition to the asset coverage ratio requirements, our Credit Facility contains various covenants which, if not complied with, could accelerate repayment under the Credit Facility. This could have a material adverse effect on our business, financial condition and results of operations. Our borrowings under our Credit Facility are collateralized by the assets in our investment portfolio, excluding those portfolio investments held by SBIC II. The agreements governing the Credit Facility require us to comply with certain financial and operational covenants. These covenants include:</w:t>
      </w:r>
    </w:p>
    <w:p>
      <w:pPr>
        <w:spacing w:after="0" w:line="104" w:lineRule="exact"/>
        <w:rPr>
          <w:sz w:val="20"/>
          <w:szCs w:val="20"/>
          <w:color w:val="auto"/>
        </w:rPr>
      </w:pPr>
    </w:p>
    <w:p>
      <w:pPr>
        <w:ind w:left="920" w:hanging="359"/>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 requirement to retain our status as a RIC;</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 requirement to maintain a minimum amount of stockholders’ equity; and</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 requirement that our outstanding borrowings under the Credit Facility not exceed a certain percentage of the value of our portfolio.</w:t>
      </w:r>
    </w:p>
    <w:p>
      <w:pPr>
        <w:spacing w:after="0" w:line="204"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In addition to the Credit Facility, SBIC II has issued SBA debentures that require us and SBIC II to generate sufficient cash flow to make required interest payments. Further, SBIC II must maintain a minimum capitalization that, if impaired, could materially and adversely affect our liquidity, financial condition and results of operations by accelerating repayment under the SBA debentures. Our borrowings under the SBA debentures are secured by the assets of SBIC II.</w:t>
      </w:r>
    </w:p>
    <w:p>
      <w:pPr>
        <w:spacing w:after="0" w:line="115" w:lineRule="exact"/>
        <w:rPr>
          <w:sz w:val="20"/>
          <w:szCs w:val="20"/>
          <w:color w:val="auto"/>
        </w:rPr>
      </w:pPr>
    </w:p>
    <w:p>
      <w:pPr>
        <w:ind w:right="180" w:firstLine="438"/>
        <w:spacing w:after="0" w:line="233" w:lineRule="auto"/>
        <w:rPr>
          <w:sz w:val="20"/>
          <w:szCs w:val="20"/>
          <w:color w:val="auto"/>
        </w:rPr>
      </w:pPr>
      <w:r>
        <w:rPr>
          <w:rFonts w:ascii="Arial" w:cs="Arial" w:eastAsia="Arial" w:hAnsi="Arial"/>
          <w:sz w:val="14"/>
          <w:szCs w:val="14"/>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This could have a material adverse effect on our operations, as it would reduce availability under the Credit Facility and could trigger mandatory prepayment obligations under the terms of the Credit Facility.</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operate in a highly competitive market for investment opportunities.</w:t>
      </w:r>
    </w:p>
    <w:p>
      <w:pPr>
        <w:spacing w:after="0" w:line="123" w:lineRule="exact"/>
        <w:rPr>
          <w:sz w:val="20"/>
          <w:szCs w:val="20"/>
          <w:color w:val="auto"/>
        </w:rPr>
      </w:pPr>
    </w:p>
    <w:p>
      <w:pPr>
        <w:ind w:right="60" w:firstLine="438"/>
        <w:spacing w:after="0" w:line="226" w:lineRule="auto"/>
        <w:rPr>
          <w:sz w:val="20"/>
          <w:szCs w:val="20"/>
          <w:color w:val="auto"/>
        </w:rPr>
      </w:pPr>
      <w:r>
        <w:rPr>
          <w:rFonts w:ascii="Arial" w:cs="Arial" w:eastAsia="Arial" w:hAnsi="Arial"/>
          <w:sz w:val="14"/>
          <w:szCs w:val="14"/>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1"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borrowers may default on their payments, which may have a materially negative effect on our financial performance.</w:t>
      </w:r>
    </w:p>
    <w:p>
      <w:pPr>
        <w:spacing w:after="0" w:line="123" w:lineRule="exact"/>
        <w:rPr>
          <w:sz w:val="20"/>
          <w:szCs w:val="20"/>
          <w:color w:val="auto"/>
        </w:rPr>
      </w:pPr>
    </w:p>
    <w:p>
      <w:pPr>
        <w:ind w:right="260" w:firstLine="438"/>
        <w:spacing w:after="0" w:line="253" w:lineRule="auto"/>
        <w:rPr>
          <w:sz w:val="20"/>
          <w:szCs w:val="20"/>
          <w:color w:val="auto"/>
        </w:rPr>
      </w:pPr>
      <w:r>
        <w:rPr>
          <w:rFonts w:ascii="Arial" w:cs="Arial" w:eastAsia="Arial" w:hAnsi="Arial"/>
          <w:sz w:val="14"/>
          <w:szCs w:val="14"/>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106" w:lineRule="exact"/>
        <w:rPr>
          <w:sz w:val="20"/>
          <w:szCs w:val="20"/>
          <w:color w:val="auto"/>
        </w:rPr>
      </w:pPr>
    </w:p>
    <w:p>
      <w:pPr>
        <w:ind w:right="340" w:firstLine="438"/>
        <w:spacing w:after="0" w:line="264" w:lineRule="auto"/>
        <w:rPr>
          <w:sz w:val="20"/>
          <w:szCs w:val="20"/>
          <w:color w:val="auto"/>
        </w:rPr>
      </w:pPr>
      <w:r>
        <w:rPr>
          <w:rFonts w:ascii="Arial" w:cs="Arial" w:eastAsia="Arial" w:hAnsi="Arial"/>
          <w:sz w:val="13"/>
          <w:szCs w:val="13"/>
          <w:color w:val="auto"/>
        </w:rPr>
        <w:t>In addition,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101" w:lineRule="exact"/>
        <w:rPr>
          <w:sz w:val="20"/>
          <w:szCs w:val="20"/>
          <w:color w:val="auto"/>
        </w:rPr>
      </w:pPr>
    </w:p>
    <w:p>
      <w:pPr>
        <w:ind w:right="20" w:firstLine="438"/>
        <w:spacing w:after="0" w:line="244" w:lineRule="auto"/>
        <w:rPr>
          <w:sz w:val="20"/>
          <w:szCs w:val="20"/>
          <w:color w:val="auto"/>
        </w:rPr>
      </w:pPr>
      <w:r>
        <w:rPr>
          <w:rFonts w:ascii="Arial" w:cs="Arial" w:eastAsia="Arial" w:hAnsi="Arial"/>
          <w:sz w:val="13"/>
          <w:szCs w:val="13"/>
          <w:color w:val="auto"/>
        </w:rPr>
        <w:t>We make long-term loans and debt investments, which may involve a high degree of repayment risk. Our investments with a deferred interest feature, such as OID income and PIK interest, could represent a higher credit risk than investments that must pay interest in full in cash on a regular basis. We invest in companies that may have limited financial resources, typically are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adversely affect our financial condition and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Any unrealized losses we experience on our investment portfolio may be an indication of future realized losses, which could reduce our income available for distribution.</w:t>
      </w:r>
    </w:p>
    <w:p>
      <w:pPr>
        <w:spacing w:after="0" w:line="148" w:lineRule="exact"/>
        <w:rPr>
          <w:sz w:val="20"/>
          <w:szCs w:val="20"/>
          <w:color w:val="auto"/>
        </w:rPr>
      </w:pPr>
    </w:p>
    <w:p>
      <w:pPr>
        <w:jc w:val="both"/>
        <w:ind w:right="120" w:firstLine="438"/>
        <w:spacing w:after="0" w:line="233" w:lineRule="auto"/>
        <w:rPr>
          <w:sz w:val="20"/>
          <w:szCs w:val="20"/>
          <w:color w:val="auto"/>
        </w:rPr>
      </w:pPr>
      <w:r>
        <w:rPr>
          <w:rFonts w:ascii="Arial" w:cs="Arial" w:eastAsia="Arial" w:hAnsi="Arial"/>
          <w:sz w:val="14"/>
          <w:szCs w:val="14"/>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 w:name="page20"/>
    <w:bookmarkEnd w:id="19"/>
    <w:p>
      <w:pPr>
        <w:ind w:right="400" w:firstLine="438"/>
        <w:spacing w:after="0" w:line="253" w:lineRule="auto"/>
        <w:rPr>
          <w:sz w:val="20"/>
          <w:szCs w:val="20"/>
          <w:color w:val="auto"/>
        </w:rPr>
      </w:pPr>
      <w:r>
        <w:rPr>
          <w:rFonts w:ascii="Arial" w:cs="Arial" w:eastAsia="Arial" w:hAnsi="Arial"/>
          <w:sz w:val="14"/>
          <w:szCs w:val="14"/>
          <w:color w:val="auto"/>
        </w:rPr>
        <w:t>If the fair value of our portfolio companies reflects unrealized losses that are subsequently realized, we could experience reductions of our income available for distribution in future periods that could materially harm our results of operations and cause a material decline in the value of our publicly traded common stock.</w:t>
      </w:r>
    </w:p>
    <w:p>
      <w:pPr>
        <w:spacing w:after="0" w:line="93" w:lineRule="exact"/>
        <w:rPr>
          <w:sz w:val="20"/>
          <w:szCs w:val="20"/>
          <w:color w:val="auto"/>
        </w:rPr>
      </w:pPr>
    </w:p>
    <w:p>
      <w:pPr>
        <w:ind w:right="240"/>
        <w:spacing w:after="0" w:line="253" w:lineRule="auto"/>
        <w:rPr>
          <w:sz w:val="20"/>
          <w:szCs w:val="20"/>
          <w:color w:val="auto"/>
        </w:rPr>
      </w:pPr>
      <w:r>
        <w:rPr>
          <w:rFonts w:ascii="Arial" w:cs="Arial" w:eastAsia="Arial" w:hAnsi="Arial"/>
          <w:sz w:val="14"/>
          <w:szCs w:val="14"/>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106" w:lineRule="exact"/>
        <w:rPr>
          <w:sz w:val="20"/>
          <w:szCs w:val="20"/>
          <w:color w:val="auto"/>
        </w:rPr>
      </w:pPr>
    </w:p>
    <w:p>
      <w:pPr>
        <w:ind w:right="160" w:firstLine="438"/>
        <w:spacing w:after="0" w:line="248" w:lineRule="auto"/>
        <w:rPr>
          <w:sz w:val="20"/>
          <w:szCs w:val="20"/>
          <w:color w:val="auto"/>
        </w:rPr>
      </w:pPr>
      <w:r>
        <w:rPr>
          <w:rFonts w:ascii="Arial" w:cs="Arial" w:eastAsia="Arial" w:hAnsi="Arial"/>
          <w:sz w:val="13"/>
          <w:szCs w:val="13"/>
          <w:color w:val="auto"/>
        </w:rPr>
        <w:t>We depend on the diligence, skill and network of business contacts of the senior investment professionals of our Investment Adviser for our future success. We also depend, to a significant extent, on PennantPark Investment Advisers’ access to the investment information and deal flow generated by these senior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13"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If our Investment Management Agreement is terminated, our costs under new agreements that we enter into may increase. In addition, we will likely incur significant time and expense in locating alternative parties to provide the services we expect to receive under our Investment Management Agreement. Any new investment management agreement would also be subject to approval by our stockholders.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exposed to risks associated with changes in interest rates that may affect our cost of capital and net investment income.</w:t>
      </w:r>
    </w:p>
    <w:p>
      <w:pPr>
        <w:spacing w:after="0" w:line="136" w:lineRule="exact"/>
        <w:rPr>
          <w:sz w:val="20"/>
          <w:szCs w:val="20"/>
          <w:color w:val="auto"/>
        </w:rPr>
      </w:pPr>
    </w:p>
    <w:p>
      <w:pPr>
        <w:ind w:right="40" w:firstLine="438"/>
        <w:spacing w:after="0" w:line="244" w:lineRule="auto"/>
        <w:rPr>
          <w:sz w:val="20"/>
          <w:szCs w:val="20"/>
          <w:color w:val="auto"/>
        </w:rPr>
      </w:pPr>
      <w:r>
        <w:rPr>
          <w:rFonts w:ascii="Arial" w:cs="Arial" w:eastAsia="Arial" w:hAnsi="Arial"/>
          <w:sz w:val="13"/>
          <w:szCs w:val="13"/>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and the interest rate on investments with an interest rate floor will not increase until interest rates exceed the applicable floor, which will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which may diminish the actual benefits of any hedging strategy we employ. See “Management’s Discussion and Analysis of Financial Condition and Results of Operations— Quantitative and Qualitative Disclosures about Market Risk” for more information.</w:t>
      </w:r>
    </w:p>
    <w:p>
      <w:pPr>
        <w:spacing w:after="0" w:line="117"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A rise in the general level of interest rates can be expected to lead to higher interest rates applicable to our debt investments once the interest rate exceeds the applicable floor.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02"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General interest rate fluctuations may have a substantial negative impact on our investments, the value of our common stock and our rate of return on invested capital. A reduction in interest rates may result in both lower interest rates on new investments and higher repayments on current investments with higher interest rates, which may have an adverse impact on our net investment income. An increase in interest rates could decrease the value of any investments we hold which earn fixed interest rates or are subject to interest rate floors and also could increase our interest expense on our Credit Facility, thereby decreasing our net investment income. Also, an increase in interest rates available to investors could make an investment in our common stock less attractive if we are not able to increase our dividend rate, which could reduce the value of our common stock.</w:t>
      </w:r>
    </w:p>
    <w:p>
      <w:pPr>
        <w:spacing w:after="0" w:line="116"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If general interest rates rise, there is a risk that the portfolio companies in which we hold floating rate securities will be unable to pay escalating interest amounts, which could result in a default under their loan documents with us.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relating to the LIBOR calculation process may adversely affect the value of the LIBOR-indexed, floating-rate debt securities in our portfolio or issued by us.</w:t>
      </w:r>
    </w:p>
    <w:p>
      <w:pPr>
        <w:spacing w:after="0" w:line="136" w:lineRule="exact"/>
        <w:rPr>
          <w:sz w:val="20"/>
          <w:szCs w:val="20"/>
          <w:color w:val="auto"/>
        </w:rPr>
      </w:pPr>
    </w:p>
    <w:p>
      <w:pPr>
        <w:ind w:firstLine="451"/>
        <w:spacing w:after="0" w:line="248" w:lineRule="auto"/>
        <w:rPr>
          <w:sz w:val="20"/>
          <w:szCs w:val="20"/>
          <w:color w:val="auto"/>
        </w:rPr>
      </w:pPr>
      <w:r>
        <w:rPr>
          <w:rFonts w:ascii="Arial" w:cs="Arial" w:eastAsia="Arial" w:hAnsi="Arial"/>
          <w:sz w:val="13"/>
          <w:szCs w:val="13"/>
          <w:color w:val="auto"/>
        </w:rPr>
        <w:t>In July 2017, the head of the United Kingdom Financial Conduct Authority announced the desire to phase out the use of LIBOR by the end of 2021. At this time, no consensus exists as to what rate or rates will become accepted alternatives to LIBOR, although the U.S. Federal Reserve, in connection with the Alternative Reference Rates Committee, a steering committee comprised of large U.S. financial institutions, is considering replacing U.S. dollar LIBOR with the Secured Overnight Financing Rate (“SOFR”). Given the inherent differences between LIBOR and SOFR, or any other alternative benchmark rate that may be established, there are many uncertainties regarding a transition from LIBOR, including, but not limited to, the need to amend all contracts with LIBOR as the referenced rate and how this will impact the cost of variable rate debt and certain derivative financial instruments. In addition, SOFR or other replacement rates may fail to gain market acceptance. Any failure of SOFR or alternative reference rates to gain market acceptance could adversely affect the return on, value of and market for securities linked to such rates.</w:t>
      </w:r>
    </w:p>
    <w:p>
      <w:pPr>
        <w:spacing w:after="0" w:line="113" w:lineRule="exact"/>
        <w:rPr>
          <w:sz w:val="20"/>
          <w:szCs w:val="20"/>
          <w:color w:val="auto"/>
        </w:rPr>
      </w:pPr>
    </w:p>
    <w:p>
      <w:pPr>
        <w:ind w:right="120" w:firstLine="451"/>
        <w:spacing w:after="0" w:line="244" w:lineRule="auto"/>
        <w:rPr>
          <w:sz w:val="20"/>
          <w:szCs w:val="20"/>
          <w:color w:val="auto"/>
        </w:rPr>
      </w:pPr>
      <w:r>
        <w:rPr>
          <w:rFonts w:ascii="Arial" w:cs="Arial" w:eastAsia="Arial" w:hAnsi="Arial"/>
          <w:sz w:val="13"/>
          <w:szCs w:val="13"/>
          <w:color w:val="auto"/>
        </w:rPr>
        <w:t>The effect of the establishment of alternative reference rates or any other reforms to LIBOR or other reference rates (including whether LIBOR will continue to be an acceptable market benchmark) cannot be predicted at this time, and the transition away from LIBOR and other current reference rates to alternative reference rates is complex and could have a material adverse effect on our business, financial condition and results of operations. Factors such as the pace of the transition to replacement or reformed rates, the specific terms and parameters for and market acceptance of any alternative reference rate, prices of and the liquidity of trading markets for products based on alternative reference rates, and our ability to transition and develop appropriate systems and analytics for one or more alternative reference rates could also have a material adverse effect on our business, financial condition and results of operations. We may also need to renegotiate any credit or similar agreements extending beyond 2021 with our portfolio companies that utilize LIBOR as a factor in determining the interest rate and our Credit Facility to replace LIBOR with the new standard that is established. If the agreements with our portfolio companies are unable to be renegotiated, our investments may bear interest at a lower rate, which would decrease investment income and potentially the value of such investments. If we are unable to renegotiate our Credit Facility, amounts drawn under our Credit Facility may bear interest at a higher rate, which would increase the cost of our borrowings and, in turn, affect our results of operations.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i w:val="1"/>
          <w:iCs w:val="1"/>
          <w:color w:val="auto"/>
        </w:rPr>
        <w:t>Our financial condition and results of operation depend on our ability to manage future growth effectively.</w:t>
      </w:r>
    </w:p>
    <w:p>
      <w:pPr>
        <w:spacing w:after="0" w:line="123" w:lineRule="exact"/>
        <w:rPr>
          <w:sz w:val="20"/>
          <w:szCs w:val="20"/>
          <w:color w:val="auto"/>
        </w:rPr>
      </w:pPr>
    </w:p>
    <w:p>
      <w:pPr>
        <w:ind w:right="100" w:firstLine="438"/>
        <w:spacing w:after="0" w:line="245" w:lineRule="auto"/>
        <w:rPr>
          <w:sz w:val="20"/>
          <w:szCs w:val="20"/>
          <w:color w:val="auto"/>
        </w:rPr>
      </w:pPr>
      <w:r>
        <w:rPr>
          <w:rFonts w:ascii="Arial" w:cs="Arial" w:eastAsia="Arial" w:hAnsi="Arial"/>
          <w:sz w:val="13"/>
          <w:szCs w:val="13"/>
          <w:color w:val="auto"/>
        </w:rPr>
        <w:t>Our ability to achieve our investment objectives depends on our ability to grow, which depends, in turn, on our Investment Adviser’s ability to identify, invest in and monitor companies that meet our investment selection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for us to grow, our Investment Adviser will need to hire, train, supervise and manage new employees. However, we can offer no assurance that any current or future employees will contribute effectively to the work of, or remain associated with, the Investment Adviser. We caution you that the principals of our Investment Adviser or Administrator may also be called upon to provide and currently do provide significant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highly dependent on information systems and systems failures could have a material adverse effect on our business, financial condition and results of operations.</w:t>
      </w:r>
    </w:p>
    <w:p>
      <w:pPr>
        <w:spacing w:after="0" w:line="148" w:lineRule="exact"/>
        <w:rPr>
          <w:sz w:val="20"/>
          <w:szCs w:val="20"/>
          <w:color w:val="auto"/>
        </w:rPr>
      </w:pPr>
    </w:p>
    <w:p>
      <w:pPr>
        <w:ind w:right="400" w:firstLine="438"/>
        <w:spacing w:after="0" w:line="238" w:lineRule="auto"/>
        <w:rPr>
          <w:sz w:val="20"/>
          <w:szCs w:val="20"/>
          <w:color w:val="auto"/>
        </w:rPr>
      </w:pPr>
      <w:r>
        <w:rPr>
          <w:rFonts w:ascii="Arial" w:cs="Arial" w:eastAsia="Arial" w:hAnsi="Arial"/>
          <w:sz w:val="14"/>
          <w:szCs w:val="14"/>
          <w:color w:val="auto"/>
        </w:rPr>
        <w:t>Our business depends on the communications and information systems, including financial and accounting systems, of the Investment Adviser, the Administrator and our sub-administrator. Any failure or interruption of such systems could cause delays or other problems in our activities. This, in turn, could have a material adverse effect on our business, financial condition and results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not replicate the historical performance of other investment companies and funds with which our senior and other investment professionals have been affiliated.</w:t>
      </w:r>
    </w:p>
    <w:p>
      <w:pPr>
        <w:spacing w:after="0" w:line="148" w:lineRule="exact"/>
        <w:rPr>
          <w:sz w:val="20"/>
          <w:szCs w:val="20"/>
          <w:color w:val="auto"/>
        </w:rPr>
      </w:pPr>
    </w:p>
    <w:p>
      <w:pPr>
        <w:ind w:firstLine="438"/>
        <w:spacing w:after="0" w:line="248" w:lineRule="auto"/>
        <w:rPr>
          <w:sz w:val="20"/>
          <w:szCs w:val="20"/>
          <w:color w:val="auto"/>
        </w:rPr>
      </w:pPr>
      <w:r>
        <w:rPr>
          <w:rFonts w:ascii="Arial" w:cs="Arial" w:eastAsia="Arial" w:hAnsi="Arial"/>
          <w:sz w:val="13"/>
          <w:szCs w:val="13"/>
          <w:color w:val="auto"/>
        </w:rPr>
        <w:t>The 1940 Act imposes numerous constraints on the investment activities of BDCs. For example, BDCs are required to invest at least 70% of their total assets primarily in securities of U.S. private companies or thinly traded public companies (i.e.,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and funds advised by the Investment Adviser. Accordingly, we can offer no assurance that we will replicate the historical performance of other investment companies and funds with which our senior and other investment professionals have been affiliated, and we caution that our investment returns could be substantially lower than the returns achieved by such other companies.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failure on our part to maintain our status as a BDC would reduce our operating flexibility.</w:t>
      </w:r>
    </w:p>
    <w:p>
      <w:pPr>
        <w:spacing w:after="0" w:line="123" w:lineRule="exact"/>
        <w:rPr>
          <w:sz w:val="20"/>
          <w:szCs w:val="20"/>
          <w:color w:val="auto"/>
        </w:rPr>
      </w:pPr>
    </w:p>
    <w:p>
      <w:pPr>
        <w:ind w:right="40" w:firstLine="438"/>
        <w:spacing w:after="0" w:line="290" w:lineRule="auto"/>
        <w:rPr>
          <w:sz w:val="20"/>
          <w:szCs w:val="20"/>
          <w:color w:val="auto"/>
        </w:rPr>
      </w:pPr>
      <w:r>
        <w:rPr>
          <w:rFonts w:ascii="Arial" w:cs="Arial" w:eastAsia="Arial" w:hAnsi="Arial"/>
          <w:sz w:val="13"/>
          <w:szCs w:val="13"/>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Loss of RIC tax status would substantially reduce our net assets and income available for debt service and distributions.</w:t>
      </w:r>
    </w:p>
    <w:p>
      <w:pPr>
        <w:spacing w:after="0" w:line="136"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We have operated and continue to operate so as to maintain our election to be treated as a RIC under Subchapter M of the Code. If we meet the 90% Income Test, the Diversification Tests, and the Annual Distribution Requirement, we generally will not be subject to corporate-level income taxation on income we timely distribute, or deem to distribute, as dividends for U.S. federal income tax purposes to our stockholders. We would cease to qualify for such tax treatment if we were unable to comply with these requirements. In addition, we may have difficulty meeting our Annual Distribution Requirement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4% nondeductible excise tax if we do not distribute to our stockholders in respect of each calendar year an amount at least equal to the Excise Tax Avoidance Requirement.</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have difficulty paying our Annual Distribution Requirement if we recognize income before or without receiving cash representing such income.</w:t>
      </w:r>
    </w:p>
    <w:p>
      <w:pPr>
        <w:spacing w:after="0" w:line="136" w:lineRule="exact"/>
        <w:rPr>
          <w:sz w:val="20"/>
          <w:szCs w:val="20"/>
          <w:color w:val="auto"/>
        </w:rPr>
      </w:pPr>
    </w:p>
    <w:p>
      <w:pPr>
        <w:ind w:right="60" w:firstLine="438"/>
        <w:spacing w:after="0" w:line="229" w:lineRule="auto"/>
        <w:rPr>
          <w:sz w:val="20"/>
          <w:szCs w:val="20"/>
          <w:color w:val="auto"/>
        </w:rPr>
      </w:pPr>
      <w:r>
        <w:rPr>
          <w:rFonts w:ascii="Arial" w:cs="Arial" w:eastAsia="Arial" w:hAnsi="Arial"/>
          <w:sz w:val="14"/>
          <w:szCs w:val="14"/>
          <w:color w:val="auto"/>
        </w:rPr>
        <w:t>For federal income tax purposes, we include in income certain amounts that we have not yet received in cash, such as OID and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 such as amounts attributable to foreign currency transactions. Our investments with a deferred interest feature, such as PIK interest, may represent a higher credit risk than loans for which interest must be paid in full in cash on a regular basis. For example, even if the accounting conditions for income accrual are met, the borrower could still default when our actual collection is scheduled to occur upon maturity of the obligation.</w:t>
      </w:r>
    </w:p>
    <w:p>
      <w:pPr>
        <w:spacing w:after="0" w:line="118"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PIK or OID interest, it is possible that accrued interest previously used in the calculation of the incentive fee will become uncollectible.</w:t>
      </w:r>
    </w:p>
    <w:p>
      <w:pPr>
        <w:spacing w:after="0" w:line="102" w:lineRule="exact"/>
        <w:rPr>
          <w:sz w:val="20"/>
          <w:szCs w:val="20"/>
          <w:color w:val="auto"/>
        </w:rPr>
      </w:pPr>
    </w:p>
    <w:p>
      <w:pPr>
        <w:ind w:right="60" w:firstLine="438"/>
        <w:spacing w:after="0" w:line="264" w:lineRule="auto"/>
        <w:rPr>
          <w:sz w:val="20"/>
          <w:szCs w:val="20"/>
          <w:color w:val="auto"/>
        </w:rPr>
      </w:pPr>
      <w:r>
        <w:rPr>
          <w:rFonts w:ascii="Arial" w:cs="Arial" w:eastAsia="Arial" w:hAnsi="Arial"/>
          <w:sz w:val="13"/>
          <w:szCs w:val="13"/>
          <w:color w:val="auto"/>
        </w:rPr>
        <w:t>If we are unable to satisfy the Annual Distribution Requirement, we may have to sell some of our investments at times or prices we would not consider advantageous, or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lose our ability to be subject to tax as a RIC and thus be subject to corporate-level income tax.</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i w:val="1"/>
          <w:iCs w:val="1"/>
          <w:color w:val="auto"/>
        </w:rPr>
        <w:t>Legislation enacted in 2018 allows us to incur additional leverage.</w:t>
      </w:r>
    </w:p>
    <w:p>
      <w:pPr>
        <w:spacing w:after="0" w:line="136" w:lineRule="exact"/>
        <w:rPr>
          <w:sz w:val="20"/>
          <w:szCs w:val="20"/>
          <w:color w:val="auto"/>
        </w:rPr>
      </w:pPr>
    </w:p>
    <w:p>
      <w:pPr>
        <w:ind w:right="20" w:firstLine="438"/>
        <w:spacing w:after="0" w:line="243" w:lineRule="auto"/>
        <w:rPr>
          <w:sz w:val="20"/>
          <w:szCs w:val="20"/>
          <w:color w:val="auto"/>
        </w:rPr>
      </w:pPr>
      <w:r>
        <w:rPr>
          <w:rFonts w:ascii="Arial" w:cs="Arial" w:eastAsia="Arial" w:hAnsi="Arial"/>
          <w:sz w:val="13"/>
          <w:szCs w:val="13"/>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enacted which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February 5, 2019, our stockholders approved such reduction, as approved by our board of directors on November 13, 2018. As of February 5, 2019, we are able to incur additional indebtedness so long as we comply with the applicable disclosure requirements, which may increase the risk of investing in us. Under the 200% minimum asset coverage ratio, we were permitted to borrow up to one dollar for investment purposes for every one dollar of investor equity and, under the 150% minimum asset coverage ratio, we are permitted to borrow up to two dollars for investment purposes for every one dollar of investor equity. In other words, Section 61(a)(2) of the 1940 Act permits BDCs to potentially increase their debt-to-equity ratio from a maximum of 1-to-1 to a maximum of 2-to-1. In addition, since our base management fee is determined and payable based upon our average adjusted gross assets, which includes any borrowings for investment purposes, our base management fee expense may increase if we incur additional leverage. Effective February 5, 2019, base management fees were reduced from 1.50% to 1.00% on gross assets that exceed 200% of our total net assets as of the immediately preceding quarter-end.</w:t>
      </w:r>
    </w:p>
    <w:p>
      <w:pPr>
        <w:spacing w:after="0" w:line="104"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ability to be subject to tax as a RIC, we may need to raise additional capital to finance our growth. If funds are not available to us, we may need to curtail new investments, and our common stock value could decline.</w:t>
      </w:r>
    </w:p>
    <w:p>
      <w:pPr>
        <w:spacing w:after="0" w:line="106"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In connection with satisfying the requirements to be subject to tax as a RIC, we intend to distribute to our stockholders substantially all of our investment company taxable income and net capital gains each taxable year. However, we may retain all or a portion of our net capital gains and incur applicable income taxes with respect thereto and elect to treat such retained net capital gains as deemed dividend distributions to our stockholders.</w:t>
      </w:r>
    </w:p>
    <w:p>
      <w:pPr>
        <w:spacing w:after="0" w:line="115" w:lineRule="exact"/>
        <w:rPr>
          <w:sz w:val="20"/>
          <w:szCs w:val="20"/>
          <w:color w:val="auto"/>
        </w:rPr>
      </w:pPr>
    </w:p>
    <w:p>
      <w:pPr>
        <w:ind w:right="140" w:firstLine="438"/>
        <w:spacing w:after="0" w:line="248" w:lineRule="auto"/>
        <w:rPr>
          <w:sz w:val="20"/>
          <w:szCs w:val="20"/>
          <w:color w:val="auto"/>
        </w:rPr>
      </w:pPr>
      <w:r>
        <w:rPr>
          <w:rFonts w:ascii="Arial" w:cs="Arial" w:eastAsia="Arial" w:hAnsi="Arial"/>
          <w:sz w:val="13"/>
          <w:szCs w:val="13"/>
          <w:color w:val="auto"/>
        </w:rPr>
        <w:t>As noted above, on November 13, 2018 and February 5, 2019, our board of directors, including a “required majority” (as such term is defined in Section 57(o) of the 1940 Act), and our stockholders, respectively, approved a reduction of our asset coverage ratio from 200% to 150%. As a result, as of February 6, 2019, the asset coverage requirement applicable to us for senior securities was reduced from 200% (i.e., $1 of debt outstanding for each $1 of equity) to 150% (i.e., $2 of debt outstanding for each $1 of equity). If we incur additional indebtedness under this provision, the risk of investing in us will increase. If the value of our assets declines, we may be unable to satisfy this asset coverage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99" w:lineRule="exact"/>
        <w:rPr>
          <w:sz w:val="20"/>
          <w:szCs w:val="20"/>
          <w:color w:val="auto"/>
        </w:rPr>
      </w:pPr>
    </w:p>
    <w:p>
      <w:pPr>
        <w:ind w:right="220" w:firstLine="438"/>
        <w:spacing w:after="0" w:line="233" w:lineRule="auto"/>
        <w:rPr>
          <w:sz w:val="20"/>
          <w:szCs w:val="20"/>
          <w:color w:val="auto"/>
        </w:rPr>
      </w:pPr>
      <w:r>
        <w:rPr>
          <w:rFonts w:ascii="Arial" w:cs="Arial" w:eastAsia="Arial" w:hAnsi="Arial"/>
          <w:sz w:val="14"/>
          <w:szCs w:val="14"/>
          <w:color w:val="auto"/>
        </w:rPr>
        <w:t>We depend in part on SBIC II for cash distributions to enable us to meet the distribution requirements to be subject to tax as a RIC. In this regard, SBIC II is limited by the SBA regulations governing SBICs from making certain distributions to us that may be necessary to satisfy the requirements to be subject to tax as a RIC. In such a case, we would need to request a waiver of the SBA’s restrictions for SBIC II to make certain distributions to enable us to be subject to tax as a RIC. We cannot assure you that the SBA will grant such waiver, and if SBIC II is unable to obtain a waiver, compliance with the SBA regulations may cause us to incur a corporate-level income tax.</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Regulations governing our operation as a BDC will affect our ability to, and the way in which we, raise additional capital.</w:t>
      </w:r>
    </w:p>
    <w:p>
      <w:pPr>
        <w:spacing w:after="0" w:line="136" w:lineRule="exact"/>
        <w:rPr>
          <w:sz w:val="20"/>
          <w:szCs w:val="20"/>
          <w:color w:val="auto"/>
        </w:rPr>
      </w:pPr>
    </w:p>
    <w:p>
      <w:pPr>
        <w:ind w:firstLine="438"/>
        <w:spacing w:after="0" w:line="227" w:lineRule="auto"/>
        <w:rPr>
          <w:sz w:val="20"/>
          <w:szCs w:val="20"/>
          <w:color w:val="auto"/>
        </w:rPr>
      </w:pPr>
      <w:r>
        <w:rPr>
          <w:rFonts w:ascii="Arial" w:cs="Arial" w:eastAsia="Arial" w:hAnsi="Arial"/>
          <w:sz w:val="14"/>
          <w:szCs w:val="14"/>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or through SBA debentures. However, we may not be able to raise additional capital in the future on favorable terms or at all. We may issue debt securities or preferred securities, which we refer to collectively as “senior securities,” and we may borrow money from banks, through the SBA debenture program or other financial institutions, up to the maximum amount permitted by the 1940 Act. Under the 1940 Act, the asset coverage ratio requirements permit us to issue senior securities or incur indebtedness subject to certain limitations, exclusive of the SBA debentures pursuant to our SEC exemptive relief. Our ability to pay distributions or issue additional senior securities would be restricted if our asset coverage ratio was not met. If the value of our assets declines, we may be unable to satisfy the asset coverage ratio. If that happens, we may be required to liquidate a portion of our investments and repay a portion of our indebtedness at a time when such sales may be disadvantageous, which could materially harm our business, financial condition and results of operations.</w:t>
      </w:r>
    </w:p>
    <w:p>
      <w:pPr>
        <w:spacing w:after="0" w:line="105" w:lineRule="exact"/>
        <w:rPr>
          <w:sz w:val="20"/>
          <w:szCs w:val="20"/>
          <w:color w:val="auto"/>
        </w:rPr>
      </w:pPr>
    </w:p>
    <w:p>
      <w:pPr>
        <w:ind w:left="920" w:right="180" w:hanging="359"/>
        <w:spacing w:after="0" w:line="251" w:lineRule="auto"/>
        <w:tabs>
          <w:tab w:leader="none" w:pos="920" w:val="left"/>
        </w:tabs>
        <w:numPr>
          <w:ilvl w:val="0"/>
          <w:numId w:val="4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Senior Securities. </w:t>
      </w:r>
      <w:r>
        <w:rPr>
          <w:rFonts w:ascii="Arial" w:cs="Arial" w:eastAsia="Arial" w:hAnsi="Arial"/>
          <w:sz w:val="13"/>
          <w:szCs w:val="13"/>
          <w:color w:val="auto"/>
        </w:rPr>
        <w:t>As a result of issuing senior securities, we are exposed to typical risks associated with leverage, including an increased risk of loss. If we issue preferred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109" w:lineRule="exact"/>
        <w:rPr>
          <w:rFonts w:ascii="Arial" w:cs="Arial" w:eastAsia="Arial" w:hAnsi="Arial"/>
          <w:sz w:val="13"/>
          <w:szCs w:val="13"/>
          <w:color w:val="auto"/>
        </w:rPr>
      </w:pPr>
    </w:p>
    <w:p>
      <w:pPr>
        <w:ind w:left="920" w:right="20" w:hanging="359"/>
        <w:spacing w:after="0" w:line="241" w:lineRule="auto"/>
        <w:tabs>
          <w:tab w:leader="none" w:pos="920" w:val="left"/>
        </w:tabs>
        <w:numPr>
          <w:ilvl w:val="0"/>
          <w:numId w:val="4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Additional Common Stock. </w:t>
      </w:r>
      <w:r>
        <w:rPr>
          <w:rFonts w:ascii="Arial" w:cs="Arial" w:eastAsia="Arial" w:hAnsi="Arial"/>
          <w:sz w:val="13"/>
          <w:szCs w:val="13"/>
          <w:color w:val="auto"/>
        </w:rPr>
        <w:t>Our board of directors may decide to issue common stock to finance our operations rather than issuing debt or other senior securities. As a BDC, we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are generally not 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However, when required to be undertaken, the procedures used by the board of directors to determine the NAV per share of our common stock within 48 hours of each offering of our common stock may differ materially from and will necessarily be more abbreviated than the procedures used by the board of directors to determine the NAV per share of our common stock at the end of each quarter because there is a an extensive process each quarter to determine the NAV per share of our common stock which cannot be completed in 48 hours. The quarterly process includes preliminary valuation conclusions, engagement of independent valuation firms and review by those firms of preliminary valuation conclusions. By contrast, the procedures in connection with an offering may yield a NAV that is less precise than the NAV determined at the end of each quarter.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2" w:name="page23"/>
    <w:bookmarkEnd w:id="22"/>
    <w:p>
      <w:pPr>
        <w:ind w:left="920" w:hanging="359"/>
        <w:spacing w:after="0" w:line="242" w:lineRule="auto"/>
        <w:tabs>
          <w:tab w:leader="none" w:pos="920" w:val="left"/>
        </w:tabs>
        <w:numPr>
          <w:ilvl w:val="0"/>
          <w:numId w:val="4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Securitization. </w:t>
      </w:r>
      <w:r>
        <w:rPr>
          <w:rFonts w:ascii="Arial" w:cs="Arial" w:eastAsia="Arial" w:hAnsi="Arial"/>
          <w:sz w:val="13"/>
          <w:szCs w:val="13"/>
          <w:color w:val="auto"/>
        </w:rPr>
        <w:t>In addition to issuing securities to raise capital as described above, we anticipate that in the future, as market conditions and the rules and regulations of the SEC</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permit, we may 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117" w:lineRule="exact"/>
        <w:rPr>
          <w:rFonts w:ascii="Arial" w:cs="Arial" w:eastAsia="Arial" w:hAnsi="Arial"/>
          <w:sz w:val="13"/>
          <w:szCs w:val="13"/>
          <w:color w:val="auto"/>
        </w:rPr>
      </w:pPr>
    </w:p>
    <w:p>
      <w:pPr>
        <w:ind w:left="920" w:right="20" w:hanging="359"/>
        <w:spacing w:after="0" w:line="233" w:lineRule="auto"/>
        <w:tabs>
          <w:tab w:leader="none" w:pos="920" w:val="left"/>
        </w:tabs>
        <w:numPr>
          <w:ilvl w:val="0"/>
          <w:numId w:val="4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SBA Debentures. </w:t>
      </w:r>
      <w:r>
        <w:rPr>
          <w:rFonts w:ascii="Arial" w:cs="Arial" w:eastAsia="Arial" w:hAnsi="Arial"/>
          <w:sz w:val="14"/>
          <w:szCs w:val="14"/>
          <w:color w:val="auto"/>
        </w:rPr>
        <w:t>In addition to issuing securities and using securitizations to raise capital as described above, we have issued and may in the future issue, as permitted under SBA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regulations and through our wholly-owned subsidiary, SBIC II, and any future SBIC subsidiary, SBA debentures to generate cash for funding new investments. To issue SBA debentures, we may request commitments for debt capital from the SBA. SBIC II is, and any future SBIC subsidiary may be, exposed to any losses on its portfolio of loans;, however, such debentures are non-recourse to us.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SBIC II may be unable to make distributions to us that will enable us to meet or maintain RIC tax status.</w:t>
      </w:r>
    </w:p>
    <w:p>
      <w:pPr>
        <w:spacing w:after="0" w:line="123" w:lineRule="exact"/>
        <w:rPr>
          <w:sz w:val="20"/>
          <w:szCs w:val="20"/>
          <w:color w:val="auto"/>
        </w:rPr>
      </w:pPr>
    </w:p>
    <w:p>
      <w:pPr>
        <w:ind w:right="60" w:firstLine="438"/>
        <w:spacing w:after="0" w:line="248" w:lineRule="auto"/>
        <w:rPr>
          <w:sz w:val="20"/>
          <w:szCs w:val="20"/>
          <w:color w:val="auto"/>
        </w:rPr>
      </w:pPr>
      <w:r>
        <w:rPr>
          <w:rFonts w:ascii="Arial" w:cs="Arial" w:eastAsia="Arial" w:hAnsi="Arial"/>
          <w:sz w:val="13"/>
          <w:szCs w:val="13"/>
          <w:color w:val="auto"/>
        </w:rPr>
        <w:t>In order for us to continue to qualify for RIC tax treatment and to minimize corporate-level income taxes, we will be required to distribute substantially all of our consolidated investment company taxable income and capital gains net income, including income from SBIC II, each taxable year as dividends to our stockholders. As noted above, we depend in part on SBIC II for cash distributions to enable us to meet the RIC distribution requirements. SBIC II may be limited by SBA regulations governing SBICs from making certain distributions to us if it does not have sufficient capital in accordance with SBA regulations, that which may be necessary to maintain our status as a RIC tax treatment. We may have to request a waiver of the SBA’s restrictions limitations for SBIC II to make certain distributions to maintain our RIC tax statustreatment. We cannot assure you that the SBA will grant such waiver and, if SBIC II is unable to obtain a waiver, compliance with the SBA regulations may result inwe may not be able to meet the distribution requirements to maintain our RIC tax treatment corporate level income tax on us.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SBIC II is licensed by the SBA and is subject to SBA regulations.</w:t>
      </w:r>
    </w:p>
    <w:p>
      <w:pPr>
        <w:spacing w:after="0" w:line="136" w:lineRule="exact"/>
        <w:rPr>
          <w:sz w:val="20"/>
          <w:szCs w:val="20"/>
          <w:color w:val="auto"/>
        </w:rPr>
      </w:pPr>
    </w:p>
    <w:p>
      <w:pPr>
        <w:ind w:firstLine="456"/>
        <w:spacing w:after="0" w:line="238" w:lineRule="auto"/>
        <w:rPr>
          <w:sz w:val="20"/>
          <w:szCs w:val="20"/>
          <w:color w:val="auto"/>
        </w:rPr>
      </w:pPr>
      <w:r>
        <w:rPr>
          <w:rFonts w:ascii="Arial" w:cs="Arial" w:eastAsia="Arial" w:hAnsi="Arial"/>
          <w:sz w:val="14"/>
          <w:szCs w:val="14"/>
          <w:color w:val="auto"/>
        </w:rPr>
        <w:t>SBIC II, our wholly-owned subsidiary, received a license to operate as a SBIC under the 1958 Act and is subject to regulation and oversight regulated by the SBA. The SBA places certain limitations on the financing terms of investments by SBICs in portfolio companies and regulates the types of financings and prohibits investing in certain industries. Compliance with SBIC requirements may cause SBIC II to make investments at lower rates in order to qualify investments under the SBA regulations.</w:t>
      </w:r>
    </w:p>
    <w:p>
      <w:pPr>
        <w:spacing w:after="0" w:line="102" w:lineRule="exact"/>
        <w:rPr>
          <w:sz w:val="20"/>
          <w:szCs w:val="20"/>
          <w:color w:val="auto"/>
        </w:rPr>
      </w:pPr>
    </w:p>
    <w:p>
      <w:pPr>
        <w:ind w:right="40" w:firstLine="456"/>
        <w:spacing w:after="0" w:line="255" w:lineRule="auto"/>
        <w:rPr>
          <w:sz w:val="20"/>
          <w:szCs w:val="20"/>
          <w:color w:val="auto"/>
        </w:rPr>
      </w:pPr>
      <w:r>
        <w:rPr>
          <w:rFonts w:ascii="Arial" w:cs="Arial" w:eastAsia="Arial" w:hAnsi="Arial"/>
          <w:sz w:val="13"/>
          <w:szCs w:val="13"/>
          <w:color w:val="auto"/>
        </w:rPr>
        <w:t>Further, SBA regulations require that a licensed SBIC be periodically examined and audited by the SBA to determine its compliance with the relevant regulations. If SBIC II fails to comply with applicable regulations, the SBA could, depending on the severity of the violation, limit or prohibit its use of debentures, declare outstanding debentures immediately due and payable, and/or limit it from making new investments. In addition, the SBA could revoke or suspend SBIC II’s license for willful or repeated violation of, or willful or repeated failure to observe, any provision of the 1958 Act or any rule or regulation promulgated thereunder. These actions by the SBA would, in turn, negatively affect us because SBIC II is our wholly-owned subsidiary.</w:t>
      </w:r>
    </w:p>
    <w:p>
      <w:pPr>
        <w:spacing w:after="0" w:line="107"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Current SBA regulations limit the amount that any single SBIC may borrow to a maximum of $175.0 million, which is up to twice its regulatory capital, and a maximum of $350.0 million as part of a group of SBICs under common control.</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currently use borrowed funds to make investments and are exposed to the typical risks associated with leverage.</w:t>
      </w:r>
    </w:p>
    <w:p>
      <w:pPr>
        <w:spacing w:after="0" w:line="123" w:lineRule="exact"/>
        <w:rPr>
          <w:sz w:val="20"/>
          <w:szCs w:val="20"/>
          <w:color w:val="auto"/>
        </w:rPr>
      </w:pPr>
    </w:p>
    <w:p>
      <w:pPr>
        <w:ind w:right="40" w:firstLine="438"/>
        <w:spacing w:after="0" w:line="264" w:lineRule="auto"/>
        <w:rPr>
          <w:sz w:val="20"/>
          <w:szCs w:val="20"/>
          <w:color w:val="auto"/>
        </w:rPr>
      </w:pPr>
      <w:r>
        <w:rPr>
          <w:rFonts w:ascii="Arial" w:cs="Arial" w:eastAsia="Arial" w:hAnsi="Arial"/>
          <w:sz w:val="13"/>
          <w:szCs w:val="13"/>
          <w:color w:val="auto"/>
        </w:rPr>
        <w:t>Because we borrow funds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may be restricted when our asset coverage ratio is not met, exclusive of the SBA debentures pursuant to SEC exemptive relief, and any cash that we use to service our indebtedness is not available for distribution to our common stockholders.</w:t>
      </w:r>
    </w:p>
    <w:p>
      <w:pPr>
        <w:spacing w:after="0" w:line="101"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Our current debt is governed by the terms of our Credit Facility, 2024 Notes, 2026 Notes and SBA debentures and future debt may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 and may also carry leverage related risks. Leverage magnifies the potential risks for loss and the risks of investing in us, both as detailed below.</w:t>
      </w:r>
    </w:p>
    <w:p>
      <w:pPr>
        <w:spacing w:after="0" w:line="117"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Additionally, SBIC II has received borrowed funds and may in the future receive funds from the SBA through its debenture program. In connection with the filing of its initial SBA license application, PennantPark Investment received exemptive relief, in 2011, from the SEC to permit us to exclude the debt of our SBICs from our consolidated asset coverage ratio. Our ratio of total assets on a consolidated basis to outstanding indebtedness may be less than the applicable asset coverage ratio, which while providing increased investment flexibility, would also increase our exposure to risks associated with leverage.</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136" w:lineRule="exact"/>
        <w:rPr>
          <w:sz w:val="20"/>
          <w:szCs w:val="20"/>
          <w:color w:val="auto"/>
        </w:rPr>
      </w:pPr>
    </w:p>
    <w:p>
      <w:pPr>
        <w:ind w:right="20" w:firstLine="438"/>
        <w:spacing w:after="0" w:line="243" w:lineRule="auto"/>
        <w:rPr>
          <w:sz w:val="20"/>
          <w:szCs w:val="20"/>
          <w:color w:val="auto"/>
        </w:rPr>
      </w:pPr>
      <w:r>
        <w:rPr>
          <w:rFonts w:ascii="Arial" w:cs="Arial" w:eastAsia="Arial" w:hAnsi="Arial"/>
          <w:sz w:val="13"/>
          <w:szCs w:val="13"/>
          <w:color w:val="auto"/>
        </w:rPr>
        <w:t>We have indebtedness outstanding pursuant to our Credit Facility, 2024 Notes, 2026 Notes and SBA debentures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our assets, excluding those of SBIC II, in connection with borrowings under our Credit Facility. In the case of a liquidation event, those lenders would receive proceeds before our stockholders. Additionally, the SBA, as a lender and an administrative agent, has a superior claim over the assets of SBIC II in relation to our other creditors. Any future debt issuance will increase our leverage and may be subordinate to our Credit Facility and SBA debentures. In addition, borrowings or debt issuances and SBA debentures, also known as leverage, magnify the potential for loss or gain on amounts invested and, therefore, increase the risks associated with investing in our securities. Leverage is generally considered a speculative investment technique. If the value of our assets decreases, then the use of leverage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3" w:name="page24"/>
    <w:bookmarkEnd w:id="23"/>
    <w:p>
      <w:pPr>
        <w:jc w:val="both"/>
        <w:ind w:right="140" w:firstLine="438"/>
        <w:spacing w:after="0" w:line="233" w:lineRule="auto"/>
        <w:rPr>
          <w:sz w:val="20"/>
          <w:szCs w:val="20"/>
          <w:color w:val="auto"/>
        </w:rPr>
      </w:pPr>
      <w:r>
        <w:rPr>
          <w:rFonts w:ascii="Arial" w:cs="Arial" w:eastAsia="Arial" w:hAnsi="Arial"/>
          <w:sz w:val="14"/>
          <w:szCs w:val="14"/>
          <w:color w:val="auto"/>
        </w:rPr>
        <w:t>As noted above, on November 13, 2018 and February 5, 2019, our board of directors, including a “required majority” (as such term is defined in Section 57(o) of the 1940 Act), and our stockholders, respectively, approved a reduction of our asset coverage ratio. As a result, as of February 6, 2019, the asset coverage requirement applicable to us for senior securities was reduced from 200% to 150%. As of such date, we are able to incur additional indebtedness so long as we comply with the applicable disclosure requirements, which may increase the risk of investing in us.</w:t>
      </w:r>
    </w:p>
    <w:p>
      <w:pPr>
        <w:spacing w:after="0" w:line="104"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As of September 30, 2021 and 2020, our asset coverage ratio, as computed in accordance with the 1940 Act, was 221% and 208%, respectively. Since our leverage, including SBA debentures outstanding, was 92% and 116% of our net assets as of September 30, 2021 and 2020, respectively, we would have to receive an annual return of at least 1.7% and 1.6%, respectively, to cover annual interest payments.</w:t>
      </w:r>
    </w:p>
    <w:p>
      <w:pPr>
        <w:spacing w:after="0" w:line="115" w:lineRule="exact"/>
        <w:rPr>
          <w:sz w:val="20"/>
          <w:szCs w:val="20"/>
          <w:color w:val="auto"/>
        </w:rPr>
      </w:pPr>
    </w:p>
    <w:p>
      <w:pPr>
        <w:ind w:right="120" w:firstLine="438"/>
        <w:spacing w:after="0" w:line="231" w:lineRule="auto"/>
        <w:rPr>
          <w:sz w:val="20"/>
          <w:szCs w:val="20"/>
          <w:color w:val="auto"/>
        </w:rPr>
      </w:pPr>
      <w:r>
        <w:rPr>
          <w:rFonts w:ascii="Arial" w:cs="Arial" w:eastAsia="Arial" w:hAnsi="Arial"/>
          <w:sz w:val="14"/>
          <w:szCs w:val="14"/>
          <w:color w:val="auto"/>
        </w:rPr>
        <w:t>As of September 30, 2021, we had outstanding borrowings of $316.5 million under our Credit Facility, $63.5 million outstanding under the SBA debentures, $86.3 million of 2024 Notes outstanding and $150.0 million of 2026 Notes. Our consolidated debt outstanding was $616.3 million and had a weighted average annual interest rate at the time of 3.5%, exclusive of the fee on undrawn commitment on our Credit Facility and upfront fees on the SBA debentures.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116"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The following table is designed to illustrate the effect on the return to a holder of our common stock of the leverage created by our use of borrowing as of September 30, 2021 of 47% of total assets (including such borrowed funds), at the current interest rate at the time of 3.4%, and assumes hypothetical annual returns on our portfolio of minus 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Assumed return on portfolio (net of expenses) </w:t>
            </w:r>
            <w:r>
              <w:rPr>
                <w:rFonts w:ascii="Arial" w:cs="Arial" w:eastAsia="Arial" w:hAnsi="Arial"/>
                <w:sz w:val="12"/>
                <w:szCs w:val="12"/>
                <w:color w:val="auto"/>
              </w:rPr>
              <w:t>(1)</w:t>
            </w:r>
          </w:p>
        </w:tc>
        <w:tc>
          <w:tcPr>
            <w:tcW w:w="1840" w:type="dxa"/>
            <w:vAlign w:val="bottom"/>
            <w:shd w:val="clear" w:color="auto" w:fill="CCECFF"/>
          </w:tcPr>
          <w:p>
            <w:pPr>
              <w:jc w:val="right"/>
              <w:ind w:right="488"/>
              <w:spacing w:after="0"/>
              <w:rPr>
                <w:sz w:val="20"/>
                <w:szCs w:val="20"/>
                <w:color w:val="auto"/>
              </w:rPr>
            </w:pPr>
            <w:r>
              <w:rPr>
                <w:rFonts w:ascii="Arial" w:cs="Arial" w:eastAsia="Arial" w:hAnsi="Arial"/>
                <w:sz w:val="14"/>
                <w:szCs w:val="14"/>
                <w:color w:val="auto"/>
              </w:rPr>
              <w:t>(10.0)%</w:t>
            </w:r>
          </w:p>
        </w:tc>
        <w:tc>
          <w:tcPr>
            <w:tcW w:w="1620" w:type="dxa"/>
            <w:vAlign w:val="bottom"/>
            <w:shd w:val="clear" w:color="auto" w:fill="CCECFF"/>
          </w:tcPr>
          <w:p>
            <w:pPr>
              <w:jc w:val="right"/>
              <w:ind w:right="528"/>
              <w:spacing w:after="0"/>
              <w:rPr>
                <w:sz w:val="20"/>
                <w:szCs w:val="20"/>
                <w:color w:val="auto"/>
              </w:rPr>
            </w:pPr>
            <w:r>
              <w:rPr>
                <w:rFonts w:ascii="Arial" w:cs="Arial" w:eastAsia="Arial" w:hAnsi="Arial"/>
                <w:sz w:val="14"/>
                <w:szCs w:val="14"/>
                <w:color w:val="auto"/>
              </w:rPr>
              <w:t>(5.0)%</w:t>
            </w:r>
          </w:p>
        </w:tc>
        <w:tc>
          <w:tcPr>
            <w:tcW w:w="1620" w:type="dxa"/>
            <w:vAlign w:val="bottom"/>
            <w:shd w:val="clear" w:color="auto" w:fill="CCECFF"/>
          </w:tcPr>
          <w:p>
            <w:pPr>
              <w:jc w:val="center"/>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CFF"/>
          </w:tcPr>
          <w:p>
            <w:pPr>
              <w:jc w:val="right"/>
              <w:ind w:right="508"/>
              <w:spacing w:after="0"/>
              <w:rPr>
                <w:sz w:val="20"/>
                <w:szCs w:val="20"/>
                <w:color w:val="auto"/>
              </w:rPr>
            </w:pPr>
            <w:r>
              <w:rPr>
                <w:rFonts w:ascii="Arial" w:cs="Arial" w:eastAsia="Arial" w:hAnsi="Arial"/>
                <w:sz w:val="14"/>
                <w:szCs w:val="14"/>
                <w:color w:val="auto"/>
              </w:rPr>
              <w:t>5.0%</w:t>
            </w: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w:t>
            </w:r>
          </w:p>
        </w:tc>
      </w:tr>
      <w:tr>
        <w:trPr>
          <w:trHeight w:val="182"/>
        </w:trPr>
        <w:tc>
          <w:tcPr>
            <w:tcW w:w="3680" w:type="dxa"/>
            <w:vAlign w:val="bottom"/>
          </w:tcPr>
          <w:p>
            <w:pPr>
              <w:spacing w:after="0"/>
              <w:rPr>
                <w:sz w:val="20"/>
                <w:szCs w:val="20"/>
                <w:color w:val="auto"/>
              </w:rPr>
            </w:pPr>
            <w:r>
              <w:rPr>
                <w:rFonts w:ascii="Arial" w:cs="Arial" w:eastAsia="Arial" w:hAnsi="Arial"/>
                <w:sz w:val="14"/>
                <w:szCs w:val="14"/>
                <w:color w:val="auto"/>
              </w:rPr>
              <w:t xml:space="preserve">Corresponding return to common stockholders </w:t>
            </w:r>
            <w:r>
              <w:rPr>
                <w:rFonts w:ascii="Arial" w:cs="Arial" w:eastAsia="Arial" w:hAnsi="Arial"/>
                <w:sz w:val="12"/>
                <w:szCs w:val="12"/>
                <w:color w:val="auto"/>
              </w:rPr>
              <w:t>(2)</w:t>
            </w:r>
          </w:p>
        </w:tc>
        <w:tc>
          <w:tcPr>
            <w:tcW w:w="1840" w:type="dxa"/>
            <w:vAlign w:val="bottom"/>
          </w:tcPr>
          <w:p>
            <w:pPr>
              <w:jc w:val="right"/>
              <w:ind w:right="488"/>
              <w:spacing w:after="0"/>
              <w:rPr>
                <w:sz w:val="20"/>
                <w:szCs w:val="20"/>
                <w:color w:val="auto"/>
              </w:rPr>
            </w:pPr>
            <w:r>
              <w:rPr>
                <w:rFonts w:ascii="Arial" w:cs="Arial" w:eastAsia="Arial" w:hAnsi="Arial"/>
                <w:sz w:val="14"/>
                <w:szCs w:val="14"/>
                <w:color w:val="auto"/>
              </w:rPr>
              <w:t>(22.8)%</w:t>
            </w:r>
          </w:p>
        </w:tc>
        <w:tc>
          <w:tcPr>
            <w:tcW w:w="1620" w:type="dxa"/>
            <w:vAlign w:val="bottom"/>
          </w:tcPr>
          <w:p>
            <w:pPr>
              <w:jc w:val="right"/>
              <w:ind w:right="528"/>
              <w:spacing w:after="0"/>
              <w:rPr>
                <w:sz w:val="20"/>
                <w:szCs w:val="20"/>
                <w:color w:val="auto"/>
              </w:rPr>
            </w:pPr>
            <w:r>
              <w:rPr>
                <w:rFonts w:ascii="Arial" w:cs="Arial" w:eastAsia="Arial" w:hAnsi="Arial"/>
                <w:sz w:val="14"/>
                <w:szCs w:val="14"/>
                <w:color w:val="auto"/>
              </w:rPr>
              <w:t>(13.0)%</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(3.2)%</w:t>
            </w:r>
          </w:p>
        </w:tc>
        <w:tc>
          <w:tcPr>
            <w:tcW w:w="1500" w:type="dxa"/>
            <w:vAlign w:val="bottom"/>
          </w:tcPr>
          <w:p>
            <w:pPr>
              <w:jc w:val="right"/>
              <w:ind w:right="508"/>
              <w:spacing w:after="0"/>
              <w:rPr>
                <w:sz w:val="20"/>
                <w:szCs w:val="20"/>
                <w:color w:val="auto"/>
              </w:rPr>
            </w:pPr>
            <w:r>
              <w:rPr>
                <w:rFonts w:ascii="Arial" w:cs="Arial" w:eastAsia="Arial" w:hAnsi="Arial"/>
                <w:sz w:val="14"/>
                <w:szCs w:val="14"/>
                <w:color w:val="auto"/>
              </w:rPr>
              <w:t>6.6%</w:t>
            </w:r>
          </w:p>
        </w:tc>
        <w:tc>
          <w:tcPr>
            <w:tcW w:w="980" w:type="dxa"/>
            <w:vAlign w:val="bottom"/>
          </w:tcPr>
          <w:p>
            <w:pPr>
              <w:jc w:val="right"/>
              <w:spacing w:after="0"/>
              <w:rPr>
                <w:sz w:val="20"/>
                <w:szCs w:val="20"/>
                <w:color w:val="auto"/>
              </w:rPr>
            </w:pPr>
            <w:r>
              <w:rPr>
                <w:rFonts w:ascii="Arial" w:cs="Arial" w:eastAsia="Arial" w:hAnsi="Arial"/>
                <w:sz w:val="14"/>
                <w:szCs w:val="14"/>
                <w:color w:val="auto"/>
              </w:rPr>
              <w:t>16.4%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3455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ind w:left="380" w:hanging="372"/>
        <w:spacing w:after="0" w:line="236" w:lineRule="auto"/>
        <w:tabs>
          <w:tab w:leader="none" w:pos="380" w:val="left"/>
        </w:tabs>
        <w:numPr>
          <w:ilvl w:val="0"/>
          <w:numId w:val="42"/>
        </w:numPr>
        <w:rPr>
          <w:rFonts w:ascii="Arial" w:cs="Arial" w:eastAsia="Arial" w:hAnsi="Arial"/>
          <w:sz w:val="20"/>
          <w:szCs w:val="20"/>
          <w:b w:val="1"/>
          <w:bCs w:val="1"/>
          <w:color w:val="auto"/>
          <w:vertAlign w:val="superscript"/>
        </w:rPr>
      </w:pPr>
      <w:r>
        <w:rPr>
          <w:rFonts w:ascii="Arial" w:cs="Arial" w:eastAsia="Arial" w:hAnsi="Arial"/>
          <w:sz w:val="12"/>
          <w:szCs w:val="12"/>
          <w:color w:val="auto"/>
        </w:rPr>
        <w:t>The assumed portfolio return is required by regulation of the SEC and is not a prediction of, and does not represent, our projected or actual performance.</w:t>
      </w:r>
    </w:p>
    <w:p>
      <w:pPr>
        <w:ind w:left="380" w:right="220" w:hanging="372"/>
        <w:spacing w:after="0" w:line="193" w:lineRule="auto"/>
        <w:tabs>
          <w:tab w:leader="none" w:pos="380" w:val="left"/>
        </w:tabs>
        <w:numPr>
          <w:ilvl w:val="0"/>
          <w:numId w:val="42"/>
        </w:numPr>
        <w:rPr>
          <w:rFonts w:ascii="Arial" w:cs="Arial" w:eastAsia="Arial" w:hAnsi="Arial"/>
          <w:sz w:val="20"/>
          <w:szCs w:val="20"/>
          <w:b w:val="1"/>
          <w:bCs w:val="1"/>
          <w:color w:val="auto"/>
          <w:vertAlign w:val="superscript"/>
        </w:rPr>
      </w:pPr>
      <w:r>
        <w:rPr>
          <w:rFonts w:ascii="Arial" w:cs="Arial" w:eastAsia="Arial" w:hAnsi="Arial"/>
          <w:sz w:val="12"/>
          <w:szCs w:val="12"/>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24" w:lineRule="exact"/>
        <w:rPr>
          <w:sz w:val="20"/>
          <w:szCs w:val="20"/>
          <w:color w:val="auto"/>
        </w:rPr>
      </w:pPr>
    </w:p>
    <w:p>
      <w:pPr>
        <w:ind w:right="520"/>
        <w:spacing w:after="0" w:line="253" w:lineRule="auto"/>
        <w:rPr>
          <w:sz w:val="20"/>
          <w:szCs w:val="20"/>
          <w:color w:val="auto"/>
        </w:rPr>
      </w:pPr>
      <w:r>
        <w:rPr>
          <w:rFonts w:ascii="Arial" w:cs="Arial" w:eastAsia="Arial" w:hAnsi="Arial"/>
          <w:sz w:val="14"/>
          <w:szCs w:val="14"/>
          <w:b w:val="1"/>
          <w:bCs w:val="1"/>
          <w:i w:val="1"/>
          <w:iCs w:val="1"/>
          <w:color w:val="auto"/>
        </w:rPr>
        <w:t>We may in the future determine to fund a portion of our investments with preferred stock, which is another form of leverage and would magnify the potential for loss and the risks of investing in us.</w:t>
      </w:r>
    </w:p>
    <w:p>
      <w:pPr>
        <w:spacing w:after="0" w:line="93" w:lineRule="exact"/>
        <w:rPr>
          <w:sz w:val="20"/>
          <w:szCs w:val="20"/>
          <w:color w:val="auto"/>
        </w:rPr>
      </w:pPr>
    </w:p>
    <w:p>
      <w:pPr>
        <w:ind w:right="20" w:firstLine="438"/>
        <w:spacing w:after="0" w:line="248" w:lineRule="auto"/>
        <w:rPr>
          <w:sz w:val="20"/>
          <w:szCs w:val="20"/>
          <w:color w:val="auto"/>
        </w:rPr>
      </w:pPr>
      <w:r>
        <w:rPr>
          <w:rFonts w:ascii="Arial" w:cs="Arial" w:eastAsia="Arial" w:hAnsi="Arial"/>
          <w:sz w:val="13"/>
          <w:szCs w:val="13"/>
          <w:color w:val="auto"/>
        </w:rPr>
        <w:t>Preferred stock, which is another form of leverage, has the same risks to our common stockholders as borrowings because the distributions on any preferred stock we issue must be cumulative. If we issue preferred securities they would rank “senior” to common stock in our capital structure. Payment of distributions on, and repayment of the liquidation preference of, such preferred stock would typically take preference over any distributions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the best interest of stockholders.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 the future determine to fund a portion of our investments with debt securities, which would magnify the potential for loss and the risks of investing in us.</w:t>
      </w:r>
    </w:p>
    <w:p>
      <w:pPr>
        <w:spacing w:after="0" w:line="136" w:lineRule="exact"/>
        <w:rPr>
          <w:sz w:val="20"/>
          <w:szCs w:val="20"/>
          <w:color w:val="auto"/>
        </w:rPr>
      </w:pPr>
    </w:p>
    <w:p>
      <w:pPr>
        <w:ind w:right="20" w:firstLine="438"/>
        <w:spacing w:after="0" w:line="229" w:lineRule="auto"/>
        <w:rPr>
          <w:sz w:val="20"/>
          <w:szCs w:val="20"/>
          <w:color w:val="auto"/>
        </w:rPr>
      </w:pPr>
      <w:r>
        <w:rPr>
          <w:rFonts w:ascii="Arial" w:cs="Arial" w:eastAsia="Arial" w:hAnsi="Arial"/>
          <w:sz w:val="14"/>
          <w:szCs w:val="14"/>
          <w:color w:val="auto"/>
        </w:rPr>
        <w:t>As a result of the issuance of our SBA debentures and borrowings under our Credit Facility, we are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additional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cash that we use to service our indebtedness would not be available for the payment of distributions to our common stockholders.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credit ratings may not reflect all risks of an investment in our debt securities.</w:t>
      </w:r>
    </w:p>
    <w:p>
      <w:pPr>
        <w:spacing w:after="0" w:line="136" w:lineRule="exact"/>
        <w:rPr>
          <w:sz w:val="20"/>
          <w:szCs w:val="20"/>
          <w:color w:val="auto"/>
        </w:rPr>
      </w:pPr>
    </w:p>
    <w:p>
      <w:pPr>
        <w:ind w:right="140" w:firstLine="438"/>
        <w:spacing w:after="0" w:line="283" w:lineRule="auto"/>
        <w:rPr>
          <w:sz w:val="20"/>
          <w:szCs w:val="20"/>
          <w:color w:val="auto"/>
        </w:rPr>
      </w:pPr>
      <w:r>
        <w:rPr>
          <w:rFonts w:ascii="Arial" w:cs="Arial" w:eastAsia="Arial" w:hAnsi="Arial"/>
          <w:sz w:val="12"/>
          <w:szCs w:val="12"/>
          <w:color w:val="auto"/>
        </w:rPr>
        <w:t>Our credit ratings, if any, are an assessment of our ability to pay our obligations. Consequently, real or anticipated changes in our credit ratings will generally affect the market value of any publicly issued debt securities. Our credit ratings may not reflect the potential impact of risks related to market conditions or other factors discussed above on the market value of, or trading market for, any publicly issued debt securities. Rating agencies have reviewed, and may continue to review, our credit ratings and those of other business development companies in light of the SBCAA as well as any corresponding changes to asset coverage ratios and, in certain cases, downgrade such ratings. Such a downgrade in our credit ratings may adversely affect our securities.</w:t>
      </w:r>
    </w:p>
    <w:p>
      <w:pPr>
        <w:spacing w:after="0" w:line="92" w:lineRule="exact"/>
        <w:rPr>
          <w:sz w:val="20"/>
          <w:szCs w:val="20"/>
          <w:color w:val="auto"/>
        </w:rPr>
      </w:pPr>
    </w:p>
    <w:p>
      <w:pPr>
        <w:ind w:right="320"/>
        <w:spacing w:after="0" w:line="253" w:lineRule="auto"/>
        <w:rPr>
          <w:sz w:val="20"/>
          <w:szCs w:val="20"/>
          <w:color w:val="auto"/>
        </w:rPr>
      </w:pPr>
      <w:r>
        <w:rPr>
          <w:rFonts w:ascii="Arial" w:cs="Arial" w:eastAsia="Arial" w:hAnsi="Arial"/>
          <w:sz w:val="14"/>
          <w:szCs w:val="14"/>
          <w:b w:val="1"/>
          <w:bCs w:val="1"/>
          <w:i w:val="1"/>
          <w:iCs w:val="1"/>
          <w:color w:val="auto"/>
        </w:rPr>
        <w:t>A downgrade, suspension or withdrawal of the credit rating assigned by a rating agency to us or our 2024 Notes or our 2026 Notes, if any, or change in the debt markets could cause the liquidity or market value of our 2024 Notes or our 2026 Notes to decline significantly.</w:t>
      </w:r>
    </w:p>
    <w:p>
      <w:pPr>
        <w:spacing w:after="0" w:line="93" w:lineRule="exact"/>
        <w:rPr>
          <w:sz w:val="20"/>
          <w:szCs w:val="20"/>
          <w:color w:val="auto"/>
        </w:rPr>
      </w:pPr>
    </w:p>
    <w:p>
      <w:pPr>
        <w:ind w:right="20" w:firstLine="438"/>
        <w:spacing w:after="0" w:line="228" w:lineRule="auto"/>
        <w:rPr>
          <w:sz w:val="20"/>
          <w:szCs w:val="20"/>
          <w:color w:val="auto"/>
        </w:rPr>
      </w:pPr>
      <w:r>
        <w:rPr>
          <w:rFonts w:ascii="Arial" w:cs="Arial" w:eastAsia="Arial" w:hAnsi="Arial"/>
          <w:sz w:val="14"/>
          <w:szCs w:val="14"/>
          <w:color w:val="auto"/>
        </w:rPr>
        <w:t>Our credit ratings are an assessment by rating agencies of our ability to pay our debts when due. Consequently, real or anticipated changes in our credit ratings will generally affect the market value of our 2024 Notes or our 2026 Notes. Our credit ratings may not reflect the potential impact of risks relating to the structure or marketing of our 2024 Notes or our 2026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our 2024 Notes or our 2026 Notes of any changes in our credit ratings. There can be no assurance that our credit ratings will remain for any given period of time or that such credit ratings will not be lowered or withdrawn entirely by any of the rating agencies if in their respective judgments future circumstances relating to the basis of the credit rating, such as adverse changes in our Company, so warrant. The conditions of the financial markets and prevailing interest rates have fluctuated in the past and are likely to fluctuate in the future.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4" w:name="page25"/>
    <w:bookmarkEnd w:id="24"/>
    <w:p>
      <w:pPr>
        <w:spacing w:after="0"/>
        <w:rPr>
          <w:sz w:val="20"/>
          <w:szCs w:val="20"/>
          <w:color w:val="auto"/>
        </w:rPr>
      </w:pPr>
      <w:r>
        <w:rPr>
          <w:rFonts w:ascii="Arial" w:cs="Arial" w:eastAsia="Arial" w:hAnsi="Arial"/>
          <w:sz w:val="13"/>
          <w:szCs w:val="13"/>
          <w:b w:val="1"/>
          <w:bCs w:val="1"/>
          <w:i w:val="1"/>
          <w:iCs w:val="1"/>
          <w:color w:val="auto"/>
        </w:rPr>
        <w:t>Market conditions may make it difficult to extend the maturity of or refinance our existing indebtedness and any failure to do so could have a material adverse effect on our business.</w:t>
      </w:r>
    </w:p>
    <w:p>
      <w:pPr>
        <w:spacing w:after="0" w:line="134" w:lineRule="exact"/>
        <w:rPr>
          <w:sz w:val="20"/>
          <w:szCs w:val="20"/>
          <w:color w:val="auto"/>
        </w:rPr>
      </w:pPr>
    </w:p>
    <w:p>
      <w:pPr>
        <w:ind w:firstLine="438"/>
        <w:spacing w:after="0" w:line="226" w:lineRule="auto"/>
        <w:rPr>
          <w:sz w:val="20"/>
          <w:szCs w:val="20"/>
          <w:color w:val="auto"/>
        </w:rPr>
      </w:pPr>
      <w:r>
        <w:rPr>
          <w:rFonts w:ascii="Arial" w:cs="Arial" w:eastAsia="Arial" w:hAnsi="Arial"/>
          <w:sz w:val="14"/>
          <w:szCs w:val="14"/>
          <w:color w:val="auto"/>
        </w:rPr>
        <w:t>Our Credit Facility matures in September 2024, our 2024 Notes mature in October 2024 and our 2026 Notes mature in November 2026. Additionally, our SBA debentures mature between March 2026 and March 2028. We utilize proceeds from the Credit Facility, our 2024 Notes, our 2026 Notes and our SBA debentures to make investments in our portfolio companies. The duration of many of our investments exceeds the duration of our indebtedness under our Credit Facility, our 2024 Notes, our 2026 Notes and certain of our SBA debentures. This means that we will have to extend the maturity of our Credit Facility or refinance our indebtedness in order to avoid selling investments at maturity of any of our debt investments, at which time such sales may be at prices that are disadvantageous to us, which could materially damage our business. In addition, future market conditions may affect our ability to renew or refinance our Credit Facility, our 2024 Notes, our 2026 Notes and our SBA debentures on terms as favorable as those in our existing indebtedness. If we fail to extend or refinance the indebtedness by the time it becomes due and payable, holders of the debt and/or the administrative agent may elect to exercise various remedies, including the sale of all or a portion of the collateral securing such indebtedness,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are significant potential conflicts of interest which could impact our investment returns.</w:t>
      </w:r>
    </w:p>
    <w:p>
      <w:pPr>
        <w:spacing w:after="0" w:line="136" w:lineRule="exact"/>
        <w:rPr>
          <w:sz w:val="20"/>
          <w:szCs w:val="20"/>
          <w:color w:val="auto"/>
        </w:rPr>
      </w:pPr>
    </w:p>
    <w:p>
      <w:pPr>
        <w:ind w:right="80" w:firstLine="438"/>
        <w:spacing w:after="0" w:line="243" w:lineRule="auto"/>
        <w:rPr>
          <w:sz w:val="20"/>
          <w:szCs w:val="20"/>
          <w:color w:val="auto"/>
        </w:rPr>
      </w:pPr>
      <w:r>
        <w:rPr>
          <w:rFonts w:ascii="Arial" w:cs="Arial" w:eastAsia="Arial" w:hAnsi="Arial"/>
          <w:sz w:val="13"/>
          <w:szCs w:val="13"/>
          <w:color w:val="auto"/>
        </w:rPr>
        <w:t>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controlled affiliates and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our exemptive relief and our allocation procedures.</w:t>
      </w:r>
    </w:p>
    <w:p>
      <w:pPr>
        <w:spacing w:after="0" w:line="104"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In the ordinary course of our investing activities, we pay investment advisory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 For example, the Investment Adviser may seek to invest in more speculative investments in order to increase its incentive fee, which practice could result in higher investment losses, particularly during economic downturns.</w:t>
      </w:r>
    </w:p>
    <w:p>
      <w:pPr>
        <w:spacing w:after="0" w:line="116"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We have entered into the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116" w:lineRule="exact"/>
        <w:rPr>
          <w:sz w:val="20"/>
          <w:szCs w:val="20"/>
          <w:color w:val="auto"/>
        </w:rPr>
      </w:pPr>
    </w:p>
    <w:p>
      <w:pPr>
        <w:jc w:val="both"/>
        <w:ind w:right="500" w:firstLine="438"/>
        <w:spacing w:after="0" w:line="238" w:lineRule="auto"/>
        <w:rPr>
          <w:sz w:val="20"/>
          <w:szCs w:val="20"/>
          <w:color w:val="auto"/>
        </w:rPr>
      </w:pPr>
      <w:r>
        <w:rPr>
          <w:rFonts w:ascii="Arial" w:cs="Arial" w:eastAsia="Arial" w:hAnsi="Arial"/>
          <w:sz w:val="14"/>
          <w:szCs w:val="14"/>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risks associated with cybersecurity and cyber incidents.</w:t>
      </w:r>
    </w:p>
    <w:p>
      <w:pPr>
        <w:spacing w:after="0" w:line="136" w:lineRule="exact"/>
        <w:rPr>
          <w:sz w:val="20"/>
          <w:szCs w:val="20"/>
          <w:color w:val="auto"/>
        </w:rPr>
      </w:pPr>
    </w:p>
    <w:p>
      <w:pPr>
        <w:ind w:right="20" w:firstLine="438"/>
        <w:spacing w:after="0" w:line="243" w:lineRule="auto"/>
        <w:rPr>
          <w:sz w:val="20"/>
          <w:szCs w:val="20"/>
          <w:color w:val="auto"/>
        </w:rPr>
      </w:pPr>
      <w:r>
        <w:rPr>
          <w:rFonts w:ascii="Arial" w:cs="Arial" w:eastAsia="Arial" w:hAnsi="Arial"/>
          <w:sz w:val="13"/>
          <w:szCs w:val="13"/>
          <w:color w:val="auto"/>
        </w:rPr>
        <w:t>Our business relies on secure information technology systems. These systems are subject to potential attacks, including through adverse events that threaten the confidentiality, integrity or availability of our information resources (i.e., cyber incidents). These attacks could involve gaining unauthorized access to our information systems for purposes of misappropriating assets, stealing confidential information, corrupting data or causing operational disruption and result in disrupted operations, misstated or unreliable financial data, liability for stolen assets or information, increased cybersecurity protection and insurance costs, litigation and damage to our business relationships, any of which could have a material adverse effect on our business, financial condition and results of operations. As our reliance on technology has increased, so have the risks posed to our information systems, both internal and those provided by the Investment Adviser and third-party service providers. We, along with our Investment Adviser, have implemented processes, procedures and internal controls to help mitigate cybersecurity risks and cyber intrusions, but these measures, as well as our increased awareness of the nature and extent of the risk of a cyber incident, may be ineffective and do not guarantee that a cyber incident will not occur or that our financial results, operations or confidential information will not be negatively impacted by such an incident. In addition, the costs related to cyber or other security threats or disruptions may not be fully insured or indemnified by other means. Furthermore, cybersecurity has become a top priority for regulators around the world, and some jurisdictions have enacted laws requiring companies to notify individuals of data security breaches involving certain types of personal data. If we fail to comply with the relevant laws and regulations, we could suffer financial losses, a disruption of our businesses, liability to investors, regulatory intervention or reputational damage.</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experience fluctuations in our quarterly results.</w:t>
      </w:r>
    </w:p>
    <w:p>
      <w:pPr>
        <w:spacing w:after="0" w:line="123" w:lineRule="exact"/>
        <w:rPr>
          <w:sz w:val="20"/>
          <w:szCs w:val="20"/>
          <w:color w:val="auto"/>
        </w:rPr>
      </w:pPr>
    </w:p>
    <w:p>
      <w:pPr>
        <w:ind w:right="60" w:firstLine="438"/>
        <w:spacing w:after="0" w:line="229" w:lineRule="auto"/>
        <w:rPr>
          <w:sz w:val="20"/>
          <w:szCs w:val="20"/>
          <w:color w:val="auto"/>
        </w:rPr>
      </w:pPr>
      <w:r>
        <w:rPr>
          <w:rFonts w:ascii="Arial" w:cs="Arial" w:eastAsia="Arial" w:hAnsi="Arial"/>
          <w:sz w:val="14"/>
          <w:szCs w:val="14"/>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is expected to have a corresponding increase to our NAV. Similarly, future increases in the fair value of our debt may have a corresponding decrease to our NAV. Any future indebtedness that we elect the fair value option for may have similar effects on our NAV as our Credit Facility. This is expected to mitigate volatility in our earnings and NAV. As a result, results for any period should not be relied upon as being indicative of future performance.</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Holders of any preferred stock that we may issue will have the right to elect members of the board of directors and have class voting rights on certain matters.</w:t>
      </w:r>
    </w:p>
    <w:p>
      <w:pPr>
        <w:spacing w:after="0" w:line="136" w:lineRule="exact"/>
        <w:rPr>
          <w:sz w:val="20"/>
          <w:szCs w:val="20"/>
          <w:color w:val="auto"/>
        </w:rPr>
      </w:pPr>
    </w:p>
    <w:p>
      <w:pPr>
        <w:ind w:right="20" w:firstLine="438"/>
        <w:spacing w:after="0" w:line="229" w:lineRule="auto"/>
        <w:rPr>
          <w:sz w:val="20"/>
          <w:szCs w:val="20"/>
          <w:color w:val="auto"/>
        </w:rPr>
      </w:pPr>
      <w:r>
        <w:rPr>
          <w:rFonts w:ascii="Arial" w:cs="Arial" w:eastAsia="Arial" w:hAnsi="Arial"/>
          <w:sz w:val="14"/>
          <w:szCs w:val="14"/>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conversion to open-end status and, accordingly, preferred stockholders could veto any such changes in addition to any ability of common and preferred stockholders, voting together as a single class, to veto such matters. Restrictions imposed on the declarations and payment of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i w:val="1"/>
          <w:iCs w:val="1"/>
          <w:color w:val="auto"/>
        </w:rPr>
        <w:t>If we issue preferred stock, debt securities or convertible debt securities, the NAV and market value of our common stock may become more volatile.</w:t>
      </w:r>
    </w:p>
    <w:p>
      <w:pPr>
        <w:spacing w:after="0" w:line="123" w:lineRule="exact"/>
        <w:rPr>
          <w:sz w:val="20"/>
          <w:szCs w:val="20"/>
          <w:color w:val="auto"/>
        </w:rPr>
      </w:pPr>
    </w:p>
    <w:p>
      <w:pPr>
        <w:ind w:right="80" w:firstLine="438"/>
        <w:spacing w:after="0" w:line="247" w:lineRule="auto"/>
        <w:rPr>
          <w:sz w:val="20"/>
          <w:szCs w:val="20"/>
          <w:color w:val="auto"/>
        </w:rPr>
      </w:pPr>
      <w:r>
        <w:rPr>
          <w:rFonts w:ascii="Arial" w:cs="Arial" w:eastAsia="Arial" w:hAnsi="Arial"/>
          <w:sz w:val="13"/>
          <w:szCs w:val="13"/>
          <w:color w:val="auto"/>
        </w:rPr>
        <w:t>We cannot assure you that the issuance of preferred stock and/or debt securities would result in a higher yield or return to the holders of our common stock. The issuance of preferred stock, debt securities and/or convertible debt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or entirely eliminated.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111" w:lineRule="exact"/>
        <w:rPr>
          <w:sz w:val="20"/>
          <w:szCs w:val="20"/>
          <w:color w:val="auto"/>
        </w:rPr>
      </w:pPr>
    </w:p>
    <w:p>
      <w:pPr>
        <w:ind w:right="100" w:firstLine="438"/>
        <w:spacing w:after="0" w:line="228" w:lineRule="auto"/>
        <w:rPr>
          <w:sz w:val="20"/>
          <w:szCs w:val="20"/>
          <w:color w:val="auto"/>
        </w:rPr>
      </w:pPr>
      <w:r>
        <w:rPr>
          <w:rFonts w:ascii="Arial" w:cs="Arial" w:eastAsia="Arial" w:hAnsi="Arial"/>
          <w:sz w:val="14"/>
          <w:szCs w:val="14"/>
          <w:color w:val="auto"/>
        </w:rPr>
        <w:t>There is also a risk that, in the event of a sharp decline in the value of our net assets, we would be in danger of failing to maintain required asset coverage ratios or other covenants which may be required by the preferred stock, debt securities and/or convertible debt or risk a downgrade in the ratings of the preferred stock, debt securities and/or convertible debt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or convertible debt.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any combination of these securities may have different interests than holders of common stock and may at times have disproportionate influence over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trading market or market value of any publicly issued debt or convertible debt securities may be volatile.</w:t>
      </w:r>
    </w:p>
    <w:p>
      <w:pPr>
        <w:spacing w:after="0" w:line="123" w:lineRule="exact"/>
        <w:rPr>
          <w:sz w:val="20"/>
          <w:szCs w:val="20"/>
          <w:color w:val="auto"/>
        </w:rPr>
      </w:pPr>
    </w:p>
    <w:p>
      <w:pPr>
        <w:jc w:val="both"/>
        <w:ind w:right="160" w:firstLine="438"/>
        <w:spacing w:after="0" w:line="238" w:lineRule="auto"/>
        <w:rPr>
          <w:sz w:val="20"/>
          <w:szCs w:val="20"/>
          <w:color w:val="auto"/>
        </w:rPr>
      </w:pPr>
      <w:r>
        <w:rPr>
          <w:rFonts w:ascii="Arial" w:cs="Arial" w:eastAsia="Arial" w:hAnsi="Arial"/>
          <w:sz w:val="14"/>
          <w:szCs w:val="14"/>
          <w:color w:val="auto"/>
        </w:rPr>
        <w:t>If we publicly issue debt or convertible debt securities, they initially will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These factors include the following:</w:t>
      </w:r>
    </w:p>
    <w:p>
      <w:pPr>
        <w:spacing w:after="0" w:line="136" w:lineRule="exact"/>
        <w:rPr>
          <w:sz w:val="20"/>
          <w:szCs w:val="20"/>
          <w:color w:val="auto"/>
        </w:rPr>
      </w:pPr>
    </w:p>
    <w:p>
      <w:pPr>
        <w:ind w:left="920" w:hanging="359"/>
        <w:spacing w:after="0"/>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time remaining to the maturity of these debt securities;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outstanding principal amount of debt securities with terms identical or similar to these debt securities;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supply of debt securities trading in the secondary market, if any;</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redemption, repayment or convertible features, if any, of these debt securities;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level, direction and volatility of market interest rates; and</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market rates of interest higher or lower than rates borne by the debt securities.</w:t>
      </w:r>
    </w:p>
    <w:p>
      <w:pPr>
        <w:spacing w:after="0" w:line="204" w:lineRule="exact"/>
        <w:rPr>
          <w:sz w:val="20"/>
          <w:szCs w:val="20"/>
          <w:color w:val="auto"/>
        </w:rPr>
      </w:pPr>
    </w:p>
    <w:p>
      <w:pPr>
        <w:ind w:right="200" w:firstLine="438"/>
        <w:spacing w:after="0" w:line="290" w:lineRule="auto"/>
        <w:rPr>
          <w:sz w:val="20"/>
          <w:szCs w:val="20"/>
          <w:color w:val="auto"/>
        </w:rPr>
      </w:pPr>
      <w:r>
        <w:rPr>
          <w:rFonts w:ascii="Arial" w:cs="Arial" w:eastAsia="Arial" w:hAnsi="Arial"/>
          <w:sz w:val="13"/>
          <w:szCs w:val="13"/>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Terms relating to debt redemption may have a material adverse effect on the return on any debt securities.</w:t>
      </w:r>
    </w:p>
    <w:p>
      <w:pPr>
        <w:spacing w:after="0" w:line="13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issue subscription rights or warrants for our common stock, your interest in us may be diluted as a result of such rights or warrants offering.</w:t>
      </w:r>
    </w:p>
    <w:p>
      <w:pPr>
        <w:spacing w:after="0" w:line="123"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15"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impact of recent financial reform legislation on us is uncertain.</w:t>
      </w:r>
    </w:p>
    <w:p>
      <w:pPr>
        <w:spacing w:after="0" w:line="123" w:lineRule="exact"/>
        <w:rPr>
          <w:sz w:val="20"/>
          <w:szCs w:val="20"/>
          <w:color w:val="auto"/>
        </w:rPr>
      </w:pPr>
    </w:p>
    <w:p>
      <w:pPr>
        <w:ind w:firstLine="438"/>
        <w:spacing w:after="0" w:line="227" w:lineRule="auto"/>
        <w:rPr>
          <w:sz w:val="20"/>
          <w:szCs w:val="20"/>
          <w:color w:val="auto"/>
        </w:rPr>
      </w:pPr>
      <w:r>
        <w:rPr>
          <w:rFonts w:ascii="Arial" w:cs="Arial" w:eastAsia="Arial" w:hAnsi="Arial"/>
          <w:sz w:val="14"/>
          <w:szCs w:val="14"/>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institutes a wide range of reforms that will have an impact on financial institutions. However, the current presidential administration has announced its intention to repeal, amend or replace certain portions of the Dodd-Frank Act and the regulations implemented thereunder, and has implemented certain appeals. Given the uncertainty associated with the manner in which and whether the provisions of the Dodd-Frank Act might be implemented, repealed, amended or replaced, the full impact such requirements will have on our business, results of operations or financial condition is unclear. While we cannot predict what effect any changes in the laws or regulations or their interpretations would have on us as a result of recent financial reform legislation, these changes could be materially adverse to us and our stockholders. Accordingly, we are continuing to evaluate the effect the Dodd-Frank Act or implementing its regulations or any repeal or revision thereto will have on our business, financial condition and results of operations.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i w:val="1"/>
          <w:iCs w:val="1"/>
          <w:color w:val="auto"/>
        </w:rPr>
        <w:t>Changes in laws or regulations governing our operations or those of our portfolio companies may adversely affect our business.</w:t>
      </w:r>
    </w:p>
    <w:p>
      <w:pPr>
        <w:spacing w:after="0" w:line="123" w:lineRule="exact"/>
        <w:rPr>
          <w:sz w:val="20"/>
          <w:szCs w:val="20"/>
          <w:color w:val="auto"/>
        </w:rPr>
      </w:pPr>
    </w:p>
    <w:p>
      <w:pPr>
        <w:jc w:val="both"/>
        <w:ind w:right="180" w:firstLine="438"/>
        <w:spacing w:after="0" w:line="238" w:lineRule="auto"/>
        <w:rPr>
          <w:sz w:val="20"/>
          <w:szCs w:val="20"/>
          <w:color w:val="auto"/>
        </w:rPr>
      </w:pPr>
      <w:r>
        <w:rPr>
          <w:rFonts w:ascii="Arial" w:cs="Arial" w:eastAsia="Arial" w:hAnsi="Arial"/>
          <w:sz w:val="14"/>
          <w:szCs w:val="14"/>
          <w:color w:val="auto"/>
        </w:rPr>
        <w:t>We and our portfolio companies are subject to laws and regulation at the local, state and federal levels. These laws and regulations, as well as their interpretation, may be changed from time to time. Accordingly, any change in these laws or regulations that govern our operations or those of our portfolio companies could have a material adverse effect on our business, financial condition and results of operations. See “Business—Regulation” for more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Uncertainty about presidential administration initiatives could negatively impact our business, financial condition and results of operations.</w:t>
      </w:r>
    </w:p>
    <w:p>
      <w:pPr>
        <w:spacing w:after="0" w:line="136" w:lineRule="exact"/>
        <w:rPr>
          <w:sz w:val="20"/>
          <w:szCs w:val="20"/>
          <w:color w:val="auto"/>
        </w:rPr>
      </w:pPr>
    </w:p>
    <w:p>
      <w:pPr>
        <w:ind w:right="60" w:firstLine="438"/>
        <w:spacing w:after="0" w:line="227" w:lineRule="auto"/>
        <w:rPr>
          <w:sz w:val="20"/>
          <w:szCs w:val="20"/>
          <w:color w:val="auto"/>
        </w:rPr>
      </w:pPr>
      <w:r>
        <w:rPr>
          <w:rFonts w:ascii="Arial" w:cs="Arial" w:eastAsia="Arial" w:hAnsi="Arial"/>
          <w:sz w:val="14"/>
          <w:szCs w:val="14"/>
          <w:color w:val="auto"/>
        </w:rPr>
        <w:t>The current administration has called for significant changes to U.S. trade, healthcare, immigration, foreign and government regulatory policy. In this regard, there is significant uncertainty with respect to legislation, regulation and government policy at the federal level, as well as the state and local levels. Recent events have created a climate of heightened uncertainty and introduced new and difficult-to-quantify macroeconomic and political risks with potentially far-reaching implications. There has been a corresponding meaningful increase in the uncertainty surrounding interest rates, inflation, foreign exchange rates, trade volumes and fiscal and monetary policy. To the extent the U.S. Congress or the current administration implements changes to U.S. policy, those changes may impact, among other things, the U.S. and global economy, international trade and relations, unemployment, immigration, corporate taxes, healthcare, the U.S. regulatory environment, inflation and other areas. Although we cannot predict the impact, if any, of these changes to our business, they could adversely affect our business, financial condition, operating results and cash flows. Until we know what policy changes are made and how those changes impact our business and the business of our competitors over the long term, we will not know if, overall, we will benefit from them or be negatively affected by them.</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board of directors may change our investment objectives, operating policies and strategies without prior notice or stockholder approval.</w:t>
      </w:r>
    </w:p>
    <w:p>
      <w:pPr>
        <w:spacing w:after="0" w:line="136"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common stock. Nevertheless, the effects may adversely affect our business and impact our ability to make distributions.</w:t>
      </w:r>
    </w:p>
    <w:p>
      <w:pPr>
        <w:spacing w:after="0" w:line="117" w:lineRule="exact"/>
        <w:rPr>
          <w:sz w:val="20"/>
          <w:szCs w:val="20"/>
          <w:color w:val="auto"/>
        </w:rPr>
      </w:pPr>
    </w:p>
    <w:p>
      <w:pPr>
        <w:ind w:right="480"/>
        <w:spacing w:after="0" w:line="253" w:lineRule="auto"/>
        <w:rPr>
          <w:sz w:val="20"/>
          <w:szCs w:val="20"/>
          <w:color w:val="auto"/>
        </w:rPr>
      </w:pPr>
      <w:r>
        <w:rPr>
          <w:rFonts w:ascii="Arial" w:cs="Arial" w:eastAsia="Arial" w:hAnsi="Arial"/>
          <w:sz w:val="14"/>
          <w:szCs w:val="14"/>
          <w:b w:val="1"/>
          <w:bCs w:val="1"/>
          <w:i w:val="1"/>
          <w:iCs w:val="1"/>
          <w:color w:val="auto"/>
        </w:rPr>
        <w:t>Our business and operations could be negatively affected if we become subject to stockholder activism, which could cause us to incur significant expense, hinder the execution of our investment strategy or impact our stock price.</w:t>
      </w:r>
    </w:p>
    <w:p>
      <w:pPr>
        <w:spacing w:after="0" w:line="93"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Stockholder activism, which could take many forms, including making public demands that we consider certain strategic alternatives, engaging in public campaigns to attempt to influence our corporate governance and/or our management, and commencing proxy contests to attempt to elect the activists’ representatives or others to our board of directors, or arise in a variety of situations, has been increasing in the BDC space recently. While we are currently not subject to any stockholder activism, due to the potential volatility of our stock price and for a variety of other reasons, we may in the future become the target of stockholder activism. Stockholder activism could result in substantial costs and divert management’s and our board of directors’ attention and resources from our business. Additionally, such stockholder activism could give rise to perceived uncertainties as to our future and adversely affect our relationships with service providers and our portfolio companies. Also, we may be required to incur significant legal and other expenses related to any activist stockholder matters. Further, our stock price could be subject to significant fluctuation or otherwise be adversely affected by the events, risks and uncertainties of any stockholder activism.</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THE ILLIQUID NATURE OF OUR PORTFOLIO ASSETS</w:t>
      </w:r>
    </w:p>
    <w:p>
      <w:pPr>
        <w:spacing w:after="0" w:line="140" w:lineRule="exact"/>
        <w:rPr>
          <w:sz w:val="20"/>
          <w:szCs w:val="20"/>
          <w:color w:val="auto"/>
        </w:rPr>
      </w:pPr>
    </w:p>
    <w:p>
      <w:pPr>
        <w:ind w:right="180"/>
        <w:spacing w:after="0" w:line="253" w:lineRule="auto"/>
        <w:rPr>
          <w:sz w:val="20"/>
          <w:szCs w:val="20"/>
          <w:color w:val="auto"/>
        </w:rPr>
      </w:pPr>
      <w:r>
        <w:rPr>
          <w:rFonts w:ascii="Arial" w:cs="Arial" w:eastAsia="Arial" w:hAnsi="Arial"/>
          <w:sz w:val="14"/>
          <w:szCs w:val="14"/>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93" w:lineRule="exact"/>
        <w:rPr>
          <w:sz w:val="20"/>
          <w:szCs w:val="20"/>
          <w:color w:val="auto"/>
        </w:rPr>
      </w:pPr>
    </w:p>
    <w:p>
      <w:pPr>
        <w:ind w:right="100" w:firstLine="438"/>
        <w:spacing w:after="0" w:line="247" w:lineRule="auto"/>
        <w:rPr>
          <w:sz w:val="20"/>
          <w:szCs w:val="20"/>
          <w:color w:val="auto"/>
        </w:rPr>
      </w:pPr>
      <w:r>
        <w:rPr>
          <w:rFonts w:ascii="Arial" w:cs="Arial" w:eastAsia="Arial" w:hAnsi="Arial"/>
          <w:sz w:val="13"/>
          <w:szCs w:val="13"/>
          <w:color w:val="auto"/>
        </w:rPr>
        <w:t>All of our investments are recorded using broker or dealer quotes, if available, or at fair value as determined in good faith by our board of directors. We expect that most, if not all, of our investments (other than cash and cash equivalents) and the fair value of the Credit Facility will be classified as Level 3 under the Financial Accounting Standards Board, or FASB, Accounting Standards Codification, or ASC, Topic 820, Fair Value Measurements and Disclosures, or ASC 820. This means that the portfolio valuations will be based on unobservable inputs and our own assumptions about how market participants would price the asset or liability. We expect that inputs into the determination of fair values of our portfolio investments and borrowings under our Credit Facility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 As a result, there will be uncertainty as to the value of our portfolio investments.</w:t>
      </w:r>
    </w:p>
    <w:p>
      <w:pPr>
        <w:spacing w:after="0" w:line="111" w:lineRule="exact"/>
        <w:rPr>
          <w:sz w:val="20"/>
          <w:szCs w:val="20"/>
          <w:color w:val="auto"/>
        </w:rPr>
      </w:pPr>
    </w:p>
    <w:p>
      <w:pPr>
        <w:ind w:right="60" w:firstLine="438"/>
        <w:spacing w:after="0" w:line="248" w:lineRule="auto"/>
        <w:rPr>
          <w:sz w:val="20"/>
          <w:szCs w:val="20"/>
          <w:color w:val="auto"/>
        </w:rPr>
      </w:pPr>
      <w:r>
        <w:rPr>
          <w:rFonts w:ascii="Arial" w:cs="Arial" w:eastAsia="Arial" w:hAnsi="Arial"/>
          <w:sz w:val="13"/>
          <w:szCs w:val="13"/>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our investment has appreciated in value. Likewise, we record unrealized depreciation if we believe that our investment has depreciated in value. We adjust 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113" w:lineRule="exact"/>
        <w:rPr>
          <w:sz w:val="20"/>
          <w:szCs w:val="20"/>
          <w:color w:val="auto"/>
        </w:rPr>
      </w:pPr>
    </w:p>
    <w:p>
      <w:pPr>
        <w:ind w:right="60" w:firstLine="438"/>
        <w:spacing w:after="0" w:line="248" w:lineRule="auto"/>
        <w:rPr>
          <w:sz w:val="20"/>
          <w:szCs w:val="20"/>
          <w:color w:val="auto"/>
        </w:rPr>
      </w:pPr>
      <w:r>
        <w:rPr>
          <w:rFonts w:ascii="Arial" w:cs="Arial" w:eastAsia="Arial" w:hAnsi="Arial"/>
          <w:sz w:val="13"/>
          <w:szCs w:val="13"/>
          <w:color w:val="auto"/>
        </w:rPr>
        <w:t>All of our investments are recorded at fair value as determined in good faith by our board of directors. Our board of directors uses the services of nationally recognized independent valuation firms to aid it in determining the fair value of our investments.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lower than the values that we ultimately realize upon the disposal of such investments.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i w:val="1"/>
          <w:iCs w:val="1"/>
          <w:color w:val="auto"/>
        </w:rPr>
        <w:t>The lack of liquidity in our investments may adversely affect our business.</w:t>
      </w:r>
    </w:p>
    <w:p>
      <w:pPr>
        <w:spacing w:after="0" w:line="123" w:lineRule="exact"/>
        <w:rPr>
          <w:sz w:val="20"/>
          <w:szCs w:val="20"/>
          <w:color w:val="auto"/>
        </w:rPr>
      </w:pPr>
    </w:p>
    <w:p>
      <w:pPr>
        <w:jc w:val="both"/>
        <w:ind w:right="60" w:firstLine="438"/>
        <w:spacing w:after="0" w:line="238" w:lineRule="auto"/>
        <w:rPr>
          <w:sz w:val="20"/>
          <w:szCs w:val="20"/>
          <w:color w:val="auto"/>
        </w:rPr>
      </w:pPr>
      <w:r>
        <w:rPr>
          <w:rFonts w:ascii="Arial" w:cs="Arial" w:eastAsia="Arial" w:hAnsi="Arial"/>
          <w:sz w:val="14"/>
          <w:szCs w:val="14"/>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generally not required to do so.</w:t>
      </w:r>
    </w:p>
    <w:p>
      <w:pPr>
        <w:spacing w:after="0" w:line="115"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17" w:lineRule="exact"/>
        <w:rPr>
          <w:sz w:val="20"/>
          <w:szCs w:val="20"/>
          <w:color w:val="auto"/>
        </w:rPr>
      </w:pPr>
    </w:p>
    <w:p>
      <w:pPr>
        <w:ind w:right="180" w:firstLine="438"/>
        <w:spacing w:after="0" w:line="264" w:lineRule="auto"/>
        <w:rPr>
          <w:sz w:val="20"/>
          <w:szCs w:val="20"/>
          <w:color w:val="auto"/>
        </w:rPr>
      </w:pPr>
      <w:r>
        <w:rPr>
          <w:rFonts w:ascii="Arial" w:cs="Arial" w:eastAsia="Arial" w:hAnsi="Arial"/>
          <w:sz w:val="13"/>
          <w:szCs w:val="13"/>
          <w:color w:val="auto"/>
        </w:rPr>
        <w:t>Investments purchased by us that are liquid at the time of purchase may subsequently become illiquid due to events relating to the issuer of the investments,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general disruption in the credit markets could materially damage our business.</w:t>
      </w:r>
    </w:p>
    <w:p>
      <w:pPr>
        <w:spacing w:after="0" w:line="136"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We are susceptible to the risk of significant loss if we are forced to discount the value of our investments in order to provide liquidity to meet our debt maturities. Our borrowings under our Credit Facility are collateralized by the assets in our investment portfolio (excluding assets held by SBIC II). A general disruption in the credit markets could result in diminished demand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7"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If the fair value of our assets declines substantially, we may fail to maintain the asset coverage ratio stipulated by the 1940 Act, which could, in turn, cause us to lose our status as a BDC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U.S. dollar, a sharp economic downturn or an operational problem that affects our counterparties or us, and could materially damage our business.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invest in over-the-counter securities, which have and may continue to face liquidity constraints, to provide us with liquidity.</w:t>
      </w:r>
    </w:p>
    <w:p>
      <w:pPr>
        <w:spacing w:after="0" w:line="136" w:lineRule="exact"/>
        <w:rPr>
          <w:sz w:val="20"/>
          <w:szCs w:val="20"/>
          <w:color w:val="auto"/>
        </w:rPr>
      </w:pPr>
    </w:p>
    <w:p>
      <w:pPr>
        <w:ind w:right="420" w:firstLine="438"/>
        <w:spacing w:after="0" w:line="253" w:lineRule="auto"/>
        <w:rPr>
          <w:sz w:val="20"/>
          <w:szCs w:val="20"/>
          <w:color w:val="auto"/>
        </w:rPr>
      </w:pPr>
      <w:r>
        <w:rPr>
          <w:rFonts w:ascii="Arial" w:cs="Arial" w:eastAsia="Arial" w:hAnsi="Arial"/>
          <w:sz w:val="14"/>
          <w:szCs w:val="14"/>
          <w:color w:val="auto"/>
        </w:rPr>
        <w:t>The market for over-the-counter traded securities has and may continue to experience limited liquidity and other weakness as the viability of any over-the-counter secondary market depends on the continued willingness of dealers and other participants to purchase the securities.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INVESTMENTS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investments in prospective portfolio companies may be risky, and you could lose all or part of your investment.</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We intend to invest primarily in first lien secured debt, second lien secured debt, subordinated debt and selected equity investments issued by U.S. and foreign middle-market companies.</w:t>
      </w:r>
    </w:p>
    <w:p>
      <w:pPr>
        <w:spacing w:after="0" w:line="148" w:lineRule="exact"/>
        <w:rPr>
          <w:sz w:val="20"/>
          <w:szCs w:val="20"/>
          <w:color w:val="auto"/>
        </w:rPr>
      </w:pPr>
    </w:p>
    <w:p>
      <w:pPr>
        <w:ind w:left="920" w:right="20" w:hanging="359"/>
        <w:spacing w:after="0" w:line="227" w:lineRule="auto"/>
        <w:tabs>
          <w:tab w:leader="none" w:pos="920" w:val="left"/>
        </w:tabs>
        <w:numPr>
          <w:ilvl w:val="0"/>
          <w:numId w:val="4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First Lien Secured Debt: </w:t>
      </w:r>
      <w:r>
        <w:rPr>
          <w:rFonts w:ascii="Arial" w:cs="Arial" w:eastAsia="Arial" w:hAnsi="Arial"/>
          <w:sz w:val="14"/>
          <w:szCs w:val="14"/>
          <w:color w:val="auto"/>
        </w:rPr>
        <w:t>When we extend first lien secured debt, we will generally take a security interest in the available assets of these portfolio companies, including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equity interests of their subsidiaries, although this may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first lien secured debt investment is secured does not guarantee that we will receive principal and interest payments according to the loan’s terms, or at all, or that we will be able to collect on the loan should we be forced to enforce our remedies.</w:t>
      </w:r>
    </w:p>
    <w:p>
      <w:pPr>
        <w:spacing w:after="0" w:line="118" w:lineRule="exact"/>
        <w:rPr>
          <w:rFonts w:ascii="Arial" w:cs="Arial" w:eastAsia="Arial" w:hAnsi="Arial"/>
          <w:sz w:val="14"/>
          <w:szCs w:val="14"/>
          <w:color w:val="auto"/>
        </w:rPr>
      </w:pPr>
    </w:p>
    <w:p>
      <w:pPr>
        <w:ind w:left="920" w:right="60" w:hanging="359"/>
        <w:spacing w:after="0" w:line="229" w:lineRule="auto"/>
        <w:tabs>
          <w:tab w:leader="none" w:pos="920" w:val="left"/>
        </w:tabs>
        <w:numPr>
          <w:ilvl w:val="0"/>
          <w:numId w:val="4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Second Lien Secured Debt: </w:t>
      </w:r>
      <w:r>
        <w:rPr>
          <w:rFonts w:ascii="Arial" w:cs="Arial" w:eastAsia="Arial" w:hAnsi="Arial"/>
          <w:sz w:val="14"/>
          <w:szCs w:val="14"/>
          <w:color w:val="auto"/>
        </w:rPr>
        <w:t>Our second lien secured debt usually ranks junior in priority of payment to first lien secured debt. Second lien secured debt holds a second priority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with regard to right of payment in the event of insolvency. Second lien secured debt ranks senior to subordinated debt and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second lien secured debt investments, such investments may be of greater risk than cash paying loans.</w:t>
      </w:r>
    </w:p>
    <w:p>
      <w:pPr>
        <w:spacing w:after="0" w:line="117" w:lineRule="exact"/>
        <w:rPr>
          <w:rFonts w:ascii="Arial" w:cs="Arial" w:eastAsia="Arial" w:hAnsi="Arial"/>
          <w:sz w:val="14"/>
          <w:szCs w:val="14"/>
          <w:color w:val="auto"/>
        </w:rPr>
      </w:pPr>
    </w:p>
    <w:p>
      <w:pPr>
        <w:ind w:left="920" w:hanging="359"/>
        <w:spacing w:after="0" w:line="229" w:lineRule="auto"/>
        <w:tabs>
          <w:tab w:leader="none" w:pos="920" w:val="left"/>
        </w:tabs>
        <w:numPr>
          <w:ilvl w:val="0"/>
          <w:numId w:val="4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Subordinated Debt: </w:t>
      </w:r>
      <w:r>
        <w:rPr>
          <w:rFonts w:ascii="Arial" w:cs="Arial" w:eastAsia="Arial" w:hAnsi="Arial"/>
          <w:sz w:val="14"/>
          <w:szCs w:val="14"/>
          <w:color w:val="auto"/>
        </w:rPr>
        <w:t>Our subordinated debt usually ranks junior in priority of payment to first lien secured debt and second lien secured debt, and are often unsecured. As such,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other creditors may rank senior to us in the event of insolvency. Subordinated debt ranks senior to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subordinated debt investments, such investments may be of greater risk than cash paying loans.</w:t>
      </w:r>
    </w:p>
    <w:p>
      <w:pPr>
        <w:spacing w:after="0" w:line="117" w:lineRule="exact"/>
        <w:rPr>
          <w:rFonts w:ascii="Arial" w:cs="Arial" w:eastAsia="Arial" w:hAnsi="Arial"/>
          <w:sz w:val="14"/>
          <w:szCs w:val="14"/>
          <w:color w:val="auto"/>
        </w:rPr>
      </w:pPr>
    </w:p>
    <w:p>
      <w:pPr>
        <w:ind w:left="920" w:right="60" w:hanging="359"/>
        <w:spacing w:after="0" w:line="247" w:lineRule="auto"/>
        <w:tabs>
          <w:tab w:leader="none" w:pos="920" w:val="left"/>
        </w:tabs>
        <w:numPr>
          <w:ilvl w:val="0"/>
          <w:numId w:val="4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Equity Investments: </w:t>
      </w:r>
      <w:r>
        <w:rPr>
          <w:rFonts w:ascii="Arial" w:cs="Arial" w:eastAsia="Arial" w:hAnsi="Arial"/>
          <w:sz w:val="13"/>
          <w:szCs w:val="13"/>
          <w:color w:val="auto"/>
        </w:rPr>
        <w:t>We have made and expect to continue to make select equity investments, all of which are subordinated to debt investments. In addition, when we invest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first lien secured debt, second lien secured debt or subordinated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 In addition, many of the equity securities in which we invest may not pay dividends on a regular basis, if at all. Furthermore, we may hold equity investments in partnerships through a taxable subsidiary for federal income tax purposes. Upon sale or exit of such investment, we may pay taxes at regular corporate tax rates, which will reduce the amount of gains or dividends available for distributions to our stockholders.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8" w:name="page29"/>
    <w:bookmarkEnd w:id="28"/>
    <w:p>
      <w:pPr>
        <w:ind w:left="440"/>
        <w:spacing w:after="0"/>
        <w:rPr>
          <w:sz w:val="20"/>
          <w:szCs w:val="20"/>
          <w:color w:val="auto"/>
        </w:rPr>
      </w:pPr>
      <w:r>
        <w:rPr>
          <w:rFonts w:ascii="Arial" w:cs="Arial" w:eastAsia="Arial" w:hAnsi="Arial"/>
          <w:sz w:val="14"/>
          <w:szCs w:val="14"/>
          <w:color w:val="auto"/>
        </w:rPr>
        <w:t>In addition, investing in middle-market companies involves a number of significant risks, including:</w:t>
      </w:r>
    </w:p>
    <w:p>
      <w:pPr>
        <w:spacing w:after="0" w:line="123" w:lineRule="exact"/>
        <w:rPr>
          <w:sz w:val="20"/>
          <w:szCs w:val="20"/>
          <w:color w:val="auto"/>
        </w:rPr>
      </w:pPr>
    </w:p>
    <w:p>
      <w:pPr>
        <w:ind w:left="920" w:right="520" w:hanging="359"/>
        <w:spacing w:after="0" w:line="238" w:lineRule="auto"/>
        <w:tabs>
          <w:tab w:leader="none" w:pos="9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companies may be highly leveraged,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115" w:lineRule="exact"/>
        <w:rPr>
          <w:rFonts w:ascii="Arial" w:cs="Arial" w:eastAsia="Arial" w:hAnsi="Arial"/>
          <w:sz w:val="14"/>
          <w:szCs w:val="14"/>
          <w:color w:val="auto"/>
        </w:rPr>
      </w:pPr>
    </w:p>
    <w:p>
      <w:pPr>
        <w:ind w:left="920" w:right="60" w:hanging="359"/>
        <w:spacing w:after="0" w:line="335" w:lineRule="auto"/>
        <w:tabs>
          <w:tab w:leader="none" w:pos="9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they typically have shorter operating histories, more limited publicly available information, narrower product lines, more concentration of revenues from customers and smaller market shares than larger businesses, which tend to render them more vulnerable to competitors’ actions and changing market conditions, as well as general economic downturns;</w:t>
      </w:r>
    </w:p>
    <w:p>
      <w:pPr>
        <w:spacing w:after="0" w:line="60" w:lineRule="exact"/>
        <w:rPr>
          <w:rFonts w:ascii="Arial" w:cs="Arial" w:eastAsia="Arial" w:hAnsi="Arial"/>
          <w:sz w:val="12"/>
          <w:szCs w:val="12"/>
          <w:color w:val="auto"/>
        </w:rPr>
      </w:pPr>
    </w:p>
    <w:p>
      <w:pPr>
        <w:ind w:left="920" w:right="340" w:hanging="359"/>
        <w:spacing w:after="0" w:line="253" w:lineRule="auto"/>
        <w:tabs>
          <w:tab w:leader="none" w:pos="9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106" w:lineRule="exact"/>
        <w:rPr>
          <w:rFonts w:ascii="Arial" w:cs="Arial" w:eastAsia="Arial" w:hAnsi="Arial"/>
          <w:sz w:val="14"/>
          <w:szCs w:val="14"/>
          <w:color w:val="auto"/>
        </w:rPr>
      </w:pPr>
    </w:p>
    <w:p>
      <w:pPr>
        <w:ind w:left="920" w:right="200" w:hanging="359"/>
        <w:spacing w:after="0" w:line="264" w:lineRule="auto"/>
        <w:tabs>
          <w:tab w:leader="none" w:pos="92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be named as defendants in litigation arising from our investments in the portfolio companies; and</w:t>
      </w:r>
    </w:p>
    <w:p>
      <w:pPr>
        <w:spacing w:after="0" w:line="100" w:lineRule="exact"/>
        <w:rPr>
          <w:rFonts w:ascii="Arial" w:cs="Arial" w:eastAsia="Arial" w:hAnsi="Arial"/>
          <w:sz w:val="13"/>
          <w:szCs w:val="13"/>
          <w:color w:val="auto"/>
        </w:rPr>
      </w:pPr>
    </w:p>
    <w:p>
      <w:pPr>
        <w:ind w:left="920" w:right="380" w:hanging="359"/>
        <w:spacing w:after="0" w:line="253" w:lineRule="auto"/>
        <w:tabs>
          <w:tab w:leader="none" w:pos="9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they may have difficulty accessing the capital markets to meet future capital needs, which may limit their ability to grow or to refinance their outstanding indebtedness upon maturity.</w:t>
      </w:r>
    </w:p>
    <w:p>
      <w:pPr>
        <w:spacing w:after="0" w:line="106"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b w:val="1"/>
          <w:bCs w:val="1"/>
          <w:i w:val="1"/>
          <w:iCs w:val="1"/>
          <w:color w:val="auto"/>
        </w:rPr>
        <w:t>Under the 1940 Act, we may invest up to 30% of our assets in investments that are not qualifying assets for BDCs. If we do not invest a sufficient portion of our assets in qualifying assets, we could be precluded from investing in assets that we deem to be attractive.</w:t>
      </w:r>
    </w:p>
    <w:p>
      <w:pPr>
        <w:spacing w:after="0" w:line="10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17" w:lineRule="exact"/>
        <w:rPr>
          <w:sz w:val="20"/>
          <w:szCs w:val="20"/>
          <w:color w:val="auto"/>
        </w:rPr>
      </w:pPr>
    </w:p>
    <w:p>
      <w:pPr>
        <w:ind w:right="20" w:firstLine="438"/>
        <w:spacing w:after="0" w:line="248" w:lineRule="auto"/>
        <w:rPr>
          <w:sz w:val="20"/>
          <w:szCs w:val="20"/>
          <w:color w:val="auto"/>
        </w:rPr>
      </w:pPr>
      <w:r>
        <w:rPr>
          <w:rFonts w:ascii="Arial" w:cs="Arial" w:eastAsia="Arial" w:hAnsi="Arial"/>
          <w:sz w:val="13"/>
          <w:szCs w:val="13"/>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have not invested a sufficient portion of our assets in qualifying assets at the time of a proposed investment,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99"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10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and compliance with the RIC tax regulations.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the Diversification Requirements, we do not have fixed guidelines for portfolio diversification, and our investments could be concentrated in relatively few portfolio companies or industries. Although we are classified as a non-diversified investment company within the meaning of the 1940 Act, we maintain the flexibility to operate as a diversified investment company and have done so for an extended period of time. To the extent that we operate as a non-diversified investment company in the future, we may be subject to greater risk.</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Economic recessions or downturns could impair our portfolio companies and harm our operating results.</w:t>
      </w:r>
    </w:p>
    <w:p>
      <w:pPr>
        <w:spacing w:after="0" w:line="123" w:lineRule="exact"/>
        <w:rPr>
          <w:sz w:val="20"/>
          <w:szCs w:val="20"/>
          <w:color w:val="auto"/>
        </w:rPr>
      </w:pPr>
    </w:p>
    <w:p>
      <w:pPr>
        <w:ind w:right="200" w:firstLine="438"/>
        <w:spacing w:after="0" w:line="231" w:lineRule="auto"/>
        <w:rPr>
          <w:sz w:val="20"/>
          <w:szCs w:val="20"/>
          <w:color w:val="auto"/>
        </w:rPr>
      </w:pPr>
      <w:r>
        <w:rPr>
          <w:rFonts w:ascii="Arial" w:cs="Arial" w:eastAsia="Arial" w:hAnsi="Arial"/>
          <w:sz w:val="14"/>
          <w:szCs w:val="14"/>
          <w:color w:val="auto"/>
        </w:rPr>
        <w:t>Many of our portfolio companies are susceptible to economic or industry centric slowdowns or recessions and may be unable to repay debt from us during these periods. Therefore, our non-performing assets are likely to increase, and the value of our portfolio is likely to decrease during these periods. Adverse economic conditions also may decrease the value of collateral securing some of our debt investments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16" w:lineRule="exact"/>
        <w:rPr>
          <w:sz w:val="20"/>
          <w:szCs w:val="20"/>
          <w:color w:val="auto"/>
        </w:rPr>
      </w:pPr>
    </w:p>
    <w:p>
      <w:pPr>
        <w:ind w:right="120" w:firstLine="438"/>
        <w:spacing w:after="0" w:line="248" w:lineRule="auto"/>
        <w:rPr>
          <w:sz w:val="20"/>
          <w:szCs w:val="20"/>
          <w:color w:val="auto"/>
        </w:rPr>
      </w:pPr>
      <w:r>
        <w:rPr>
          <w:rFonts w:ascii="Arial" w:cs="Arial" w:eastAsia="Arial" w:hAnsi="Arial"/>
          <w:sz w:val="13"/>
          <w:szCs w:val="13"/>
          <w:color w:val="auto"/>
        </w:rPr>
        <w:t>A portfolio company’s failure to satisfy financial or operating covenants imposed by us or other lenders could lead to defaults and potential termination of its debt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and any restructuring could further cause adverse effects on our business.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 In addition, we cannot assure you that a bankruptcy court would not take actions contrary to our interests.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make follow-on investments in our portfolio companies, this could materially impair the value of our portfolio.</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Following an initial investment in a portfolio company, we may make additional investments in that portfolio company as “follow-on” investments, in order to:</w:t>
      </w:r>
    </w:p>
    <w:p>
      <w:pPr>
        <w:spacing w:after="0" w:line="136" w:lineRule="exact"/>
        <w:rPr>
          <w:sz w:val="20"/>
          <w:szCs w:val="20"/>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increase or maintain in whole or in part our equity ownership percentage;</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exercise warrants, options or convertible securities that were acquired in the original or subsequent financing; or</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attempt to preserve or enhance the value of our investment.</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9" w:name="page30"/>
    <w:bookmarkEnd w:id="29"/>
    <w:p>
      <w:pPr>
        <w:ind w:right="100" w:firstLine="438"/>
        <w:spacing w:after="0" w:line="231" w:lineRule="auto"/>
        <w:rPr>
          <w:sz w:val="20"/>
          <w:szCs w:val="20"/>
          <w:color w:val="auto"/>
        </w:rPr>
      </w:pPr>
      <w:r>
        <w:rPr>
          <w:rFonts w:ascii="Arial" w:cs="Arial" w:eastAsia="Arial" w:hAnsi="Arial"/>
          <w:sz w:val="14"/>
          <w:szCs w:val="14"/>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transaction or business. Even if we have sufficient capital to make a desired follow-on investment, we may elect not to make a follow-on investment because we may not want to increase our concentration of risk, either because we prefer other opportunities, or because we are inhibited by compliance with BDC requirements or the desire to maintain our RIC tax status.</w:t>
      </w:r>
    </w:p>
    <w:p>
      <w:pPr>
        <w:spacing w:after="0" w:line="103" w:lineRule="exact"/>
        <w:rPr>
          <w:sz w:val="20"/>
          <w:szCs w:val="20"/>
          <w:color w:val="auto"/>
        </w:rPr>
      </w:pPr>
    </w:p>
    <w:p>
      <w:pPr>
        <w:ind w:right="120"/>
        <w:spacing w:after="0" w:line="253" w:lineRule="auto"/>
        <w:rPr>
          <w:sz w:val="20"/>
          <w:szCs w:val="20"/>
          <w:color w:val="auto"/>
        </w:rPr>
      </w:pPr>
      <w:r>
        <w:rPr>
          <w:rFonts w:ascii="Arial" w:cs="Arial" w:eastAsia="Arial" w:hAnsi="Arial"/>
          <w:sz w:val="14"/>
          <w:szCs w:val="14"/>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106"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market value of our investments.</w:t>
      </w:r>
    </w:p>
    <w:p>
      <w:pPr>
        <w:spacing w:after="0" w:line="117" w:lineRule="exact"/>
        <w:rPr>
          <w:sz w:val="20"/>
          <w:szCs w:val="20"/>
          <w:color w:val="auto"/>
        </w:rPr>
      </w:pPr>
    </w:p>
    <w:p>
      <w:pPr>
        <w:ind w:right="380"/>
        <w:spacing w:after="0" w:line="335" w:lineRule="auto"/>
        <w:rPr>
          <w:sz w:val="20"/>
          <w:szCs w:val="20"/>
          <w:color w:val="auto"/>
        </w:rPr>
      </w:pPr>
      <w:r>
        <w:rPr>
          <w:rFonts w:ascii="Arial" w:cs="Arial" w:eastAsia="Arial" w:hAnsi="Arial"/>
          <w:sz w:val="12"/>
          <w:szCs w:val="12"/>
          <w:b w:val="1"/>
          <w:bCs w:val="1"/>
          <w:i w:val="1"/>
          <w:i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47"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portfolio companies may incur debt that ranks equally with, or senior to, our investments in such companies and our portfolio companies may be highly leveraged.</w:t>
      </w:r>
    </w:p>
    <w:p>
      <w:pPr>
        <w:spacing w:after="0" w:line="136" w:lineRule="exact"/>
        <w:rPr>
          <w:sz w:val="20"/>
          <w:szCs w:val="20"/>
          <w:color w:val="auto"/>
        </w:rPr>
      </w:pPr>
    </w:p>
    <w:p>
      <w:pPr>
        <w:ind w:right="60" w:firstLine="438"/>
        <w:spacing w:after="0" w:line="247" w:lineRule="auto"/>
        <w:rPr>
          <w:sz w:val="20"/>
          <w:szCs w:val="20"/>
          <w:color w:val="auto"/>
        </w:rPr>
      </w:pPr>
      <w:r>
        <w:rPr>
          <w:rFonts w:ascii="Arial" w:cs="Arial" w:eastAsia="Arial" w:hAnsi="Arial"/>
          <w:sz w:val="13"/>
          <w:szCs w:val="13"/>
          <w:color w:val="auto"/>
        </w:rPr>
        <w:t>We invest primarily in first lien secured debt, second lien secured debt, subordinated debt and equity investments issued by our portfolio companies. The portfolio companies usually will have, or may be permitted to incur, other debt that ranks equally with, or senior to, our investments, and they may be highly leveraged. By their terms, such debt instruments may provide that the holders are entitled to receive payment of interest or principal on or before the dates on which we are entitled to receive payments with respect to our debt investments.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incentive fee may induce the Investment Adviser to make speculative investments.</w:t>
      </w:r>
    </w:p>
    <w:p>
      <w:pPr>
        <w:spacing w:after="0" w:line="136"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NAV.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11" w:lineRule="exact"/>
        <w:rPr>
          <w:sz w:val="20"/>
          <w:szCs w:val="20"/>
          <w:color w:val="auto"/>
        </w:rPr>
      </w:pPr>
    </w:p>
    <w:p>
      <w:pPr>
        <w:ind w:right="60" w:firstLine="438"/>
        <w:spacing w:after="0" w:line="264" w:lineRule="auto"/>
        <w:rPr>
          <w:sz w:val="20"/>
          <w:szCs w:val="20"/>
          <w:color w:val="auto"/>
        </w:rPr>
      </w:pPr>
      <w:r>
        <w:rPr>
          <w:rFonts w:ascii="Arial" w:cs="Arial" w:eastAsia="Arial" w:hAnsi="Arial"/>
          <w:sz w:val="13"/>
          <w:szCs w:val="13"/>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investments in distressed debt may not produce income and may require us to bear large expenses in order to protect and recover our investment.</w:t>
      </w:r>
    </w:p>
    <w:p>
      <w:pPr>
        <w:spacing w:after="0" w:line="136" w:lineRule="exact"/>
        <w:rPr>
          <w:sz w:val="20"/>
          <w:szCs w:val="20"/>
          <w:color w:val="auto"/>
        </w:rPr>
      </w:pPr>
    </w:p>
    <w:p>
      <w:pPr>
        <w:ind w:right="60" w:firstLine="438"/>
        <w:spacing w:after="0" w:line="227" w:lineRule="auto"/>
        <w:rPr>
          <w:sz w:val="20"/>
          <w:szCs w:val="20"/>
          <w:color w:val="auto"/>
        </w:rPr>
      </w:pPr>
      <w:r>
        <w:rPr>
          <w:rFonts w:ascii="Arial" w:cs="Arial" w:eastAsia="Arial" w:hAnsi="Arial"/>
          <w:sz w:val="14"/>
          <w:szCs w:val="14"/>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investments in foreign securities may involve significant risks in addition to the risks inherent in U.S. investments.</w:t>
      </w:r>
    </w:p>
    <w:p>
      <w:pPr>
        <w:spacing w:after="0" w:line="123"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Our investment strategy contemplates potential investments in securities of companies located outside of the United States. Investments in securities of companies located outside of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economic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09" w:lineRule="exact"/>
        <w:rPr>
          <w:sz w:val="20"/>
          <w:szCs w:val="20"/>
          <w:color w:val="auto"/>
        </w:rPr>
      </w:pPr>
    </w:p>
    <w:p>
      <w:pPr>
        <w:jc w:val="both"/>
        <w:ind w:right="200" w:firstLine="438"/>
        <w:spacing w:after="0" w:line="255" w:lineRule="auto"/>
        <w:rPr>
          <w:sz w:val="20"/>
          <w:szCs w:val="20"/>
          <w:color w:val="auto"/>
        </w:rPr>
      </w:pPr>
      <w:r>
        <w:rPr>
          <w:rFonts w:ascii="Arial" w:cs="Arial" w:eastAsia="Arial" w:hAnsi="Arial"/>
          <w:sz w:val="13"/>
          <w:szCs w:val="13"/>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interest rates, differences in relative values of similar assets in different currencies, long-term opportunities for investment and capital appreciation, and economic and political developments. We may employ hedging techniques such as using our Credit Facility’s multicurrency capability to minimize these risks, but we can offer no assurance that we will, in fact, hedge currency risk or, that if we do, such strategies will be effective.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47" w:right="359"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i w:val="1"/>
          <w:iCs w:val="1"/>
          <w:color w:val="auto"/>
        </w:rPr>
        <w:t>We may make investments that cause our stockholders to bear investment advisory fees and other expenses on such investments in addition to our management fees and expenses.</w:t>
      </w:r>
    </w:p>
    <w:p>
      <w:pPr>
        <w:spacing w:after="0" w:line="134" w:lineRule="exact"/>
        <w:rPr>
          <w:sz w:val="20"/>
          <w:szCs w:val="20"/>
          <w:color w:val="auto"/>
        </w:rPr>
      </w:pPr>
    </w:p>
    <w:p>
      <w:pPr>
        <w:ind w:right="60" w:firstLine="438"/>
        <w:spacing w:after="0" w:line="229" w:lineRule="auto"/>
        <w:rPr>
          <w:sz w:val="20"/>
          <w:szCs w:val="20"/>
          <w:color w:val="auto"/>
        </w:rPr>
      </w:pPr>
      <w:r>
        <w:rPr>
          <w:rFonts w:ascii="Arial" w:cs="Arial" w:eastAsia="Arial" w:hAnsi="Arial"/>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an incentive fee,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obligated to pay our Investment Adviser incentive compensation even if we incur a loss.</w:t>
      </w:r>
    </w:p>
    <w:p>
      <w:pPr>
        <w:spacing w:after="0" w:line="136"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 quarter. Thus, we may be required to pay the Investment Adviser incentive compensation for a fiscal quarter even if there is a decline in the value of our portfolio, NAV or we incur a net loss for that quarter. In addition, increases in interest rates may increase the amount of incentive fees we pay to the Investment Adviser even though our performance relative to the market has not increased.</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expose ourselves to risks if we engage in hedging transactions.</w:t>
      </w:r>
    </w:p>
    <w:p>
      <w:pPr>
        <w:spacing w:after="0" w:line="136" w:lineRule="exact"/>
        <w:rPr>
          <w:sz w:val="20"/>
          <w:szCs w:val="20"/>
          <w:color w:val="auto"/>
        </w:rPr>
      </w:pPr>
    </w:p>
    <w:p>
      <w:pPr>
        <w:ind w:right="20" w:firstLine="438"/>
        <w:spacing w:after="0" w:line="228" w:lineRule="auto"/>
        <w:rPr>
          <w:sz w:val="20"/>
          <w:szCs w:val="20"/>
          <w:color w:val="auto"/>
        </w:rPr>
      </w:pPr>
      <w:r>
        <w:rPr>
          <w:rFonts w:ascii="Arial" w:cs="Arial" w:eastAsia="Arial" w:hAnsi="Arial"/>
          <w:sz w:val="14"/>
          <w:szCs w:val="14"/>
          <w:color w:val="auto"/>
        </w:rPr>
        <w:t>If we engage in hedging transactions, we may expose ourselves to risks associated with such transactions. We may borrow under a multi-currency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interest rate or currency positions does not eliminate the possibility of fluctuations in the values of such positions or prevent losses if the values of such positions decline. However, such hedging designed to gain from those changes in interest rates or foreign currency exposures, for instance, may also limit the opportunity for gain if the changes in the underlying positions should move against such hedges. Moreover, it may not be possible to hedge against an exchange rate or interest rate fluctuation that is so generally anticipated that we are not able to enter into a hedging transaction at an acceptable price.</w:t>
      </w:r>
    </w:p>
    <w:p>
      <w:pPr>
        <w:spacing w:after="0" w:line="117" w:lineRule="exact"/>
        <w:rPr>
          <w:sz w:val="20"/>
          <w:szCs w:val="20"/>
          <w:color w:val="auto"/>
        </w:rPr>
      </w:pPr>
    </w:p>
    <w:p>
      <w:pPr>
        <w:ind w:right="80" w:firstLine="438"/>
        <w:spacing w:after="0" w:line="228" w:lineRule="auto"/>
        <w:rPr>
          <w:sz w:val="20"/>
          <w:szCs w:val="20"/>
          <w:color w:val="auto"/>
        </w:rPr>
      </w:pPr>
      <w:r>
        <w:rPr>
          <w:rFonts w:ascii="Arial" w:cs="Arial" w:eastAsia="Arial" w:hAnsi="Arial"/>
          <w:sz w:val="14"/>
          <w:szCs w:val="14"/>
          <w:color w:val="auto"/>
        </w:rPr>
        <w:t>While we may enter into such transactions to seek to reduce currency exchange rate and interest rate risks, unanticipated changes in currency exchange rates or interest rates may result in worse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the rules of the Commodity Futures Trading Commission.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AN INVESTMENT IN OUR COMMON STOCK</w:t>
      </w:r>
    </w:p>
    <w:p>
      <w:pPr>
        <w:spacing w:after="0" w:line="140" w:lineRule="exact"/>
        <w:rPr>
          <w:sz w:val="20"/>
          <w:szCs w:val="20"/>
          <w:color w:val="auto"/>
        </w:rPr>
      </w:pPr>
    </w:p>
    <w:p>
      <w:pPr>
        <w:ind w:right="80"/>
        <w:spacing w:after="0" w:line="238" w:lineRule="auto"/>
        <w:rPr>
          <w:sz w:val="20"/>
          <w:szCs w:val="20"/>
          <w:color w:val="auto"/>
        </w:rPr>
      </w:pPr>
      <w:r>
        <w:rPr>
          <w:rFonts w:ascii="Arial" w:cs="Arial" w:eastAsia="Arial" w:hAnsi="Arial"/>
          <w:sz w:val="14"/>
          <w:szCs w:val="14"/>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115" w:lineRule="exact"/>
        <w:rPr>
          <w:sz w:val="20"/>
          <w:szCs w:val="20"/>
          <w:color w:val="auto"/>
        </w:rPr>
      </w:pPr>
    </w:p>
    <w:p>
      <w:pPr>
        <w:ind w:right="180" w:firstLine="438"/>
        <w:spacing w:after="0" w:line="238" w:lineRule="auto"/>
        <w:rPr>
          <w:sz w:val="20"/>
          <w:szCs w:val="20"/>
          <w:color w:val="auto"/>
        </w:rPr>
      </w:pPr>
      <w:r>
        <w:rPr>
          <w:rFonts w:ascii="Arial" w:cs="Arial" w:eastAsia="Arial" w:hAnsi="Arial"/>
          <w:sz w:val="14"/>
          <w:szCs w:val="14"/>
          <w:color w:val="auto"/>
        </w:rPr>
        <w:t>We may seek to obtain from our stockholders and they may approve a proposal that authorizes us to issue shares of our common stock at prices below the then current NAV per share of our common stock in one or more offerings for a 12-month period. Such approval would allow us to access the capital markets in a way that we were previously unable to do as a result of restrictions that, absent stockholder approval, apply to BDCs under the 1940 Act.</w:t>
      </w:r>
    </w:p>
    <w:p>
      <w:pPr>
        <w:spacing w:after="0" w:line="102" w:lineRule="exact"/>
        <w:rPr>
          <w:sz w:val="20"/>
          <w:szCs w:val="20"/>
          <w:color w:val="auto"/>
        </w:rPr>
      </w:pPr>
    </w:p>
    <w:p>
      <w:pPr>
        <w:ind w:right="60" w:firstLine="438"/>
        <w:spacing w:after="0" w:line="229" w:lineRule="auto"/>
        <w:rPr>
          <w:sz w:val="20"/>
          <w:szCs w:val="20"/>
          <w:color w:val="auto"/>
        </w:rPr>
      </w:pPr>
      <w:r>
        <w:rPr>
          <w:rFonts w:ascii="Arial" w:cs="Arial" w:eastAsia="Arial" w:hAnsi="Arial"/>
          <w:sz w:val="14"/>
          <w:szCs w:val="14"/>
          <w:color w:val="auto"/>
        </w:rPr>
        <w:t>Any sale or other issuance of shares of our common stock at a price below NAV per share will result in an immediate dilution to your interest in our common stock and a reduction of our NAV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118"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have previously received the consent of the majority of our common stockholders to do so and the board of directors decides such an offering is in the best interests of our common stockholders. Whenever we do not have current stockholder approval to issue shares of our common stock at a price per share below our then current NAV per share, the offering price per share (after any distributing commission or discount) will equal or exceed our then current NAV per share, based on the value of our portfolio securities and other assets determined in good faith by our board of directors as of a time within 48 hours (excluding Sundays and holidays) of the sale.</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is a risk that our stockholders may not receive distributions or that our distributions may not grow over time.</w:t>
      </w:r>
    </w:p>
    <w:p>
      <w:pPr>
        <w:spacing w:after="0" w:line="123" w:lineRule="exact"/>
        <w:rPr>
          <w:sz w:val="20"/>
          <w:szCs w:val="20"/>
          <w:color w:val="auto"/>
        </w:rPr>
      </w:pPr>
    </w:p>
    <w:p>
      <w:pPr>
        <w:ind w:right="100" w:firstLine="438"/>
        <w:spacing w:after="0" w:line="229" w:lineRule="auto"/>
        <w:rPr>
          <w:sz w:val="20"/>
          <w:szCs w:val="20"/>
          <w:color w:val="auto"/>
        </w:rPr>
      </w:pPr>
      <w:r>
        <w:rPr>
          <w:rFonts w:ascii="Arial" w:cs="Arial" w:eastAsia="Arial" w:hAnsi="Arial"/>
          <w:sz w:val="14"/>
          <w:szCs w:val="14"/>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requirements applicable to us as a BDC, we may be limited in our ability to make distributions. Further, if more stockholders opt to receive cash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i w:val="1"/>
          <w:iCs w:val="1"/>
          <w:color w:val="auto"/>
        </w:rPr>
        <w:t>Investing in our shares may involve an above average degree of risk.</w:t>
      </w:r>
    </w:p>
    <w:p>
      <w:pPr>
        <w:spacing w:after="0" w:line="123" w:lineRule="exact"/>
        <w:rPr>
          <w:sz w:val="20"/>
          <w:szCs w:val="20"/>
          <w:color w:val="auto"/>
        </w:rPr>
      </w:pPr>
    </w:p>
    <w:p>
      <w:pPr>
        <w:ind w:right="160" w:firstLine="438"/>
        <w:spacing w:after="0" w:line="290" w:lineRule="auto"/>
        <w:rPr>
          <w:sz w:val="20"/>
          <w:szCs w:val="20"/>
          <w:color w:val="auto"/>
        </w:rPr>
      </w:pPr>
      <w:r>
        <w:rPr>
          <w:rFonts w:ascii="Arial" w:cs="Arial" w:eastAsia="Arial" w:hAnsi="Arial"/>
          <w:sz w:val="13"/>
          <w:szCs w:val="13"/>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of substantial amounts of our securities may have an adverse effect on the market price of our securities.</w:t>
      </w:r>
    </w:p>
    <w:p>
      <w:pPr>
        <w:spacing w:after="0" w:line="136" w:lineRule="exact"/>
        <w:rPr>
          <w:sz w:val="20"/>
          <w:szCs w:val="20"/>
          <w:color w:val="auto"/>
        </w:rPr>
      </w:pPr>
    </w:p>
    <w:p>
      <w:pPr>
        <w:ind w:right="480" w:firstLine="438"/>
        <w:spacing w:after="0" w:line="253" w:lineRule="auto"/>
        <w:rPr>
          <w:sz w:val="20"/>
          <w:szCs w:val="20"/>
          <w:color w:val="auto"/>
        </w:rPr>
      </w:pPr>
      <w:r>
        <w:rPr>
          <w:rFonts w:ascii="Arial" w:cs="Arial" w:eastAsia="Arial" w:hAnsi="Arial"/>
          <w:sz w:val="14"/>
          <w:szCs w:val="14"/>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allocate the net proceeds from any offering of our securities in ways with which you may not agree.</w:t>
      </w:r>
    </w:p>
    <w:p>
      <w:pPr>
        <w:spacing w:after="0" w:line="136"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shares may trade at discounts from NAV or at premiums that are unsustainable over the long term.</w:t>
      </w:r>
    </w:p>
    <w:p>
      <w:pPr>
        <w:spacing w:after="0" w:line="123"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Shares of BDCs may trade at a market price that is less than the NAV that is attributable to those shares. Our shares have traded above and below our NAV. Our shares closed on The Nasdaq Global Select Market at $6.49 and $3.19 on September 30, 2021 and 2020, respectively. Our NAV per share was $9.85 and $7.84, respectively,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price of our common stock may fluctuate significantly.</w:t>
      </w:r>
    </w:p>
    <w:p>
      <w:pPr>
        <w:spacing w:after="0" w:line="136" w:lineRule="exact"/>
        <w:rPr>
          <w:sz w:val="20"/>
          <w:szCs w:val="20"/>
          <w:color w:val="auto"/>
        </w:rPr>
      </w:pPr>
    </w:p>
    <w:p>
      <w:pPr>
        <w:ind w:right="220" w:firstLine="438"/>
        <w:spacing w:after="0" w:line="253" w:lineRule="auto"/>
        <w:rPr>
          <w:sz w:val="20"/>
          <w:szCs w:val="20"/>
          <w:color w:val="auto"/>
        </w:rPr>
      </w:pPr>
      <w:r>
        <w:rPr>
          <w:rFonts w:ascii="Arial" w:cs="Arial" w:eastAsia="Arial" w:hAnsi="Arial"/>
          <w:sz w:val="14"/>
          <w:szCs w:val="14"/>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93" w:lineRule="exact"/>
        <w:rPr>
          <w:sz w:val="20"/>
          <w:szCs w:val="20"/>
          <w:color w:val="auto"/>
        </w:rPr>
      </w:pPr>
    </w:p>
    <w:p>
      <w:pPr>
        <w:ind w:left="920" w:hanging="359"/>
        <w:spacing w:after="0" w:line="253" w:lineRule="auto"/>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significant volatility in the market price and trading volume of securities of BDCs or other companies in our sector, which are not necessarily related to the operating performance of these companies;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changes in regulatory policies or tax guidelines, particularly with respect to RICs, BDCs or SBICs;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any loss of our BDC or RIC status or any loss of our subsidiaries’ SBIC licenses;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changes in earnings or variations in operating results;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changes in prevailing interest rates;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changes in the value of our portfolio of investments;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any shortfall in revenue or net income or any increase in losses from levels expected by investors or securities analysts;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inability of our Investment Adviser to employ additional experienced investment professionals or the departure of any of the Investment Adviser’s key personnel;</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operating performance of companies comparable to us;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general national and international economic trends and other external factors;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general price and volume fluctuations in the stock markets, including as a result of short sales;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conversion features of subscription rights, warrants or convertible debt; and</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loss of a major funding source.</w:t>
      </w:r>
    </w:p>
    <w:p>
      <w:pPr>
        <w:spacing w:after="0" w:line="204" w:lineRule="exact"/>
        <w:rPr>
          <w:sz w:val="20"/>
          <w:szCs w:val="20"/>
          <w:color w:val="auto"/>
        </w:rPr>
      </w:pPr>
    </w:p>
    <w:p>
      <w:pPr>
        <w:ind w:right="240" w:firstLine="438"/>
        <w:spacing w:after="0" w:line="253" w:lineRule="auto"/>
        <w:rPr>
          <w:sz w:val="20"/>
          <w:szCs w:val="20"/>
          <w:color w:val="auto"/>
        </w:rPr>
      </w:pPr>
      <w:r>
        <w:rPr>
          <w:rFonts w:ascii="Arial" w:cs="Arial" w:eastAsia="Arial" w:hAnsi="Arial"/>
          <w:sz w:val="14"/>
          <w:szCs w:val="14"/>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unable to invest the net proceeds raised from offerings on acceptable terms, which would harm our financial condition and operating results.</w:t>
      </w:r>
    </w:p>
    <w:p>
      <w:pPr>
        <w:spacing w:after="0" w:line="13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or any future credit facility. We cannot assure you that we will be able to find enough appropriate investments that meet our investment selection criteria or that any investment we complete using the proceeds from an offering will produce a sufficient return.</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SBA also limits an SBIC’s ability to invest idle funds to the following types of securities:</w:t>
      </w:r>
    </w:p>
    <w:p>
      <w:pPr>
        <w:spacing w:after="0" w:line="136" w:lineRule="exact"/>
        <w:rPr>
          <w:sz w:val="20"/>
          <w:szCs w:val="20"/>
          <w:color w:val="auto"/>
        </w:rPr>
      </w:pPr>
    </w:p>
    <w:p>
      <w:pPr>
        <w:ind w:left="920" w:hanging="359"/>
        <w:spacing w:after="0"/>
        <w:tabs>
          <w:tab w:leader="none" w:pos="9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direct obligations of, or obligations guaranteed as to principal and interest by, the U.S. government, which mature within 15 months from the date of the investment;</w:t>
      </w:r>
    </w:p>
    <w:p>
      <w:pPr>
        <w:spacing w:after="0" w:line="203" w:lineRule="exact"/>
        <w:rPr>
          <w:rFonts w:ascii="Arial" w:cs="Arial" w:eastAsia="Arial" w:hAnsi="Arial"/>
          <w:sz w:val="14"/>
          <w:szCs w:val="14"/>
          <w:color w:val="auto"/>
        </w:rPr>
      </w:pPr>
    </w:p>
    <w:p>
      <w:pPr>
        <w:ind w:left="920" w:right="20" w:hanging="359"/>
        <w:spacing w:after="0" w:line="253" w:lineRule="auto"/>
        <w:tabs>
          <w:tab w:leader="none" w:pos="9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48"/>
        </w:numPr>
        <w:rPr>
          <w:rFonts w:ascii="Arial" w:cs="Arial" w:eastAsia="Arial" w:hAnsi="Arial"/>
          <w:sz w:val="13"/>
          <w:szCs w:val="13"/>
          <w:color w:val="auto"/>
        </w:rPr>
      </w:pPr>
      <w:r>
        <w:rPr>
          <w:rFonts w:ascii="Arial" w:cs="Arial" w:eastAsia="Arial" w:hAnsi="Arial"/>
          <w:sz w:val="13"/>
          <w:szCs w:val="13"/>
          <w:color w:val="auto"/>
        </w:rPr>
        <w:t>mutual funds, securities or other instruments that exclusively consist of, or represent pooled assets of, investments described in the first and second bulleted paragraphs above;</w:t>
      </w:r>
    </w:p>
    <w:p>
      <w:pPr>
        <w:spacing w:after="0" w:line="215" w:lineRule="exact"/>
        <w:rPr>
          <w:rFonts w:ascii="Arial" w:cs="Arial" w:eastAsia="Arial" w:hAnsi="Arial"/>
          <w:sz w:val="13"/>
          <w:szCs w:val="13"/>
          <w:color w:val="auto"/>
        </w:rPr>
      </w:pPr>
    </w:p>
    <w:p>
      <w:pPr>
        <w:ind w:left="920" w:hanging="359"/>
        <w:spacing w:after="0"/>
        <w:tabs>
          <w:tab w:leader="none" w:pos="9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certificates of deposit with a maturity of one year or less, issued by a federally insured institution; or</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 deposit account in a federally insured institution that is subject to a withdrawal restriction of one year or less.</w:t>
      </w: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283" w:right="399" w:bottom="1440" w:gutter="0" w:footer="0" w:header="0"/>
        </w:sectPr>
      </w:pPr>
    </w:p>
    <w:bookmarkStart w:id="32" w:name="page33"/>
    <w:bookmarkEnd w:id="32"/>
    <w:p>
      <w:pPr>
        <w:ind w:left="920" w:hanging="359"/>
        <w:spacing w:after="0"/>
        <w:tabs>
          <w:tab w:leader="none" w:pos="9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 checking account in a federally insured institution; or</w:t>
      </w:r>
    </w:p>
    <w:p>
      <w:pPr>
        <w:spacing w:after="0" w:line="230" w:lineRule="exact"/>
        <w:rPr>
          <w:rFonts w:ascii="Arial" w:cs="Arial" w:eastAsia="Arial" w:hAnsi="Arial"/>
          <w:sz w:val="14"/>
          <w:szCs w:val="14"/>
          <w:color w:val="auto"/>
        </w:rPr>
      </w:pPr>
    </w:p>
    <w:p>
      <w:pPr>
        <w:ind w:left="920" w:hanging="359"/>
        <w:spacing w:after="0"/>
        <w:tabs>
          <w:tab w:leader="none" w:pos="9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 a reasonable petty cash fund.</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You may have current tax liabilities on distributions you reinvest in our common stock.</w:t>
      </w:r>
    </w:p>
    <w:p>
      <w:pPr>
        <w:spacing w:after="0" w:line="123"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income tax liabilities on the value of the common stock received. See “Management’s Discussion and Analysis of Financial Condition and Results of Operations—Liquidity and Capital Resources—Distributions” for more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is a risk that our common stockholders may receive our stock as distributions in which case they may be required to pay taxes in excess of the cash they receive.</w:t>
      </w:r>
    </w:p>
    <w:p>
      <w:pPr>
        <w:spacing w:after="0" w:line="136" w:lineRule="exact"/>
        <w:rPr>
          <w:sz w:val="20"/>
          <w:szCs w:val="20"/>
          <w:color w:val="auto"/>
        </w:rPr>
      </w:pPr>
    </w:p>
    <w:p>
      <w:pPr>
        <w:ind w:right="40" w:firstLine="438"/>
        <w:spacing w:after="0" w:line="228" w:lineRule="auto"/>
        <w:rPr>
          <w:sz w:val="20"/>
          <w:szCs w:val="20"/>
          <w:color w:val="auto"/>
        </w:rPr>
      </w:pPr>
      <w:r>
        <w:rPr>
          <w:rFonts w:ascii="Arial" w:cs="Arial" w:eastAsia="Arial" w:hAnsi="Arial"/>
          <w:sz w:val="14"/>
          <w:szCs w:val="14"/>
          <w:color w:val="auto"/>
        </w:rPr>
        <w:t>We may distribute our common stock as a dividend of our taxable income and a stockholder could receive a portion of the dividends declared and distributed by us in shares of our common stock with the remaining amount in cash. Revenue Procedures issued by the IRS allow a publicly offered regulated investment company (including a BDC) to distribute its own stock as a dividend for the purpose of fulfilling its distribution requirements, if certain conditions are satisfied. As long as a portion of such dividend is paid in cash (which portion may be as low as 20% of such dividend) and certain requirements are met, the entire distribution will be treated as a dividend for U.S. federal income tax purposes. As a result, a stockholder will be considered to have recognized dividend income generally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Provisions of the Maryland General Corporation Law and of our charter and bylaws could deter takeover attempts and have an adverse impact on the price of our common stock.</w:t>
      </w:r>
    </w:p>
    <w:p>
      <w:pPr>
        <w:spacing w:after="0" w:line="148" w:lineRule="exact"/>
        <w:rPr>
          <w:sz w:val="20"/>
          <w:szCs w:val="20"/>
          <w:color w:val="auto"/>
        </w:rPr>
      </w:pPr>
    </w:p>
    <w:p>
      <w:pPr>
        <w:ind w:right="80" w:firstLine="438"/>
        <w:spacing w:after="0" w:line="251" w:lineRule="auto"/>
        <w:rPr>
          <w:sz w:val="20"/>
          <w:szCs w:val="20"/>
          <w:color w:val="auto"/>
        </w:rPr>
      </w:pPr>
      <w:r>
        <w:rPr>
          <w:rFonts w:ascii="Arial" w:cs="Arial" w:eastAsia="Arial" w:hAnsi="Arial"/>
          <w:sz w:val="13"/>
          <w:szCs w:val="13"/>
          <w:color w:val="auto"/>
        </w:rPr>
        <w:t>The Maryland General Corporation Law, our charter and our bylaws contain provisions that may discourage, delay or make more difficult a change in control of us or the removal of our directors. We are subject to the Maryland Business Combination Act, or the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09"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03" w:lineRule="exact"/>
        <w:rPr>
          <w:sz w:val="20"/>
          <w:szCs w:val="20"/>
          <w:color w:val="auto"/>
        </w:rPr>
      </w:pPr>
    </w:p>
    <w:p>
      <w:pPr>
        <w:ind w:right="460" w:firstLine="438"/>
        <w:spacing w:after="0" w:line="253" w:lineRule="auto"/>
        <w:rPr>
          <w:sz w:val="20"/>
          <w:szCs w:val="20"/>
          <w:color w:val="auto"/>
        </w:rPr>
      </w:pPr>
      <w:r>
        <w:rPr>
          <w:rFonts w:ascii="Arial" w:cs="Arial" w:eastAsia="Arial" w:hAnsi="Arial"/>
          <w:sz w:val="14"/>
          <w:szCs w:val="14"/>
          <w:color w:val="auto"/>
        </w:rPr>
        <w:t>These anti-takeover provisions may inhibit a change of control in circumstances that could give our stockholders the opportunity to realize a premium over the market price for our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AN INVESTMENT IN OUR DEBT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2024 Notes and the 2026 Notes are unsecured and therefore are effectively subordinated to any secured indebtedness we have currently incurred or may incur in the future.</w:t>
      </w:r>
    </w:p>
    <w:p>
      <w:pPr>
        <w:spacing w:after="0" w:line="134" w:lineRule="exact"/>
        <w:rPr>
          <w:sz w:val="20"/>
          <w:szCs w:val="20"/>
          <w:color w:val="auto"/>
        </w:rPr>
      </w:pPr>
    </w:p>
    <w:p>
      <w:pPr>
        <w:ind w:right="160" w:firstLine="438"/>
        <w:spacing w:after="0" w:line="247" w:lineRule="auto"/>
        <w:rPr>
          <w:sz w:val="20"/>
          <w:szCs w:val="20"/>
          <w:color w:val="auto"/>
        </w:rPr>
      </w:pPr>
      <w:r>
        <w:rPr>
          <w:rFonts w:ascii="Arial" w:cs="Arial" w:eastAsia="Arial" w:hAnsi="Arial"/>
          <w:sz w:val="13"/>
          <w:szCs w:val="13"/>
          <w:color w:val="auto"/>
        </w:rPr>
        <w:t>The 2024 Notes and the 2026 Notes are not secured by any of our assets or any of the assets of our subsidiaries. As a result, the 2024 Notes and the 2026 Notes are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2024 Notes and the 2026 Notes. As of September 30, 2021, we had $316.5 million in outstanding borrowings under the Truist Credit Facility. The Truist Credit Facility is secured by substantially all of our assets excluding assets held by SBIC II. The indebtedness under the Credit Facility is therefore effectively senior in right of payment to our 2024 Notes and our 2026 Notes to the extent of the value of such assets.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2024 Notes and the 2026 Notes are structurally subordinated to the indebtedness and other liabilities of our subsidiaries.</w:t>
      </w:r>
    </w:p>
    <w:p>
      <w:pPr>
        <w:spacing w:after="0" w:line="136" w:lineRule="exact"/>
        <w:rPr>
          <w:sz w:val="20"/>
          <w:szCs w:val="20"/>
          <w:color w:val="auto"/>
        </w:rPr>
      </w:pPr>
    </w:p>
    <w:p>
      <w:pPr>
        <w:ind w:right="160" w:firstLine="438"/>
        <w:spacing w:after="0" w:line="233" w:lineRule="auto"/>
        <w:rPr>
          <w:sz w:val="20"/>
          <w:szCs w:val="20"/>
          <w:color w:val="auto"/>
        </w:rPr>
      </w:pPr>
      <w:r>
        <w:rPr>
          <w:rFonts w:ascii="Arial" w:cs="Arial" w:eastAsia="Arial" w:hAnsi="Arial"/>
          <w:sz w:val="14"/>
          <w:szCs w:val="14"/>
          <w:color w:val="auto"/>
        </w:rPr>
        <w:t>The 2024 Notes and the 2026 Notes are obligations exclusively of PennantPark Investment Corporation and not of any of our subsidiaries. None of our subsidiaries is or acts as a guarantor of the 2024 Notes or the 2026 Notes and the 2024 Notes and the 2026 Notes are not required to be guaranteed by any subsidiaries we may acquire or create in the future. Our secured indebtedness with respect to the SBA debentures is held through SBIC II. The assets of any such subsidiaries are not directly available to satisfy the claims of our creditors, including holders of our 2024 Notes and our 2026 Notes.</w:t>
      </w:r>
    </w:p>
    <w:p>
      <w:pPr>
        <w:spacing w:after="0" w:line="104" w:lineRule="exact"/>
        <w:rPr>
          <w:sz w:val="20"/>
          <w:szCs w:val="20"/>
          <w:color w:val="auto"/>
        </w:rPr>
      </w:pPr>
    </w:p>
    <w:p>
      <w:pPr>
        <w:ind w:right="120" w:firstLine="438"/>
        <w:spacing w:after="0" w:line="227" w:lineRule="auto"/>
        <w:rPr>
          <w:sz w:val="20"/>
          <w:szCs w:val="20"/>
          <w:color w:val="auto"/>
        </w:rPr>
      </w:pPr>
      <w:r>
        <w:rPr>
          <w:rFonts w:ascii="Arial" w:cs="Arial" w:eastAsia="Arial" w:hAnsi="Arial"/>
          <w:sz w:val="14"/>
          <w:szCs w:val="14"/>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2024 Notes and the 2026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2024 Notes and the 2026 Notes are structurally subordinated to all indebtedness and other liabilities (including trade payables) of our subsidiaries and any subsidiaries that we may in the future acquire or establish as financing vehicles or otherwise. As of September 30, 2021 and 2020, our SBIC Fund had $63.5 million and $118.5 million in debt commitments, respectively, all of which was drawn. All of such indebtedness is structurally senior to the 2024 Notes and the 2026 Notes. In addition, our subsidiaries may incur substantial additional indebtedness in the future, all of which would be structurally senior to the 2024 Notes and the 2026 Notes.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i w:val="1"/>
          <w:iCs w:val="1"/>
          <w:color w:val="auto"/>
        </w:rPr>
        <w:t>The indenture under which each of the 2024 Notes and the 2026 Notes were issued contains limited protection for their respective holders.</w:t>
      </w:r>
    </w:p>
    <w:p>
      <w:pPr>
        <w:spacing w:after="0" w:line="123" w:lineRule="exact"/>
        <w:rPr>
          <w:sz w:val="20"/>
          <w:szCs w:val="20"/>
          <w:color w:val="auto"/>
        </w:rPr>
      </w:pPr>
    </w:p>
    <w:p>
      <w:pPr>
        <w:ind w:right="160" w:firstLine="438"/>
        <w:spacing w:after="0" w:line="233" w:lineRule="auto"/>
        <w:rPr>
          <w:sz w:val="20"/>
          <w:szCs w:val="20"/>
          <w:color w:val="auto"/>
        </w:rPr>
      </w:pPr>
      <w:r>
        <w:rPr>
          <w:rFonts w:ascii="Arial" w:cs="Arial" w:eastAsia="Arial" w:hAnsi="Arial"/>
          <w:sz w:val="14"/>
          <w:szCs w:val="14"/>
          <w:color w:val="auto"/>
        </w:rPr>
        <w:t>The indenture under which each of the 2024 Notes and the 2026 Notes were issued offers limited protection to holders. The terms of the indenture and each of the 2024 Notes and the 2026 Notes do not restrict our or any of our subsidiaries’ ability to engage in, or otherwise be a party to, a variety of corporate transactions, circumstances or events that could have an adverse impact on each holder’s investment in the 2024 Notes and the 2026 Notes. In particular, the terms of the indenture and each of the 2024 Notes and the 2026 Notes will not place any restrictions on our or our subsidiaries’ ability to:</w:t>
      </w:r>
    </w:p>
    <w:p>
      <w:pPr>
        <w:spacing w:after="0" w:line="117" w:lineRule="exact"/>
        <w:rPr>
          <w:sz w:val="20"/>
          <w:szCs w:val="20"/>
          <w:color w:val="auto"/>
        </w:rPr>
      </w:pPr>
    </w:p>
    <w:p>
      <w:pPr>
        <w:ind w:left="920" w:hanging="359"/>
        <w:spacing w:after="0" w:line="241" w:lineRule="auto"/>
        <w:tabs>
          <w:tab w:leader="none" w:pos="92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issue securities or otherwise incur additional indebtedness or other obligations, including (1) any indebtedness or other obligations that would be equal in right of payment to each of the 2024 Notes and the 2026 Notes, (2) any indebtedness or other obligations that would be secured and therefore rank effectively senior in right of payment to each of the 2024 Notes and the 2026 Notes to the extent of the values of the assets securing such debt, (3) indebtedness of ours that is guaranteed by one or more of our subsidiaries and which therefore would rank structurally senior to each of the 2024 Notes and the 2026 Notes and (4) securities, indebtedness or other obligations issued or incurred by our subsidiaries that would be senior in right of payment to our equity interests in our subsidiaries and therefore would rank structurally senior in right of payment to each of the 2024 Notes and the 2026 Notes with respect to the assets of our subsidiaries, in each case other than an incurrence of indebtedness or other obligation that would cause a violation of Section 18(a)</w:t>
      </w:r>
    </w:p>
    <w:p>
      <w:pPr>
        <w:spacing w:after="0" w:line="2" w:lineRule="exact"/>
        <w:rPr>
          <w:rFonts w:ascii="Arial" w:cs="Arial" w:eastAsia="Arial" w:hAnsi="Arial"/>
          <w:sz w:val="13"/>
          <w:szCs w:val="13"/>
          <w:color w:val="auto"/>
        </w:rPr>
      </w:pPr>
    </w:p>
    <w:p>
      <w:pPr>
        <w:ind w:left="920" w:right="180"/>
        <w:spacing w:after="0" w:line="237" w:lineRule="auto"/>
        <w:rPr>
          <w:rFonts w:ascii="Arial" w:cs="Arial" w:eastAsia="Arial" w:hAnsi="Arial"/>
          <w:sz w:val="13"/>
          <w:szCs w:val="13"/>
          <w:color w:val="auto"/>
        </w:rPr>
      </w:pPr>
      <w:r>
        <w:rPr>
          <w:rFonts w:ascii="Arial" w:cs="Arial" w:eastAsia="Arial" w:hAnsi="Arial"/>
          <w:sz w:val="14"/>
          <w:szCs w:val="14"/>
          <w:color w:val="auto"/>
        </w:rPr>
        <w:t>(1)(A) of the 1940 Act as modified by Section 61(a)(1) and (2) of the 1940 Act or any successor provisions, as such obligations may be amended or superseded, giving effect to any exemptive relief granted to us by the SEC;</w:t>
      </w:r>
    </w:p>
    <w:p>
      <w:pPr>
        <w:spacing w:after="0" w:line="115" w:lineRule="exact"/>
        <w:rPr>
          <w:rFonts w:ascii="Arial" w:cs="Arial" w:eastAsia="Arial" w:hAnsi="Arial"/>
          <w:sz w:val="13"/>
          <w:szCs w:val="13"/>
          <w:color w:val="auto"/>
        </w:rPr>
      </w:pPr>
    </w:p>
    <w:p>
      <w:pPr>
        <w:ind w:left="920" w:right="200" w:hanging="359"/>
        <w:spacing w:after="0" w:line="253" w:lineRule="auto"/>
        <w:tabs>
          <w:tab w:leader="none" w:pos="9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pay dividends on, or purchase or redeem or make any payments in respect of, capital stock or other securities ranking junior in right of payment to the 2024 Notes and the 2026 Notes;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sell assets (other than certain limited restrictions on our ability to consolidate, merge or sell all or substantially all of our assets);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enter into transactions with affiliates;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create liens (including liens on the shares of our subsidiaries) or enter into sale and leaseback transactions;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make investments; or</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create restrictions on the payment of dividends or other amounts to us from our subsidiaries.</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addition, the indenture will not require us to offer to purchase the Notes in connection with a change of control or any other event.</w:t>
      </w:r>
    </w:p>
    <w:p>
      <w:pPr>
        <w:spacing w:after="0" w:line="136" w:lineRule="exact"/>
        <w:rPr>
          <w:sz w:val="20"/>
          <w:szCs w:val="20"/>
          <w:color w:val="auto"/>
        </w:rPr>
      </w:pPr>
    </w:p>
    <w:p>
      <w:pPr>
        <w:ind w:right="180" w:firstLine="438"/>
        <w:spacing w:after="0" w:line="238" w:lineRule="auto"/>
        <w:rPr>
          <w:sz w:val="20"/>
          <w:szCs w:val="20"/>
          <w:color w:val="auto"/>
        </w:rPr>
      </w:pPr>
      <w:r>
        <w:rPr>
          <w:rFonts w:ascii="Arial" w:cs="Arial" w:eastAsia="Arial" w:hAnsi="Arial"/>
          <w:sz w:val="14"/>
          <w:szCs w:val="14"/>
          <w:color w:val="auto"/>
        </w:rPr>
        <w:t>Furthermore, the terms of the indenture and each of the 2024 Notes and the 2026 Notes do not protect their respective holders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102" w:lineRule="exact"/>
        <w:rPr>
          <w:sz w:val="20"/>
          <w:szCs w:val="20"/>
          <w:color w:val="auto"/>
        </w:rPr>
      </w:pPr>
    </w:p>
    <w:p>
      <w:pPr>
        <w:ind w:right="220" w:firstLine="438"/>
        <w:spacing w:after="0" w:line="290" w:lineRule="auto"/>
        <w:rPr>
          <w:sz w:val="20"/>
          <w:szCs w:val="20"/>
          <w:color w:val="auto"/>
        </w:rPr>
      </w:pPr>
      <w:r>
        <w:rPr>
          <w:rFonts w:ascii="Arial" w:cs="Arial" w:eastAsia="Arial" w:hAnsi="Arial"/>
          <w:sz w:val="13"/>
          <w:szCs w:val="13"/>
          <w:color w:val="auto"/>
        </w:rPr>
        <w:t>Our ability to recapitalize, incur additional debt and take a number of other actions that are not limited by the terms of the 2024 Notes and the 2026 Notes may have important consequences for their holders, including making it more difficult for us to satisfy our obligations with respect to the 2024 Notes and the 2026 Notes or negatively affecting their trading value.</w:t>
      </w:r>
    </w:p>
    <w:p>
      <w:pPr>
        <w:spacing w:after="0" w:line="84" w:lineRule="exact"/>
        <w:rPr>
          <w:sz w:val="20"/>
          <w:szCs w:val="20"/>
          <w:color w:val="auto"/>
        </w:rPr>
      </w:pPr>
    </w:p>
    <w:p>
      <w:pPr>
        <w:jc w:val="both"/>
        <w:ind w:right="120" w:firstLine="438"/>
        <w:spacing w:after="0" w:line="264" w:lineRule="auto"/>
        <w:rPr>
          <w:sz w:val="20"/>
          <w:szCs w:val="20"/>
          <w:color w:val="auto"/>
        </w:rPr>
      </w:pPr>
      <w:r>
        <w:rPr>
          <w:rFonts w:ascii="Arial" w:cs="Arial" w:eastAsia="Arial" w:hAnsi="Arial"/>
          <w:sz w:val="13"/>
          <w:szCs w:val="13"/>
          <w:color w:val="auto"/>
        </w:rPr>
        <w:t>Certain of our current debt instruments include more protections for their respective holders than the indenture and each of the 2024 Notes and the 2026 Notes. In addition, other debt we issue or incur in the future could contain more protections for its holders than the indenture and each of the 2024 Notes and the 2026 Notes, including additional covenants and events of default. The issuance or incurrence of any such debt with incremental protections could affect the market for and trading levels and prices of the 2024 Notes and the 2026 Notes, if any.</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optional redemption provision may materially adversely affect your return on the 2024 Notes and the 2026 Notes.</w:t>
      </w:r>
    </w:p>
    <w:p>
      <w:pPr>
        <w:spacing w:after="0" w:line="123" w:lineRule="exact"/>
        <w:rPr>
          <w:sz w:val="20"/>
          <w:szCs w:val="20"/>
          <w:color w:val="auto"/>
        </w:rPr>
      </w:pPr>
    </w:p>
    <w:p>
      <w:pPr>
        <w:jc w:val="both"/>
        <w:ind w:right="40" w:firstLine="438"/>
        <w:spacing w:after="0" w:line="264" w:lineRule="auto"/>
        <w:rPr>
          <w:sz w:val="20"/>
          <w:szCs w:val="20"/>
          <w:color w:val="auto"/>
        </w:rPr>
      </w:pPr>
      <w:r>
        <w:rPr>
          <w:rFonts w:ascii="Arial" w:cs="Arial" w:eastAsia="Arial" w:hAnsi="Arial"/>
          <w:sz w:val="13"/>
          <w:szCs w:val="13"/>
          <w:color w:val="auto"/>
        </w:rPr>
        <w:t>The 2024 Notes and 2026 Notes may be redeemable in whole or in part upon certain conditions at any time, or from time to time, at our option on or after October 15, 2021 or February 1, 2026, respectively. We may choose to redeem the 2024 Notes or the 2026 Notes at times when prevailing interest rates are lower than the interest rate paid on the Notes. In this circumstance, you may not be able to reinvest the redemption proceeds in a comparable security at an effective interest rate as high as the 2024 Notes or the 2026 Notes being redeemed.</w:t>
      </w:r>
    </w:p>
    <w:p>
      <w:pPr>
        <w:spacing w:after="0" w:line="101" w:lineRule="exact"/>
        <w:rPr>
          <w:sz w:val="20"/>
          <w:szCs w:val="20"/>
          <w:color w:val="auto"/>
        </w:rPr>
      </w:pPr>
    </w:p>
    <w:p>
      <w:pPr>
        <w:ind w:right="200"/>
        <w:spacing w:after="0" w:line="290" w:lineRule="auto"/>
        <w:rPr>
          <w:sz w:val="20"/>
          <w:szCs w:val="20"/>
          <w:color w:val="auto"/>
        </w:rPr>
      </w:pPr>
      <w:r>
        <w:rPr>
          <w:rFonts w:ascii="Arial" w:cs="Arial" w:eastAsia="Arial" w:hAnsi="Arial"/>
          <w:sz w:val="13"/>
          <w:szCs w:val="13"/>
          <w:b w:val="1"/>
          <w:bCs w:val="1"/>
          <w:i w:val="1"/>
          <w:iCs w:val="1"/>
          <w:color w:val="auto"/>
        </w:rPr>
        <w:t>An active trading market for the 2024 Notes may not develop or be maintained, which could limit their market price or the ability of their respective holders to sell them. If a rating agency assigns the 2024 Notes a non-investment grade rating, they may be subject to greater price volatility than similar securities without such a rating.</w:t>
      </w:r>
    </w:p>
    <w:p>
      <w:pPr>
        <w:spacing w:after="0" w:line="84" w:lineRule="exact"/>
        <w:rPr>
          <w:sz w:val="20"/>
          <w:szCs w:val="20"/>
          <w:color w:val="auto"/>
        </w:rPr>
      </w:pPr>
    </w:p>
    <w:p>
      <w:pPr>
        <w:ind w:right="40" w:firstLine="438"/>
        <w:spacing w:after="0" w:line="228" w:lineRule="auto"/>
        <w:rPr>
          <w:sz w:val="20"/>
          <w:szCs w:val="20"/>
          <w:color w:val="auto"/>
        </w:rPr>
      </w:pPr>
      <w:r>
        <w:rPr>
          <w:rFonts w:ascii="Arial" w:cs="Arial" w:eastAsia="Arial" w:hAnsi="Arial"/>
          <w:sz w:val="14"/>
          <w:szCs w:val="14"/>
          <w:color w:val="auto"/>
        </w:rPr>
        <w:t>Although the 2024 Notes are listed on The Nasdaq Global Select Market under the symbol “PNNTG,” we cannot provide any assurances that an active trading market will develop for the 2024 Notes or that their holders will be able to sell them. The 2024 Notes may trade at a discount from their initial offering price depending on prevailing interest rates, the market for similar securities, our credit ratings, general economic conditions, our financial condition, performance and prospects and other factors. If a rating agency assigns the 2024 Notes a non-investment grade rating, they may be subject to greater price volatility than securities of similar maturity without such a non-investment grade rating. We cannot assure holders of the 2024 Notes that a liquid trading market will develop for them, that holders will be able to sell their 2024 Notes at a particular time or that the price holders receive upon such sale will be favorable. To the extent an active trading market does not develop, the liquidity and trading price for our 2024 Notes may be harmed. Accordingly, holders of the 2024 Notes may be required to bear the financial risk for an indefinite period of time.</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While a trading market developed after issuing the 2026 Notes, we cannot assure you that an active trading market for the 2026 Notes will be maintained.</w:t>
      </w:r>
    </w:p>
    <w:p>
      <w:pPr>
        <w:spacing w:after="0" w:line="96" w:lineRule="exact"/>
        <w:rPr>
          <w:sz w:val="20"/>
          <w:szCs w:val="20"/>
          <w:color w:val="auto"/>
        </w:rPr>
      </w:pPr>
    </w:p>
    <w:p>
      <w:pPr>
        <w:ind w:right="20" w:firstLine="456"/>
        <w:spacing w:after="0" w:line="247" w:lineRule="auto"/>
        <w:rPr>
          <w:sz w:val="20"/>
          <w:szCs w:val="20"/>
          <w:color w:val="auto"/>
        </w:rPr>
      </w:pPr>
      <w:r>
        <w:rPr>
          <w:rFonts w:ascii="Arial" w:cs="Arial" w:eastAsia="Arial" w:hAnsi="Arial"/>
          <w:sz w:val="13"/>
          <w:szCs w:val="13"/>
          <w:color w:val="auto"/>
        </w:rPr>
        <w:t>While a trading market developed after issuing the 2026 Notes, we cannot assure you that an active and liquid market for the 2026 Notes will be maintained. We do not intend to list the 2026 Notes on any securities exchange or for quotation of the 2026 Notes on any automated dealer quotation system. If the 2026 Notes are traded after their initial issuance, they may trade at a discount to their public offering price depending on prevailing interest rates, the market for similar securities, our credit ratings, general economic conditions, including the impact of COVID-19, our financial condition, performance and prospects and other factors. The underwriters may discontinue any market-making in the 2026 Notes at any time at their sole discretion. In addition, any market-making activity will be subject to limits imposed by law. Accordingly, we cannot assure you that a liquid trading market will be maintained for the 2026 Notes, that you will be able to sell your 2026 Notes at a particular time or that the price you receive when you sell will be favorable. To the extent an active trading market is not maintained, the liquidity and trading price for the 2026 Notes may be harmed. Accordingly, you may be required to bear the financial risk of an investment in the Notes for an indefinite period of time</w:t>
      </w:r>
      <w:r>
        <w:rPr>
          <w:rFonts w:ascii="Arial" w:cs="Arial" w:eastAsia="Arial" w:hAnsi="Arial"/>
          <w:sz w:val="13"/>
          <w:szCs w:val="13"/>
          <w:b w:val="1"/>
          <w:bCs w:val="1"/>
          <w:color w:val="auto"/>
        </w:rPr>
        <w: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i w:val="1"/>
          <w:iCs w:val="1"/>
          <w:color w:val="auto"/>
        </w:rPr>
        <w:t>If we default on our obligations to pay our other indebtedness, we may not be able to make payments on the 2024 Notes or the 2026 Notes.</w:t>
      </w:r>
    </w:p>
    <w:p>
      <w:pPr>
        <w:spacing w:after="0" w:line="123" w:lineRule="exact"/>
        <w:rPr>
          <w:sz w:val="20"/>
          <w:szCs w:val="20"/>
          <w:color w:val="auto"/>
        </w:rPr>
      </w:pPr>
    </w:p>
    <w:p>
      <w:pPr>
        <w:ind w:right="20" w:firstLine="438"/>
        <w:spacing w:after="0" w:line="225" w:lineRule="auto"/>
        <w:rPr>
          <w:sz w:val="20"/>
          <w:szCs w:val="20"/>
          <w:color w:val="auto"/>
        </w:rPr>
      </w:pPr>
      <w:r>
        <w:rPr>
          <w:rFonts w:ascii="Arial" w:cs="Arial" w:eastAsia="Arial" w:hAnsi="Arial"/>
          <w:sz w:val="14"/>
          <w:szCs w:val="14"/>
          <w:color w:val="auto"/>
        </w:rPr>
        <w:t>Any default under the agreements governing our indebtedness, including a default under our Credit Facility or under other indebtedness to which we may be a party that is not waived by the required lenders or holders, and the remedies sought by the holders of such indebtedness could make us unable to pay principal, premium, if any, and interest on the 2024 Notes or the 2026 Notes and substantially decrease the market value of such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Credit Facility or other debt we may incur in the future could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under the agreements relating to our Credit Facility or other debt that we may incur in the future to avoid being in default. If we breach our covenants under our Credit Facility or other debt and seek a waiver, we may not be able to obtain a waiver from the required lenders or holders. If this occurs, we would be in default and our lenders or debt holders could exercise their rights as described above, and we could be forced into bankruptcy or liquidation. If we are unable to repay debt, lenders having secured obligations, including the lenders under our Credit Facility, could proceed against the collateral securing the debt. Because our Credit Facility have, and any future debt will likely have, customary cross-default provisions, if the indebtedness thereunder or under any future credit facility is accelerated, we may be unable to repay or finance the amounts due.</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FATCA withholding may apply to payments to certain foreign entities.</w:t>
      </w:r>
    </w:p>
    <w:p>
      <w:pPr>
        <w:spacing w:after="0" w:line="136" w:lineRule="exact"/>
        <w:rPr>
          <w:sz w:val="20"/>
          <w:szCs w:val="20"/>
          <w:color w:val="auto"/>
        </w:rPr>
      </w:pPr>
    </w:p>
    <w:p>
      <w:pPr>
        <w:ind w:right="40" w:firstLine="438"/>
        <w:spacing w:after="0" w:line="228" w:lineRule="auto"/>
        <w:rPr>
          <w:sz w:val="20"/>
          <w:szCs w:val="20"/>
          <w:color w:val="auto"/>
        </w:rPr>
      </w:pPr>
      <w:r>
        <w:rPr>
          <w:rFonts w:ascii="Arial" w:cs="Arial" w:eastAsia="Arial" w:hAnsi="Arial"/>
          <w:sz w:val="14"/>
          <w:szCs w:val="14"/>
          <w:color w:val="auto"/>
        </w:rPr>
        <w:t>Payments made under the 2024 Notes or the 2026 Notes to a foreign financial institution or non-financial foreign entity (including such an institution or entity acting as an intermediary) may be subject to a U.S. withholding tax of 30% under the Foreign Account Tax Compliance Act (commonly known as “FATCA”) provisions of the Code. This U.S. withholding tax may apply to certain payments of interest on the 2024 Notes or the 2026 Notes as well as scheduled payments of principal, early redemption, or sale of the 2024 Notes or the 2026 Notes, unless the foreign financial institution or non-financial foreign entity complies with certain information reporting, withholding, identification, certification and related requirements imposed by FATCA. Depending upon the status of a holder and the status of an intermediary through which any notes are held, the holder could be subject to this 30% U.S. withholding tax in respect of any interest paid on the notes as well as any proceeds from the sale or other disposition of the notes. Holders of the 2024 Notes and the 2026 Notes should consult their own tax advisors regarding FATCA and how it may affect their investment in the notes.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RISK FACTORS</w:t>
      </w:r>
    </w:p>
    <w:p>
      <w:pPr>
        <w:spacing w:after="0" w:line="140" w:lineRule="exact"/>
        <w:rPr>
          <w:sz w:val="20"/>
          <w:szCs w:val="20"/>
          <w:color w:val="auto"/>
        </w:rPr>
      </w:pPr>
    </w:p>
    <w:p>
      <w:pPr>
        <w:ind w:right="40"/>
        <w:spacing w:after="0" w:line="238" w:lineRule="auto"/>
        <w:rPr>
          <w:sz w:val="20"/>
          <w:szCs w:val="20"/>
          <w:color w:val="auto"/>
        </w:rPr>
      </w:pPr>
      <w:r>
        <w:rPr>
          <w:rFonts w:ascii="Arial" w:cs="Arial" w:eastAsia="Arial" w:hAnsi="Arial"/>
          <w:sz w:val="14"/>
          <w:szCs w:val="14"/>
          <w:b w:val="1"/>
          <w:bCs w:val="1"/>
          <w:i w:val="1"/>
          <w:iCs w:val="1"/>
          <w:color w:val="auto"/>
        </w:rPr>
        <w:t>Global capital markets could enter a period of severe disruption and instability due to future recessions, disease pandemics and other serious health events, political instability, geopolitical turmoil and foreign hostilities. These market conditions have historically had and could again have a materially adverse effect on debt and equity capital markets in the United States, which could have a materially negative impact on our business, financial condition and results of operations.</w:t>
      </w:r>
    </w:p>
    <w:p>
      <w:pPr>
        <w:spacing w:after="0" w:line="115" w:lineRule="exact"/>
        <w:rPr>
          <w:sz w:val="20"/>
          <w:szCs w:val="20"/>
          <w:color w:val="auto"/>
        </w:rPr>
      </w:pPr>
    </w:p>
    <w:p>
      <w:pPr>
        <w:ind w:firstLine="456"/>
        <w:spacing w:after="0" w:line="244" w:lineRule="auto"/>
        <w:rPr>
          <w:sz w:val="20"/>
          <w:szCs w:val="20"/>
          <w:color w:val="auto"/>
        </w:rPr>
      </w:pPr>
      <w:r>
        <w:rPr>
          <w:rFonts w:ascii="Arial" w:cs="Arial" w:eastAsia="Arial" w:hAnsi="Arial"/>
          <w:sz w:val="13"/>
          <w:szCs w:val="13"/>
          <w:color w:val="auto"/>
        </w:rPr>
        <w:t>The U.S. and global capital markets have, from time to time, experienced periods of disruption characterized by the freezing of available credit, a lack of liquidity in the debt capital markets, significant losses in the principal value of investments, the re-pricing of credit risk in the broadly syndicated credit market, the failure of major financial institutions and general volatility in the financial markets.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In addition, uncertainty between the United States and other countries with respect to trade policies, treaties and tariffs, among other factors, have caused disruptions in the global markets, including markets in which we participate, and we cannot assure you that these market conditions will not continue or worsen in the future. We may in the future have difficulty accessing debt and equity capital markets, and a severe disruption in the global financial markets, deterioration in credit and financing conditions or uncertainty regarding U.S. government spending and deficit levels or other global economic and political conditions, including future recessions, political instability, geopolitical turmoil and foreign hostilities, and disease, pandemics and other serious health events, could have a material adverse effect on our business, financial condition and results of operations.</w:t>
      </w:r>
    </w:p>
    <w:p>
      <w:pPr>
        <w:spacing w:after="0" w:line="117" w:lineRule="exact"/>
        <w:rPr>
          <w:sz w:val="20"/>
          <w:szCs w:val="20"/>
          <w:color w:val="auto"/>
        </w:rPr>
      </w:pPr>
    </w:p>
    <w:p>
      <w:pPr>
        <w:ind w:right="20" w:firstLine="456"/>
        <w:spacing w:after="0" w:line="245" w:lineRule="auto"/>
        <w:rPr>
          <w:sz w:val="20"/>
          <w:szCs w:val="20"/>
          <w:color w:val="auto"/>
        </w:rPr>
      </w:pPr>
      <w:r>
        <w:rPr>
          <w:rFonts w:ascii="Arial" w:cs="Arial" w:eastAsia="Arial" w:hAnsi="Arial"/>
          <w:sz w:val="13"/>
          <w:szCs w:val="13"/>
          <w:color w:val="auto"/>
        </w:rPr>
        <w:t>In December 2019, COVID-19 was first detected in the city of Wuhan in the Hubei province of China. The spread of COVID-19 resulted in governmental orders imposing travel restrictions and prolonged closures of many corporate offices, retail stores, manufacturing facilities, factories and other common places of public congregation around the world, which materially disrupted the demand for our portfolio companies’ products and services and made it more difficult for our portfolio companies to conduct their businesses. In addition, supply chains worldwide have been, and continue to be, interrupted, slowed, or rendered inoperable as a result of the COVID-19 pandemic and other factors. Governmental mandates to control the outbreak resulted in forced shutdowns of certain of our portfolio companies’ facilities for extended periods. These prolonged disruptions in the business of our portfolio companies, including disruptions in their supply chains, adversely affected their ability to obtain the necessary raw materials or components to make their products and caused a decline in some cases in the demand for their products or services. This required certain of our portfolio companies to furlough or lay off employees, terminate relationships with service providers or otherwise significantly curtail their standard business operations, which has in some cases caused a negative impact on their operating results.</w:t>
      </w:r>
    </w:p>
    <w:p>
      <w:pPr>
        <w:spacing w:after="0" w:line="116" w:lineRule="exact"/>
        <w:rPr>
          <w:sz w:val="20"/>
          <w:szCs w:val="20"/>
          <w:color w:val="auto"/>
        </w:rPr>
      </w:pPr>
    </w:p>
    <w:p>
      <w:pPr>
        <w:ind w:right="60" w:firstLine="456"/>
        <w:spacing w:after="0" w:line="229" w:lineRule="auto"/>
        <w:rPr>
          <w:sz w:val="20"/>
          <w:szCs w:val="20"/>
          <w:color w:val="auto"/>
        </w:rPr>
      </w:pPr>
      <w:r>
        <w:rPr>
          <w:rFonts w:ascii="Arial" w:cs="Arial" w:eastAsia="Arial" w:hAnsi="Arial"/>
          <w:sz w:val="14"/>
          <w:szCs w:val="14"/>
          <w:color w:val="auto"/>
        </w:rPr>
        <w:t>The global impact of the COVID-19 outbreak continues to evolve and could continue to adversely affect our operations and the operations of our portfolio companies. The COVID-19 pandemic has resulted in, among other things, the following: (i) increased draws by borrowers on revolving lines of credit; (ii) increased requests by borrowers for amendments and waivers of their credit agreements to avoid default, increased defaults by such borrowers and/or increased difficulty in obtaining refinancing at the maturity dates of their loans; (iii) volatility and disruption of markets including greater volatility in pricing and spreads, difficulty in valuing loans during periods of increased volatility, and liquidity issues; (iv) reduction in certain interest rates by the U.S. Federal Reserve and other central banks and decreased LIBOR; and (v) in some cases unfavorable economic conditions that would be expected to increase borrowers’ funding costs, limit borrowers’ access to the capital markets or result in a decision by lenders not to extend credit to borrowers. .</w:t>
      </w:r>
    </w:p>
    <w:p>
      <w:pPr>
        <w:spacing w:after="0" w:line="118"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The outbreak has led to a continued adverse impact on economic and market conditions. The full impact on global markets from COVID-19 is difficult to predict, and the degree to which COVID-19 will continue to negatively affect our operating results or the duration of any potential business disruption remains uncertain. The extent to which COVID-19 will continue to affect our business, financial condition, liquidity, our portfolio companies’ results of operations and by extension our operating results will depend on future developments such as the speed and extent of further vaccine distribution and the impact of the Delta variant or other variants that might arise, which are highly uncertain and cannot be predicted, all of which are beyond our control. These future events, while unpredictable, will likely adversely affect our operating results and the operating results of our portfolio companies. As COVID-19 continues to spread, the potential impacts, including a global, regional, or other economic recession, remain uncertain and difficult to assess. To the extent our portfolio companies are adversely impacted by the effects of the COVID-19, it may have a material adverse impact on our future financial condition.</w:t>
      </w:r>
    </w:p>
    <w:p>
      <w:pPr>
        <w:spacing w:after="0" w:line="117" w:lineRule="exact"/>
        <w:rPr>
          <w:sz w:val="20"/>
          <w:szCs w:val="20"/>
          <w:color w:val="auto"/>
        </w:rPr>
      </w:pPr>
    </w:p>
    <w:p>
      <w:pPr>
        <w:ind w:right="100" w:firstLine="456"/>
        <w:spacing w:after="0" w:line="228" w:lineRule="auto"/>
        <w:rPr>
          <w:sz w:val="20"/>
          <w:szCs w:val="20"/>
          <w:color w:val="auto"/>
        </w:rPr>
      </w:pPr>
      <w:r>
        <w:rPr>
          <w:rFonts w:ascii="Arial" w:cs="Arial" w:eastAsia="Arial" w:hAnsi="Arial"/>
          <w:sz w:val="14"/>
          <w:szCs w:val="14"/>
          <w:color w:val="auto"/>
        </w:rPr>
        <w:t>In addition, on January 31, 2020, the United Kingdom withdrew from the European Union (“Brexit”), entering into a negotiated transition period during which the United Kingdom remains in the European Union single market and customs union and remains subject to European Union laws and regulations. The transition period is scheduled to end at midnight (CET) on December 31, 2020. During the transition period, the parties are to negotiate agreements addressing a range of aspects of the future relationship, foremost among them a free trade agreement. It remains unclear which aspects of the future relationship between the United Kingdom and the European Union will, in fact, be agreed by the deadline, or whether certain aspects (for example, trade in goods, but not services) will be addressed and others deferred, or alternatively whether the parties will fail to reach agreement in time on fundamental trade matters, causing the United Kingdom to default to World Trade Organization rules. The United Kingdom and the European Union are therefore in a period of legal, regulatory and political uncertainty. As a consequence of continued uncertainty surrounding Brexit,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5" w:name="page36"/>
    <w:bookmarkEnd w:id="35"/>
    <w:p>
      <w:pPr>
        <w:ind w:right="40"/>
        <w:spacing w:after="0" w:line="228" w:lineRule="auto"/>
        <w:rPr>
          <w:sz w:val="20"/>
          <w:szCs w:val="20"/>
          <w:color w:val="auto"/>
        </w:rPr>
      </w:pPr>
      <w:r>
        <w:rPr>
          <w:rFonts w:ascii="Arial" w:cs="Arial" w:eastAsia="Arial" w:hAnsi="Arial"/>
          <w:sz w:val="14"/>
          <w:szCs w:val="14"/>
          <w:color w:val="auto"/>
        </w:rPr>
        <w:t>financial markets have experienced high levels of volatility. While such uncertainty most directly affects the United Kingdom and the European Union, global markets have suffered immediate and significant disruption. It is likely that, in the near term, uncertainty over Brexit will continue to bring about higher levels of uncertainty and volatility. During this period of uncertainty, the negative impact on not only the United Kingdom and European economies, but also the broader global economy, could be significant. This would potentially result in increased market and currency volatility (including volatility of the value of the British pound sterling relative to the U.S. dollar and other currencies and volatility in global currency markets generally), and illiquidity and lower economic growth for companies that rely significantly on Europe for their business activities and revenues. Once there is clarity, however, the outcomes following the transition period are likely to affect, among others, trade in goods and services (including the regime that will replace the existing passporting regimes for financial and other services); immigration rules and the ability to move employees across borders; legal and regulatory regimes; and market access rules.</w:t>
      </w:r>
    </w:p>
    <w:p>
      <w:pPr>
        <w:spacing w:after="0" w:line="117" w:lineRule="exact"/>
        <w:rPr>
          <w:sz w:val="20"/>
          <w:szCs w:val="20"/>
          <w:color w:val="auto"/>
        </w:rPr>
      </w:pPr>
    </w:p>
    <w:p>
      <w:pPr>
        <w:ind w:right="20" w:firstLine="456"/>
        <w:spacing w:after="0" w:line="229" w:lineRule="auto"/>
        <w:rPr>
          <w:sz w:val="20"/>
          <w:szCs w:val="20"/>
          <w:color w:val="auto"/>
        </w:rPr>
      </w:pPr>
      <w:r>
        <w:rPr>
          <w:rFonts w:ascii="Arial" w:cs="Arial" w:eastAsia="Arial" w:hAnsi="Arial"/>
          <w:sz w:val="14"/>
          <w:szCs w:val="14"/>
          <w:color w:val="auto"/>
        </w:rPr>
        <w:t>Additional risks associated with the outcome of Brexit include macroeconomic risk to the United Kingdom and European economies, impetus for further disintegration of the European Union and related political stresses (including those related to sentiment against cross border capital movements and activities of investors like us), prejudice to financial services business that are conducting business in the European Union and which are based in the United Kingdom, legal uncertainty regarding achievement of compliance with applicable financial and commercial laws and regulations in view of the expected steps to be taken pursuant to the United Kingdom’s exit from the European Union or in contemplation of negotiations undertaken under Article 218 of the Treaty on the Functioning of the European Union, and the unavailability of timely information as to expected legal, tax and other regimes. We will continue to monitor the potential impact of Brexit on our results of operations and financial condition.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COVID-19 pandemic resulted in a period of capital markets disruption and economic uncertainty.</w:t>
      </w:r>
    </w:p>
    <w:p>
      <w:pPr>
        <w:spacing w:after="0" w:line="136" w:lineRule="exact"/>
        <w:rPr>
          <w:sz w:val="20"/>
          <w:szCs w:val="20"/>
          <w:color w:val="auto"/>
        </w:rPr>
      </w:pPr>
    </w:p>
    <w:p>
      <w:pPr>
        <w:ind w:right="20" w:firstLine="456"/>
        <w:spacing w:after="0" w:line="247" w:lineRule="auto"/>
        <w:rPr>
          <w:sz w:val="20"/>
          <w:szCs w:val="20"/>
          <w:color w:val="auto"/>
        </w:rPr>
      </w:pPr>
      <w:r>
        <w:rPr>
          <w:rFonts w:ascii="Arial" w:cs="Arial" w:eastAsia="Arial" w:hAnsi="Arial"/>
          <w:sz w:val="13"/>
          <w:szCs w:val="13"/>
          <w:color w:val="auto"/>
        </w:rPr>
        <w:t>The U.S. capital markets experienced extreme volatility and disruption following the global outbreak of COVID-19. Some economists and major investment banks have expressed concern that the continued spread of the virus globally could lead to a prolonged period of world-wide economic downturn. Disruptions in the capital markets have in the past increased the spread between the yields realized on risk-free and higher risk securities, resulting in illiquidity in parts of the capital markets. Such disruptions adversely affected our business, financial condition, results of operations and cash flows, and future market disruptions and/or illiquidity may again negatively impact us. Such unfavorable economic conditions could also increase our funding costs and limit our access to the capital markets, and may result in a decision by lenders not to extend credit to us in the future. These events could limit our investment originations, limit our ability to grow and negatively impact our operating results and the fair values of our debt and equity investments. As such, we could also face an increased risk of investor, creditor or portfolio company disputes, litigation and governmental and regulatory scrutiny as a result of the effects of COVID-19 on economic and market conditions.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Volatility or a prolonged disruption in the credit markets could materially damage our business.</w:t>
      </w:r>
    </w:p>
    <w:p>
      <w:pPr>
        <w:spacing w:after="0" w:line="123" w:lineRule="exact"/>
        <w:rPr>
          <w:sz w:val="20"/>
          <w:szCs w:val="20"/>
          <w:color w:val="auto"/>
        </w:rPr>
      </w:pPr>
    </w:p>
    <w:p>
      <w:pPr>
        <w:ind w:firstLine="438"/>
        <w:spacing w:after="0" w:line="245" w:lineRule="auto"/>
        <w:rPr>
          <w:sz w:val="20"/>
          <w:szCs w:val="20"/>
          <w:color w:val="auto"/>
        </w:rPr>
      </w:pPr>
      <w:r>
        <w:rPr>
          <w:rFonts w:ascii="Arial" w:cs="Arial" w:eastAsia="Arial" w:hAnsi="Arial"/>
          <w:sz w:val="13"/>
          <w:szCs w:val="13"/>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equity and debt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ratio requirements for a BDC, as defined under the 1940 Act, exclusive of the SBA debentures pursuant to our SEC exemptive relief. Declining portfolio values negatively impact our ability to borrow additional funds under our Credit Facility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lengthy disruption in the credit markets could also materially decrease demand for our investments and could materially damage our business, financial condition and results of operations.</w:t>
      </w:r>
    </w:p>
    <w:p>
      <w:pPr>
        <w:spacing w:after="0" w:line="116" w:lineRule="exact"/>
        <w:rPr>
          <w:sz w:val="20"/>
          <w:szCs w:val="20"/>
          <w:color w:val="auto"/>
        </w:rPr>
      </w:pPr>
    </w:p>
    <w:p>
      <w:pPr>
        <w:ind w:right="20" w:firstLine="438"/>
        <w:spacing w:after="0" w:line="228" w:lineRule="auto"/>
        <w:rPr>
          <w:sz w:val="20"/>
          <w:szCs w:val="20"/>
          <w:color w:val="auto"/>
        </w:rPr>
      </w:pPr>
      <w:r>
        <w:rPr>
          <w:rFonts w:ascii="Arial" w:cs="Arial" w:eastAsia="Arial" w:hAnsi="Arial"/>
          <w:sz w:val="14"/>
          <w:szCs w:val="14"/>
          <w:color w:val="auto"/>
        </w:rPr>
        <w:t>The significant disruptions in the capital markets experienced in the past has had, and may in the future have, a negative effect on the valuations of our investments and on the potential for liquidity events involving our 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investments we originate and could have a material adverse impact on our business, financial condition and results of operations. This may also increase the probability that other structural risks negatively impact us. These situations may arise due to circumstances that we may be unable to control, such as a lengthy disruption in the credit markets, a severe decline in the value of the U.S. dollar, a sharp economic downturn or recession or an operational problem that affects third parties or us, and could materially damage our business, financial condition and results of operations.</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b w:val="1"/>
          <w:bCs w:val="1"/>
          <w:i w:val="1"/>
          <w:iCs w:val="1"/>
          <w:color w:val="auto"/>
        </w:rPr>
        <w:t>Any public health emergency, including the COVID-19 pandemic or any outbreak of other existing or new diseases, and the resulting financial and economic market uncertainty could have a significant adverse impact on us.</w:t>
      </w:r>
    </w:p>
    <w:p>
      <w:pPr>
        <w:spacing w:after="0" w:line="106" w:lineRule="exact"/>
        <w:rPr>
          <w:sz w:val="20"/>
          <w:szCs w:val="20"/>
          <w:color w:val="auto"/>
        </w:rPr>
      </w:pPr>
    </w:p>
    <w:p>
      <w:pPr>
        <w:ind w:right="20" w:firstLine="456"/>
        <w:spacing w:after="0" w:line="226" w:lineRule="auto"/>
        <w:rPr>
          <w:sz w:val="20"/>
          <w:szCs w:val="20"/>
          <w:color w:val="auto"/>
        </w:rPr>
      </w:pPr>
      <w:r>
        <w:rPr>
          <w:rFonts w:ascii="Arial" w:cs="Arial" w:eastAsia="Arial" w:hAnsi="Arial"/>
          <w:sz w:val="14"/>
          <w:szCs w:val="14"/>
          <w:color w:val="auto"/>
        </w:rPr>
        <w:t>The extent of the impact of any public health emergency, including the COVID-19 pandemic, on our and our portfolio companies’ operational and financial performance will depend on many factors, including the duration and scope of such public health emergency, the actions taken by governmental authorities to contain its financial and economic impact, the extent of any related travel advisories and restrictions implemented, the impact of such public health emergency on overall supply and demand, investor liquidity and levels of economic activity and the extent of its disruption to important global, regional and local supply chains and economic markets, all of which are highly uncertain and cannot be predicted. In addition, our and our portfolio companies’ operations may be significantly impacted, or halted, as a result of government quarantine measures, restrictions on travel and other factors related to a public health emergency, including its potential adverse impact on the health of any of our or our portfolio companies’ personnel. This could create widespread business continuity issues for us and our portfolio companies. These factors may also cause the valuation of our investments to differ materially from the values that we may ultimately realize. Any public health emergency, including the COVID-19 pandemic or any outbreak of other existing or new epidemic diseases, or the threat thereof, and the resulting financial and economic market uncertainty could have a significant adverse impact on us and the fair value of our investments and our portfolio companies.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Economic sanction laws in the United States and other jurisdictions may prohibit us and our affiliates from transacting with certain countries, individuals and companies.</w:t>
      </w:r>
    </w:p>
    <w:p>
      <w:pPr>
        <w:spacing w:after="0" w:line="134"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Economic sanction laws in the United States and other jurisdictions may prohibit us or our affiliates from transacting with certain countries, individuals and companies. In the United States, the U.S. Department of the Treasury’s Office of Foreign Assets Control administers and enforces laws, executive orders and regulations establishing U.S. economic and trade sanctions, which prohibit, among other things, transactions with, and the provision of services to, certain non-U.S. countries, territories, entities and individuals. These types of sanctions may significantly restrict or completely prohibit investment activities in certain jurisdictions, and if we, our portfolio companies or other issuers in which we invest were to violate any such laws or regulations, we may face significant legal and monetary penalties.</w:t>
      </w:r>
    </w:p>
    <w:p>
      <w:pPr>
        <w:spacing w:after="0" w:line="116" w:lineRule="exact"/>
        <w:rPr>
          <w:sz w:val="20"/>
          <w:szCs w:val="20"/>
          <w:color w:val="auto"/>
        </w:rPr>
      </w:pPr>
    </w:p>
    <w:p>
      <w:pPr>
        <w:ind w:right="60" w:firstLine="438"/>
        <w:spacing w:after="0" w:line="229" w:lineRule="auto"/>
        <w:rPr>
          <w:sz w:val="20"/>
          <w:szCs w:val="20"/>
          <w:color w:val="auto"/>
        </w:rPr>
      </w:pPr>
      <w:r>
        <w:rPr>
          <w:rFonts w:ascii="Arial" w:cs="Arial" w:eastAsia="Arial" w:hAnsi="Arial"/>
          <w:sz w:val="14"/>
          <w:szCs w:val="14"/>
          <w:color w:val="auto"/>
        </w:rPr>
        <w:t>The Foreign Corrupt Practices Act, or FCPA, and other anti-corruption laws and regulations, as well as anti-boycott regulations, may also apply to and restrict our activities, our portfolio companies and other issuers of our investments. If an issuer or we were to violate any such laws or regulations, such issuer or we may face significant legal and monetary penalties. The U.S. government has indicated that it is particularly focused on FCPA enforcement, which may increase the risk that an issuer or us becomes the subject of such actual or threatened enforcement. In addition, certain commentators have suggested that private investment firms and the funds that they manage may face increased scrutiny and/or liability with respect to the activities of their underlying portfolio companies. As such, a violation of the FCPA or other applicable regulations by us or an issuer of our portfolio investments could have a material adverse effect on us. We are committed to complying with the FCPA and other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6" w:name="page37"/>
    <w:bookmarkEnd w:id="36"/>
    <w:p>
      <w:pPr>
        <w:ind w:right="160"/>
        <w:spacing w:after="0" w:line="253" w:lineRule="auto"/>
        <w:rPr>
          <w:sz w:val="20"/>
          <w:szCs w:val="20"/>
          <w:color w:val="auto"/>
        </w:rPr>
      </w:pPr>
      <w:r>
        <w:rPr>
          <w:rFonts w:ascii="Arial" w:cs="Arial" w:eastAsia="Arial" w:hAnsi="Arial"/>
          <w:sz w:val="14"/>
          <w:szCs w:val="14"/>
          <w:color w:val="auto"/>
        </w:rPr>
        <w:t>anti-corruption laws and regulations, as well as anti-boycott regulations, to which it is subject. As a result, we may be adversely affected because of our unwillingness to enter into transactions that violate any such laws or regulations.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the target of litigation.</w:t>
      </w:r>
    </w:p>
    <w:p>
      <w:pPr>
        <w:spacing w:after="0" w:line="136" w:lineRule="exact"/>
        <w:rPr>
          <w:sz w:val="20"/>
          <w:szCs w:val="20"/>
          <w:color w:val="auto"/>
        </w:rPr>
      </w:pPr>
    </w:p>
    <w:p>
      <w:pPr>
        <w:ind w:right="120" w:firstLine="438"/>
        <w:spacing w:after="0" w:line="238" w:lineRule="auto"/>
        <w:rPr>
          <w:sz w:val="20"/>
          <w:szCs w:val="20"/>
          <w:color w:val="auto"/>
        </w:rPr>
      </w:pPr>
      <w:r>
        <w:rPr>
          <w:rFonts w:ascii="Arial" w:cs="Arial" w:eastAsia="Arial" w:hAnsi="Arial"/>
          <w:sz w:val="14"/>
          <w:szCs w:val="14"/>
          <w:color w:val="auto"/>
        </w:rPr>
        <w:t>We may be the target of securities litigation in the future, particularly if the trading price of our common stock, our 2024 Notes or our 2026 Notes fluctuates significantly. We could also generally be subject to litigation, including derivative actions by our stockholders. Any litigation could result in substantial costs and divert management’s attention and resources from our business and cause a material adverse effect on our business, financial condition and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effect of global climate change may impact the operations of our portfolio companies.</w:t>
      </w:r>
    </w:p>
    <w:p>
      <w:pPr>
        <w:spacing w:after="0" w:line="123"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for example, decreased revenues. Extreme weather conditions in general require more system backup, adding to costs, and can contribute to increased system stresses, including service interruptions.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Legislative or regulatory tax changes could adversely affect investors.</w:t>
      </w:r>
    </w:p>
    <w:p>
      <w:pPr>
        <w:spacing w:after="0" w:line="136" w:lineRule="exact"/>
        <w:rPr>
          <w:sz w:val="20"/>
          <w:szCs w:val="20"/>
          <w:color w:val="auto"/>
        </w:rPr>
      </w:pPr>
    </w:p>
    <w:p>
      <w:pPr>
        <w:ind w:right="1240" w:firstLine="456"/>
        <w:spacing w:after="0" w:line="251" w:lineRule="auto"/>
        <w:rPr>
          <w:sz w:val="20"/>
          <w:szCs w:val="20"/>
          <w:color w:val="auto"/>
        </w:rPr>
      </w:pPr>
      <w:r>
        <w:rPr>
          <w:rFonts w:ascii="Arial" w:cs="Arial" w:eastAsia="Arial" w:hAnsi="Arial"/>
          <w:sz w:val="13"/>
          <w:szCs w:val="13"/>
          <w:color w:val="auto"/>
        </w:rPr>
        <w:t>At any time, the federal income tax laws governing RICs or the administrative interpretations of those laws or regulations may be amended. The Biden Administration has announced a number of tax law proposals, including American Families Plan and Made in America Tax Plan, which include increases in the corporate and individual tax rates, and impose a minimum tax on book income and profits of certain multinational corporations. Any new laws, regulations or interpretations may take effect retroactively and could adversely affect the taxation of us or our shareholders. Therefore, changes in tax laws, regulations or administrative interpretations or any amendments thereto could diminish the value of an investment in our shares or the value or the resale potential of our investments.</w:t>
      </w:r>
    </w:p>
    <w:p>
      <w:pPr>
        <w:spacing w:after="0" w:line="105" w:lineRule="exact"/>
        <w:rPr>
          <w:sz w:val="20"/>
          <w:szCs w:val="20"/>
          <w:color w:val="auto"/>
        </w:rPr>
      </w:pPr>
    </w:p>
    <w:p>
      <w:pPr>
        <w:spacing w:after="0"/>
        <w:tabs>
          <w:tab w:leader="none" w:pos="1160" w:val="left"/>
        </w:tabs>
        <w:rPr>
          <w:sz w:val="20"/>
          <w:szCs w:val="20"/>
          <w:color w:val="auto"/>
        </w:rPr>
      </w:pPr>
      <w:r>
        <w:rPr>
          <w:rFonts w:ascii="Arial" w:cs="Arial" w:eastAsia="Arial" w:hAnsi="Arial"/>
          <w:sz w:val="14"/>
          <w:szCs w:val="14"/>
          <w:b w:val="1"/>
          <w:bCs w:val="1"/>
          <w:color w:val="auto"/>
        </w:rPr>
        <w:t>Item 1B.</w:t>
      </w:r>
      <w:r>
        <w:rPr>
          <w:sz w:val="20"/>
          <w:szCs w:val="20"/>
          <w:color w:val="auto"/>
        </w:rPr>
        <w:tab/>
      </w:r>
      <w:r>
        <w:rPr>
          <w:rFonts w:ascii="Arial" w:cs="Arial" w:eastAsia="Arial" w:hAnsi="Arial"/>
          <w:sz w:val="12"/>
          <w:szCs w:val="12"/>
          <w:b w:val="1"/>
          <w:bCs w:val="1"/>
          <w:color w:val="auto"/>
        </w:rPr>
        <w:t>Unresolved Staff Comments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19"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Properties</w:t>
      </w:r>
    </w:p>
    <w:p>
      <w:pPr>
        <w:spacing w:after="0" w:line="140"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As of September 30, 2021, we did not own any real estate or other physical properties materially important to our operation. We believe that the office facilities of the Investment Adviser and Administrator are suitable and adequate for our business as it is contemplated to be conducted.</w:t>
      </w:r>
    </w:p>
    <w:p>
      <w:pPr>
        <w:spacing w:after="0" w:line="102"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Legal Proceedings</w:t>
      </w:r>
    </w:p>
    <w:p>
      <w:pPr>
        <w:spacing w:after="0" w:line="127"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13"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Not applicable.</w:t>
      </w: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283" w:right="399" w:bottom="1440" w:gutter="0" w:footer="0" w:header="0"/>
        </w:sectPr>
      </w:pPr>
    </w:p>
    <w:bookmarkStart w:id="37" w:name="page38"/>
    <w:bookmarkEnd w:id="37"/>
    <w:p>
      <w:pPr>
        <w:jc w:val="center"/>
        <w:spacing w:after="0"/>
        <w:rPr>
          <w:sz w:val="20"/>
          <w:szCs w:val="20"/>
          <w:color w:val="auto"/>
        </w:rPr>
      </w:pPr>
      <w:r>
        <w:rPr>
          <w:rFonts w:ascii="Arial" w:cs="Arial" w:eastAsia="Arial" w:hAnsi="Arial"/>
          <w:sz w:val="14"/>
          <w:szCs w:val="14"/>
          <w:b w:val="1"/>
          <w:bCs w:val="1"/>
          <w:color w:val="auto"/>
        </w:rPr>
        <w:t>PART II</w:t>
      </w:r>
    </w:p>
    <w:p>
      <w:pPr>
        <w:spacing w:after="0" w:line="136"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Market for Registrant’s Common Equity, Related Stockholder Matters and Issuer Purchases of Equity Securities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PRICE RANGE OF COMMON STOCK</w:t>
      </w:r>
    </w:p>
    <w:p>
      <w:pPr>
        <w:spacing w:after="0" w:line="275" w:lineRule="exact"/>
        <w:rPr>
          <w:sz w:val="20"/>
          <w:szCs w:val="20"/>
          <w:color w:val="auto"/>
        </w:rPr>
      </w:pPr>
    </w:p>
    <w:p>
      <w:pPr>
        <w:ind w:right="220" w:firstLine="438"/>
        <w:spacing w:after="0" w:line="238" w:lineRule="auto"/>
        <w:rPr>
          <w:sz w:val="20"/>
          <w:szCs w:val="20"/>
          <w:color w:val="auto"/>
        </w:rPr>
      </w:pPr>
      <w:r>
        <w:rPr>
          <w:rFonts w:ascii="Arial" w:cs="Arial" w:eastAsia="Arial" w:hAnsi="Arial"/>
          <w:sz w:val="14"/>
          <w:szCs w:val="14"/>
          <w:color w:val="auto"/>
        </w:rPr>
        <w:t>Our common stock is traded on The Nasdaq Global Select Market under the symbol “PNNT.” The following table lists the high and low closing sale prices for our common stock, the closing sale prices as a premium or (discount) to our NAV per share and distributions per share on The Nasdaq Global Select Market for each full quarterly period within the fiscal years ended September 30, 2021 and 2020.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Premium /</w:t>
            </w: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Premium /</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gridSpan w:val="4"/>
            <w:vMerge w:val="restart"/>
          </w:tcPr>
          <w:p>
            <w:pPr>
              <w:jc w:val="right"/>
              <w:ind w:right="568"/>
              <w:spacing w:after="0"/>
              <w:rPr>
                <w:sz w:val="20"/>
                <w:szCs w:val="20"/>
                <w:color w:val="auto"/>
              </w:rPr>
            </w:pPr>
            <w:r>
              <w:rPr>
                <w:rFonts w:ascii="Arial" w:cs="Arial" w:eastAsia="Arial" w:hAnsi="Arial"/>
                <w:sz w:val="14"/>
                <w:szCs w:val="14"/>
                <w:b w:val="1"/>
                <w:bCs w:val="1"/>
                <w:color w:val="auto"/>
              </w:rPr>
              <w:t>Closing Sale Prices</w:t>
            </w:r>
          </w:p>
        </w:tc>
        <w:tc>
          <w:tcPr>
            <w:tcW w:w="240" w:type="dxa"/>
            <w:vAlign w:val="bottom"/>
            <w:vMerge w:val="restart"/>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(Discount)</w:t>
            </w: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(Discount)</w:t>
            </w: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Distributions</w:t>
            </w: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of High Sale</w:t>
            </w: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of Low Sale</w:t>
            </w: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140" w:type="dxa"/>
            <w:vAlign w:val="bottom"/>
          </w:tcPr>
          <w:p>
            <w:pPr>
              <w:spacing w:after="0"/>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b w:val="1"/>
                <w:bCs w:val="1"/>
                <w:color w:val="auto"/>
              </w:rPr>
              <w:t xml:space="preserve">NAV </w:t>
            </w:r>
            <w:r>
              <w:rPr>
                <w:rFonts w:ascii="Arial" w:cs="Arial" w:eastAsia="Arial" w:hAnsi="Arial"/>
                <w:sz w:val="12"/>
                <w:szCs w:val="12"/>
                <w:b w:val="1"/>
                <w:bCs w:val="1"/>
                <w:color w:val="auto"/>
              </w:rPr>
              <w:t>(1)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Low</w:t>
            </w: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 xml:space="preserve">Price to NAV </w:t>
            </w:r>
            <w:r>
              <w:rPr>
                <w:rFonts w:ascii="Arial" w:cs="Arial" w:eastAsia="Arial" w:hAnsi="Arial"/>
                <w:sz w:val="12"/>
                <w:szCs w:val="12"/>
                <w:b w:val="1"/>
                <w:bCs w:val="1"/>
                <w:color w:val="auto"/>
                <w:w w:val="94"/>
              </w:rPr>
              <w:t>(2)</w:t>
            </w: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 xml:space="preserve">Price to NAV </w:t>
            </w:r>
            <w:r>
              <w:rPr>
                <w:rFonts w:ascii="Arial" w:cs="Arial" w:eastAsia="Arial" w:hAnsi="Arial"/>
                <w:sz w:val="12"/>
                <w:szCs w:val="12"/>
                <w:b w:val="1"/>
                <w:bCs w:val="1"/>
                <w:color w:val="auto"/>
                <w:w w:val="94"/>
              </w:rPr>
              <w:t>(2)</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Declared</w:t>
            </w:r>
          </w:p>
        </w:tc>
        <w:tc>
          <w:tcPr>
            <w:tcW w:w="0" w:type="dxa"/>
            <w:vAlign w:val="bottom"/>
          </w:tcPr>
          <w:p>
            <w:pPr>
              <w:spacing w:after="0"/>
              <w:rPr>
                <w:sz w:val="1"/>
                <w:szCs w:val="1"/>
                <w:color w:val="auto"/>
              </w:rPr>
            </w:pPr>
          </w:p>
        </w:tc>
      </w:tr>
      <w:tr>
        <w:trPr>
          <w:trHeight w:val="155"/>
        </w:trPr>
        <w:tc>
          <w:tcPr>
            <w:tcW w:w="314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Year Ended September 30, 2021</w:t>
            </w:r>
          </w:p>
        </w:tc>
        <w:tc>
          <w:tcPr>
            <w:tcW w:w="12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92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86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860" w:type="dxa"/>
            <w:vAlign w:val="bottom"/>
            <w:tcBorders>
              <w:top w:val="single" w:sz="8" w:color="auto"/>
            </w:tcBorders>
            <w:shd w:val="clear" w:color="auto" w:fill="CCECFF"/>
          </w:tcPr>
          <w:p>
            <w:pPr>
              <w:spacing w:after="0"/>
              <w:rPr>
                <w:sz w:val="13"/>
                <w:szCs w:val="13"/>
                <w:color w:val="auto"/>
              </w:rPr>
            </w:pPr>
          </w:p>
        </w:tc>
        <w:tc>
          <w:tcPr>
            <w:tcW w:w="240" w:type="dxa"/>
            <w:vAlign w:val="bottom"/>
            <w:tcBorders>
              <w:top w:val="single" w:sz="8" w:color="CCECFF"/>
            </w:tcBorders>
            <w:shd w:val="clear" w:color="auto" w:fill="CCECFF"/>
          </w:tcPr>
          <w:p>
            <w:pPr>
              <w:spacing w:after="0"/>
              <w:rPr>
                <w:sz w:val="13"/>
                <w:szCs w:val="13"/>
                <w:color w:val="auto"/>
              </w:rPr>
            </w:pPr>
          </w:p>
        </w:tc>
        <w:tc>
          <w:tcPr>
            <w:tcW w:w="1080" w:type="dxa"/>
            <w:vAlign w:val="bottom"/>
            <w:tcBorders>
              <w:top w:val="single" w:sz="8" w:color="auto"/>
            </w:tcBorders>
            <w:shd w:val="clear" w:color="auto" w:fill="CCECFF"/>
          </w:tcPr>
          <w:p>
            <w:pPr>
              <w:spacing w:after="0"/>
              <w:rPr>
                <w:sz w:val="13"/>
                <w:szCs w:val="13"/>
                <w:color w:val="auto"/>
              </w:rPr>
            </w:pPr>
          </w:p>
        </w:tc>
        <w:tc>
          <w:tcPr>
            <w:tcW w:w="320" w:type="dxa"/>
            <w:vAlign w:val="bottom"/>
            <w:tcBorders>
              <w:top w:val="single" w:sz="8" w:color="CCECFF"/>
            </w:tcBorders>
            <w:shd w:val="clear" w:color="auto" w:fill="CCECFF"/>
          </w:tcPr>
          <w:p>
            <w:pPr>
              <w:spacing w:after="0"/>
              <w:rPr>
                <w:sz w:val="13"/>
                <w:szCs w:val="13"/>
                <w:color w:val="auto"/>
              </w:rPr>
            </w:pPr>
          </w:p>
        </w:tc>
        <w:tc>
          <w:tcPr>
            <w:tcW w:w="1080" w:type="dxa"/>
            <w:vAlign w:val="bottom"/>
            <w:tcBorders>
              <w:top w:val="single" w:sz="8" w:color="auto"/>
            </w:tcBorders>
            <w:shd w:val="clear" w:color="auto" w:fill="CCECFF"/>
          </w:tcPr>
          <w:p>
            <w:pPr>
              <w:spacing w:after="0"/>
              <w:rPr>
                <w:sz w:val="13"/>
                <w:szCs w:val="13"/>
                <w:color w:val="auto"/>
              </w:rPr>
            </w:pPr>
          </w:p>
        </w:tc>
        <w:tc>
          <w:tcPr>
            <w:tcW w:w="320" w:type="dxa"/>
            <w:vAlign w:val="bottom"/>
            <w:tcBorders>
              <w:top w:val="single" w:sz="8" w:color="CCECFF"/>
            </w:tcBorders>
            <w:shd w:val="clear" w:color="auto" w:fill="CCECFF"/>
          </w:tcPr>
          <w:p>
            <w:pPr>
              <w:spacing w:after="0"/>
              <w:rPr>
                <w:sz w:val="13"/>
                <w:szCs w:val="13"/>
                <w:color w:val="auto"/>
              </w:rPr>
            </w:pPr>
          </w:p>
        </w:tc>
        <w:tc>
          <w:tcPr>
            <w:tcW w:w="110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Arial" w:cs="Arial" w:eastAsia="Arial" w:hAnsi="Arial"/>
                <w:sz w:val="14"/>
                <w:szCs w:val="14"/>
                <w:color w:val="auto"/>
              </w:rPr>
              <w:t>Fourth quarter</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9.85</w:t>
            </w: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6.88</w:t>
            </w: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6.28</w:t>
            </w:r>
          </w:p>
        </w:tc>
        <w:tc>
          <w:tcPr>
            <w:tcW w:w="240" w:type="dxa"/>
            <w:vAlign w:val="bottom"/>
          </w:tcPr>
          <w:p>
            <w:pPr>
              <w:spacing w:after="0"/>
              <w:rPr>
                <w:sz w:val="14"/>
                <w:szCs w:val="14"/>
                <w:color w:val="auto"/>
              </w:rPr>
            </w:pPr>
          </w:p>
        </w:tc>
        <w:tc>
          <w:tcPr>
            <w:tcW w:w="1400" w:type="dxa"/>
            <w:vAlign w:val="bottom"/>
            <w:gridSpan w:val="2"/>
          </w:tcPr>
          <w:p>
            <w:pPr>
              <w:ind w:left="880"/>
              <w:spacing w:after="0"/>
              <w:rPr>
                <w:sz w:val="20"/>
                <w:szCs w:val="20"/>
                <w:color w:val="auto"/>
              </w:rPr>
            </w:pPr>
            <w:r>
              <w:rPr>
                <w:rFonts w:ascii="Arial" w:cs="Arial" w:eastAsia="Arial" w:hAnsi="Arial"/>
                <w:sz w:val="14"/>
                <w:szCs w:val="14"/>
                <w:color w:val="auto"/>
              </w:rPr>
              <w:t>(30)%</w:t>
            </w:r>
          </w:p>
        </w:tc>
        <w:tc>
          <w:tcPr>
            <w:tcW w:w="1400" w:type="dxa"/>
            <w:vAlign w:val="bottom"/>
            <w:gridSpan w:val="2"/>
          </w:tcPr>
          <w:p>
            <w:pPr>
              <w:ind w:left="880"/>
              <w:spacing w:after="0"/>
              <w:rPr>
                <w:sz w:val="20"/>
                <w:szCs w:val="20"/>
                <w:color w:val="auto"/>
              </w:rPr>
            </w:pPr>
            <w:r>
              <w:rPr>
                <w:rFonts w:ascii="Arial" w:cs="Arial" w:eastAsia="Arial" w:hAnsi="Arial"/>
                <w:sz w:val="14"/>
                <w:szCs w:val="14"/>
                <w:color w:val="auto"/>
              </w:rPr>
              <w:t>(36)%</w:t>
            </w:r>
          </w:p>
        </w:tc>
        <w:tc>
          <w:tcPr>
            <w:tcW w:w="1100" w:type="dxa"/>
            <w:vAlign w:val="bottom"/>
          </w:tcPr>
          <w:p>
            <w:pPr>
              <w:jc w:val="right"/>
              <w:spacing w:after="0"/>
              <w:rPr>
                <w:sz w:val="20"/>
                <w:szCs w:val="20"/>
                <w:color w:val="auto"/>
              </w:rPr>
            </w:pPr>
            <w:r>
              <w:rPr>
                <w:rFonts w:ascii="Arial" w:cs="Arial" w:eastAsia="Arial" w:hAnsi="Arial"/>
                <w:sz w:val="14"/>
                <w:szCs w:val="14"/>
                <w:color w:val="auto"/>
              </w:rPr>
              <w:t>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shd w:val="clear" w:color="auto" w:fill="CCECFF"/>
          </w:tcPr>
          <w:p>
            <w:pPr>
              <w:spacing w:after="0"/>
              <w:rPr>
                <w:sz w:val="20"/>
                <w:szCs w:val="20"/>
                <w:color w:val="auto"/>
              </w:rPr>
            </w:pPr>
            <w:r>
              <w:rPr>
                <w:rFonts w:ascii="Arial" w:cs="Arial" w:eastAsia="Arial" w:hAnsi="Arial"/>
                <w:sz w:val="14"/>
                <w:szCs w:val="14"/>
                <w:color w:val="auto"/>
              </w:rPr>
              <w:t>Third quarter</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9.59</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7.37</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5.74</w:t>
            </w:r>
          </w:p>
        </w:tc>
        <w:tc>
          <w:tcPr>
            <w:tcW w:w="24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ind w:left="880"/>
              <w:spacing w:after="0"/>
              <w:rPr>
                <w:sz w:val="20"/>
                <w:szCs w:val="20"/>
                <w:color w:val="auto"/>
              </w:rPr>
            </w:pPr>
            <w:r>
              <w:rPr>
                <w:rFonts w:ascii="Arial" w:cs="Arial" w:eastAsia="Arial" w:hAnsi="Arial"/>
                <w:sz w:val="14"/>
                <w:szCs w:val="14"/>
                <w:color w:val="auto"/>
              </w:rPr>
              <w:t>(23)</w:t>
            </w:r>
          </w:p>
        </w:tc>
        <w:tc>
          <w:tcPr>
            <w:tcW w:w="1400" w:type="dxa"/>
            <w:vAlign w:val="bottom"/>
            <w:gridSpan w:val="2"/>
            <w:shd w:val="clear" w:color="auto" w:fill="CCECFF"/>
          </w:tcPr>
          <w:p>
            <w:pPr>
              <w:ind w:left="880"/>
              <w:spacing w:after="0"/>
              <w:rPr>
                <w:sz w:val="20"/>
                <w:szCs w:val="20"/>
                <w:color w:val="auto"/>
              </w:rPr>
            </w:pPr>
            <w:r>
              <w:rPr>
                <w:rFonts w:ascii="Arial" w:cs="Arial" w:eastAsia="Arial" w:hAnsi="Arial"/>
                <w:sz w:val="14"/>
                <w:szCs w:val="14"/>
                <w:color w:val="auto"/>
              </w:rPr>
              <w:t>(40)</w:t>
            </w: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Arial" w:cs="Arial" w:eastAsia="Arial" w:hAnsi="Arial"/>
                <w:sz w:val="14"/>
                <w:szCs w:val="14"/>
                <w:color w:val="auto"/>
              </w:rPr>
              <w:t>Second quarter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9.24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4.49</w:t>
            </w:r>
          </w:p>
        </w:tc>
        <w:tc>
          <w:tcPr>
            <w:tcW w:w="240" w:type="dxa"/>
            <w:vAlign w:val="bottom"/>
          </w:tcPr>
          <w:p>
            <w:pPr>
              <w:spacing w:after="0"/>
              <w:rPr>
                <w:sz w:val="14"/>
                <w:szCs w:val="14"/>
                <w:color w:val="auto"/>
              </w:rPr>
            </w:pPr>
          </w:p>
        </w:tc>
        <w:tc>
          <w:tcPr>
            <w:tcW w:w="1400" w:type="dxa"/>
            <w:vAlign w:val="bottom"/>
            <w:gridSpan w:val="2"/>
          </w:tcPr>
          <w:p>
            <w:pPr>
              <w:ind w:left="880"/>
              <w:spacing w:after="0"/>
              <w:rPr>
                <w:sz w:val="20"/>
                <w:szCs w:val="20"/>
                <w:color w:val="auto"/>
              </w:rPr>
            </w:pPr>
            <w:r>
              <w:rPr>
                <w:rFonts w:ascii="Arial" w:cs="Arial" w:eastAsia="Arial" w:hAnsi="Arial"/>
                <w:sz w:val="14"/>
                <w:szCs w:val="14"/>
                <w:color w:val="auto"/>
              </w:rPr>
              <w:t>(33)</w:t>
            </w:r>
          </w:p>
        </w:tc>
        <w:tc>
          <w:tcPr>
            <w:tcW w:w="1400" w:type="dxa"/>
            <w:vAlign w:val="bottom"/>
            <w:gridSpan w:val="2"/>
          </w:tcPr>
          <w:p>
            <w:pPr>
              <w:ind w:left="880"/>
              <w:spacing w:after="0"/>
              <w:rPr>
                <w:sz w:val="20"/>
                <w:szCs w:val="20"/>
                <w:color w:val="auto"/>
              </w:rPr>
            </w:pPr>
            <w:r>
              <w:rPr>
                <w:rFonts w:ascii="Arial" w:cs="Arial" w:eastAsia="Arial" w:hAnsi="Arial"/>
                <w:sz w:val="14"/>
                <w:szCs w:val="14"/>
                <w:color w:val="auto"/>
              </w:rPr>
              <w:t>(51)</w:t>
            </w:r>
          </w:p>
        </w:tc>
        <w:tc>
          <w:tcPr>
            <w:tcW w:w="1100" w:type="dxa"/>
            <w:vAlign w:val="bottom"/>
          </w:tcPr>
          <w:p>
            <w:pPr>
              <w:jc w:val="right"/>
              <w:spacing w:after="0"/>
              <w:rPr>
                <w:sz w:val="20"/>
                <w:szCs w:val="20"/>
                <w:color w:val="auto"/>
              </w:rPr>
            </w:pPr>
            <w:r>
              <w:rPr>
                <w:rFonts w:ascii="Arial" w:cs="Arial" w:eastAsia="Arial" w:hAnsi="Arial"/>
                <w:sz w:val="14"/>
                <w:szCs w:val="14"/>
                <w:color w:val="auto"/>
              </w:rPr>
              <w:t>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shd w:val="clear" w:color="auto" w:fill="CCECFF"/>
          </w:tcPr>
          <w:p>
            <w:pPr>
              <w:spacing w:after="0"/>
              <w:rPr>
                <w:sz w:val="20"/>
                <w:szCs w:val="20"/>
                <w:color w:val="auto"/>
              </w:rPr>
            </w:pPr>
            <w:r>
              <w:rPr>
                <w:rFonts w:ascii="Arial" w:cs="Arial" w:eastAsia="Arial" w:hAnsi="Arial"/>
                <w:sz w:val="14"/>
                <w:szCs w:val="14"/>
                <w:color w:val="auto"/>
              </w:rPr>
              <w:t>First quarter</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8.78</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4.62</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2.85</w:t>
            </w:r>
          </w:p>
        </w:tc>
        <w:tc>
          <w:tcPr>
            <w:tcW w:w="24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ind w:left="880"/>
              <w:spacing w:after="0"/>
              <w:rPr>
                <w:sz w:val="20"/>
                <w:szCs w:val="20"/>
                <w:color w:val="auto"/>
              </w:rPr>
            </w:pPr>
            <w:r>
              <w:rPr>
                <w:rFonts w:ascii="Arial" w:cs="Arial" w:eastAsia="Arial" w:hAnsi="Arial"/>
                <w:sz w:val="14"/>
                <w:szCs w:val="14"/>
                <w:color w:val="auto"/>
              </w:rPr>
              <w:t>(47)</w:t>
            </w:r>
          </w:p>
        </w:tc>
        <w:tc>
          <w:tcPr>
            <w:tcW w:w="1400" w:type="dxa"/>
            <w:vAlign w:val="bottom"/>
            <w:gridSpan w:val="2"/>
            <w:shd w:val="clear" w:color="auto" w:fill="CCECFF"/>
          </w:tcPr>
          <w:p>
            <w:pPr>
              <w:ind w:left="880"/>
              <w:spacing w:after="0"/>
              <w:rPr>
                <w:sz w:val="20"/>
                <w:szCs w:val="20"/>
                <w:color w:val="auto"/>
              </w:rPr>
            </w:pPr>
            <w:r>
              <w:rPr>
                <w:rFonts w:ascii="Arial" w:cs="Arial" w:eastAsia="Arial" w:hAnsi="Arial"/>
                <w:sz w:val="14"/>
                <w:szCs w:val="14"/>
                <w:color w:val="auto"/>
              </w:rPr>
              <w:t>(68)</w:t>
            </w: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Arial" w:cs="Arial" w:eastAsia="Arial" w:hAnsi="Arial"/>
                <w:sz w:val="14"/>
                <w:szCs w:val="14"/>
                <w:b w:val="1"/>
                <w:bCs w:val="1"/>
                <w:color w:val="auto"/>
              </w:rPr>
              <w:t>Year Ended September 30, 2020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shd w:val="clear" w:color="auto" w:fill="CCECFF"/>
          </w:tcPr>
          <w:p>
            <w:pPr>
              <w:spacing w:after="0"/>
              <w:rPr>
                <w:sz w:val="20"/>
                <w:szCs w:val="20"/>
                <w:color w:val="auto"/>
              </w:rPr>
            </w:pPr>
            <w:r>
              <w:rPr>
                <w:rFonts w:ascii="Arial" w:cs="Arial" w:eastAsia="Arial" w:hAnsi="Arial"/>
                <w:sz w:val="14"/>
                <w:szCs w:val="14"/>
                <w:color w:val="auto"/>
              </w:rPr>
              <w:t>Fourth quarter</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7.84</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3.78</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3.01</w:t>
            </w:r>
          </w:p>
        </w:tc>
        <w:tc>
          <w:tcPr>
            <w:tcW w:w="24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ind w:left="880"/>
              <w:spacing w:after="0"/>
              <w:rPr>
                <w:sz w:val="20"/>
                <w:szCs w:val="20"/>
                <w:color w:val="auto"/>
              </w:rPr>
            </w:pPr>
            <w:r>
              <w:rPr>
                <w:rFonts w:ascii="Arial" w:cs="Arial" w:eastAsia="Arial" w:hAnsi="Arial"/>
                <w:sz w:val="14"/>
                <w:szCs w:val="14"/>
                <w:color w:val="auto"/>
              </w:rPr>
              <w:t>(52)</w:t>
            </w:r>
          </w:p>
        </w:tc>
        <w:tc>
          <w:tcPr>
            <w:tcW w:w="1400" w:type="dxa"/>
            <w:vAlign w:val="bottom"/>
            <w:gridSpan w:val="2"/>
            <w:shd w:val="clear" w:color="auto" w:fill="CCECFF"/>
          </w:tcPr>
          <w:p>
            <w:pPr>
              <w:ind w:left="880"/>
              <w:spacing w:after="0"/>
              <w:rPr>
                <w:sz w:val="20"/>
                <w:szCs w:val="20"/>
                <w:color w:val="auto"/>
              </w:rPr>
            </w:pPr>
            <w:r>
              <w:rPr>
                <w:rFonts w:ascii="Arial" w:cs="Arial" w:eastAsia="Arial" w:hAnsi="Arial"/>
                <w:sz w:val="14"/>
                <w:szCs w:val="14"/>
                <w:color w:val="auto"/>
              </w:rPr>
              <w:t>(62)</w:t>
            </w: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Arial" w:cs="Arial" w:eastAsia="Arial" w:hAnsi="Arial"/>
                <w:sz w:val="14"/>
                <w:szCs w:val="14"/>
                <w:color w:val="auto"/>
              </w:rPr>
              <w:t>Third quarter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7.82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4.19</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2.32</w:t>
            </w:r>
          </w:p>
        </w:tc>
        <w:tc>
          <w:tcPr>
            <w:tcW w:w="240" w:type="dxa"/>
            <w:vAlign w:val="bottom"/>
          </w:tcPr>
          <w:p>
            <w:pPr>
              <w:spacing w:after="0"/>
              <w:rPr>
                <w:sz w:val="14"/>
                <w:szCs w:val="14"/>
                <w:color w:val="auto"/>
              </w:rPr>
            </w:pPr>
          </w:p>
        </w:tc>
        <w:tc>
          <w:tcPr>
            <w:tcW w:w="1400" w:type="dxa"/>
            <w:vAlign w:val="bottom"/>
            <w:gridSpan w:val="2"/>
          </w:tcPr>
          <w:p>
            <w:pPr>
              <w:ind w:left="880"/>
              <w:spacing w:after="0"/>
              <w:rPr>
                <w:sz w:val="20"/>
                <w:szCs w:val="20"/>
                <w:color w:val="auto"/>
              </w:rPr>
            </w:pPr>
            <w:r>
              <w:rPr>
                <w:rFonts w:ascii="Arial" w:cs="Arial" w:eastAsia="Arial" w:hAnsi="Arial"/>
                <w:sz w:val="14"/>
                <w:szCs w:val="14"/>
                <w:color w:val="auto"/>
              </w:rPr>
              <w:t>(46)</w:t>
            </w:r>
          </w:p>
        </w:tc>
        <w:tc>
          <w:tcPr>
            <w:tcW w:w="1400" w:type="dxa"/>
            <w:vAlign w:val="bottom"/>
            <w:gridSpan w:val="2"/>
          </w:tcPr>
          <w:p>
            <w:pPr>
              <w:ind w:left="880"/>
              <w:spacing w:after="0"/>
              <w:rPr>
                <w:sz w:val="20"/>
                <w:szCs w:val="20"/>
                <w:color w:val="auto"/>
              </w:rPr>
            </w:pPr>
            <w:r>
              <w:rPr>
                <w:rFonts w:ascii="Arial" w:cs="Arial" w:eastAsia="Arial" w:hAnsi="Arial"/>
                <w:sz w:val="14"/>
                <w:szCs w:val="14"/>
                <w:color w:val="auto"/>
              </w:rPr>
              <w:t>(70)</w:t>
            </w:r>
          </w:p>
        </w:tc>
        <w:tc>
          <w:tcPr>
            <w:tcW w:w="1100" w:type="dxa"/>
            <w:vAlign w:val="bottom"/>
          </w:tcPr>
          <w:p>
            <w:pPr>
              <w:jc w:val="right"/>
              <w:spacing w:after="0"/>
              <w:rPr>
                <w:sz w:val="20"/>
                <w:szCs w:val="20"/>
                <w:color w:val="auto"/>
              </w:rPr>
            </w:pPr>
            <w:r>
              <w:rPr>
                <w:rFonts w:ascii="Arial" w:cs="Arial" w:eastAsia="Arial" w:hAnsi="Arial"/>
                <w:sz w:val="14"/>
                <w:szCs w:val="14"/>
                <w:color w:val="auto"/>
              </w:rPr>
              <w:t>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shd w:val="clear" w:color="auto" w:fill="CCECFF"/>
          </w:tcPr>
          <w:p>
            <w:pPr>
              <w:spacing w:after="0"/>
              <w:rPr>
                <w:sz w:val="20"/>
                <w:szCs w:val="20"/>
                <w:color w:val="auto"/>
              </w:rPr>
            </w:pPr>
            <w:r>
              <w:rPr>
                <w:rFonts w:ascii="Arial" w:cs="Arial" w:eastAsia="Arial" w:hAnsi="Arial"/>
                <w:sz w:val="14"/>
                <w:szCs w:val="14"/>
                <w:color w:val="auto"/>
              </w:rPr>
              <w:t>Second quarter</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7.71</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6.70</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1.95</w:t>
            </w:r>
          </w:p>
        </w:tc>
        <w:tc>
          <w:tcPr>
            <w:tcW w:w="24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ind w:left="880"/>
              <w:spacing w:after="0"/>
              <w:rPr>
                <w:sz w:val="20"/>
                <w:szCs w:val="20"/>
                <w:color w:val="auto"/>
              </w:rPr>
            </w:pPr>
            <w:r>
              <w:rPr>
                <w:rFonts w:ascii="Arial" w:cs="Arial" w:eastAsia="Arial" w:hAnsi="Arial"/>
                <w:sz w:val="14"/>
                <w:szCs w:val="14"/>
                <w:color w:val="auto"/>
              </w:rPr>
              <w:t>(13)</w:t>
            </w:r>
          </w:p>
        </w:tc>
        <w:tc>
          <w:tcPr>
            <w:tcW w:w="1400" w:type="dxa"/>
            <w:vAlign w:val="bottom"/>
            <w:gridSpan w:val="2"/>
            <w:shd w:val="clear" w:color="auto" w:fill="CCECFF"/>
          </w:tcPr>
          <w:p>
            <w:pPr>
              <w:ind w:left="880"/>
              <w:spacing w:after="0"/>
              <w:rPr>
                <w:sz w:val="20"/>
                <w:szCs w:val="20"/>
                <w:color w:val="auto"/>
              </w:rPr>
            </w:pPr>
            <w:r>
              <w:rPr>
                <w:rFonts w:ascii="Arial" w:cs="Arial" w:eastAsia="Arial" w:hAnsi="Arial"/>
                <w:sz w:val="14"/>
                <w:szCs w:val="14"/>
                <w:color w:val="auto"/>
              </w:rPr>
              <w:t>(75)</w:t>
            </w: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140" w:type="dxa"/>
            <w:vAlign w:val="bottom"/>
          </w:tcPr>
          <w:p>
            <w:pPr>
              <w:spacing w:after="0"/>
              <w:rPr>
                <w:sz w:val="20"/>
                <w:szCs w:val="20"/>
                <w:color w:val="auto"/>
              </w:rPr>
            </w:pPr>
            <w:r>
              <w:rPr>
                <w:rFonts w:ascii="Arial" w:cs="Arial" w:eastAsia="Arial" w:hAnsi="Arial"/>
                <w:sz w:val="14"/>
                <w:szCs w:val="14"/>
                <w:color w:val="auto"/>
              </w:rPr>
              <w:t>First quarter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8.79</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6.84</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5.92</w:t>
            </w:r>
          </w:p>
        </w:tc>
        <w:tc>
          <w:tcPr>
            <w:tcW w:w="240" w:type="dxa"/>
            <w:vAlign w:val="bottom"/>
          </w:tcPr>
          <w:p>
            <w:pPr>
              <w:spacing w:after="0"/>
              <w:rPr>
                <w:sz w:val="15"/>
                <w:szCs w:val="15"/>
                <w:color w:val="auto"/>
              </w:rPr>
            </w:pPr>
          </w:p>
        </w:tc>
        <w:tc>
          <w:tcPr>
            <w:tcW w:w="1400" w:type="dxa"/>
            <w:vAlign w:val="bottom"/>
            <w:gridSpan w:val="2"/>
          </w:tcPr>
          <w:p>
            <w:pPr>
              <w:ind w:left="880"/>
              <w:spacing w:after="0"/>
              <w:rPr>
                <w:sz w:val="20"/>
                <w:szCs w:val="20"/>
                <w:color w:val="auto"/>
              </w:rPr>
            </w:pPr>
            <w:r>
              <w:rPr>
                <w:rFonts w:ascii="Arial" w:cs="Arial" w:eastAsia="Arial" w:hAnsi="Arial"/>
                <w:sz w:val="14"/>
                <w:szCs w:val="14"/>
                <w:color w:val="auto"/>
              </w:rPr>
              <w:t>(22)</w:t>
            </w:r>
          </w:p>
        </w:tc>
        <w:tc>
          <w:tcPr>
            <w:tcW w:w="1400" w:type="dxa"/>
            <w:vAlign w:val="bottom"/>
            <w:gridSpan w:val="2"/>
          </w:tcPr>
          <w:p>
            <w:pPr>
              <w:ind w:left="880"/>
              <w:spacing w:after="0"/>
              <w:rPr>
                <w:sz w:val="20"/>
                <w:szCs w:val="20"/>
                <w:color w:val="auto"/>
              </w:rPr>
            </w:pPr>
            <w:r>
              <w:rPr>
                <w:rFonts w:ascii="Arial" w:cs="Arial" w:eastAsia="Arial" w:hAnsi="Arial"/>
                <w:sz w:val="14"/>
                <w:szCs w:val="14"/>
                <w:color w:val="auto"/>
              </w:rPr>
              <w:t>(33)</w:t>
            </w:r>
          </w:p>
        </w:tc>
        <w:tc>
          <w:tcPr>
            <w:tcW w:w="1100" w:type="dxa"/>
            <w:vAlign w:val="bottom"/>
          </w:tcPr>
          <w:p>
            <w:pPr>
              <w:jc w:val="right"/>
              <w:spacing w:after="0"/>
              <w:rPr>
                <w:sz w:val="20"/>
                <w:szCs w:val="20"/>
                <w:color w:val="auto"/>
              </w:rPr>
            </w:pPr>
            <w:r>
              <w:rPr>
                <w:rFonts w:ascii="Arial" w:cs="Arial" w:eastAsia="Arial" w:hAnsi="Arial"/>
                <w:sz w:val="14"/>
                <w:szCs w:val="14"/>
                <w:color w:val="auto"/>
              </w:rPr>
              <w:t>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380" w:right="60" w:hanging="372"/>
        <w:spacing w:after="0" w:line="182" w:lineRule="auto"/>
        <w:tabs>
          <w:tab w:leader="none" w:pos="380" w:val="left"/>
        </w:tabs>
        <w:numPr>
          <w:ilvl w:val="0"/>
          <w:numId w:val="51"/>
        </w:numPr>
        <w:rPr>
          <w:rFonts w:ascii="Arial" w:cs="Arial" w:eastAsia="Arial" w:hAnsi="Arial"/>
          <w:sz w:val="20"/>
          <w:szCs w:val="20"/>
          <w:b w:val="1"/>
          <w:bCs w:val="1"/>
          <w:color w:val="auto"/>
          <w:vertAlign w:val="superscript"/>
        </w:rPr>
      </w:pPr>
      <w:r>
        <w:rPr>
          <w:rFonts w:ascii="Arial" w:cs="Arial" w:eastAsia="Arial" w:hAnsi="Arial"/>
          <w:sz w:val="12"/>
          <w:szCs w:val="12"/>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380" w:hanging="372"/>
        <w:spacing w:after="0" w:line="180" w:lineRule="auto"/>
        <w:tabs>
          <w:tab w:leader="none" w:pos="380" w:val="left"/>
        </w:tabs>
        <w:numPr>
          <w:ilvl w:val="0"/>
          <w:numId w:val="51"/>
        </w:numPr>
        <w:rPr>
          <w:rFonts w:ascii="Arial" w:cs="Arial" w:eastAsia="Arial" w:hAnsi="Arial"/>
          <w:sz w:val="16"/>
          <w:szCs w:val="16"/>
          <w:b w:val="1"/>
          <w:bCs w:val="1"/>
          <w:color w:val="auto"/>
          <w:vertAlign w:val="superscript"/>
        </w:rPr>
      </w:pPr>
      <w:r>
        <w:rPr>
          <w:rFonts w:ascii="Arial" w:cs="Arial" w:eastAsia="Arial" w:hAnsi="Arial"/>
          <w:sz w:val="10"/>
          <w:szCs w:val="10"/>
          <w:color w:val="auto"/>
        </w:rPr>
        <w:t>Calculated as the respective high or low closing sales price less NAV per share, divided by the quarter-end NAV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13455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03" w:lineRule="exact"/>
        <w:rPr>
          <w:sz w:val="20"/>
          <w:szCs w:val="20"/>
          <w:color w:val="auto"/>
        </w:rPr>
      </w:pPr>
    </w:p>
    <w:p>
      <w:pPr>
        <w:ind w:right="240" w:firstLine="438"/>
        <w:spacing w:after="0" w:line="255" w:lineRule="auto"/>
        <w:rPr>
          <w:sz w:val="20"/>
          <w:szCs w:val="20"/>
          <w:color w:val="auto"/>
        </w:rPr>
      </w:pPr>
      <w:r>
        <w:rPr>
          <w:rFonts w:ascii="Arial" w:cs="Arial" w:eastAsia="Arial" w:hAnsi="Arial"/>
          <w:sz w:val="13"/>
          <w:szCs w:val="13"/>
          <w:color w:val="auto"/>
        </w:rPr>
        <w:t>Shares of BDCs may trade at a market price both above and below the NAV that is attributable to those shares. Our shares have traded above and below our NAV. Our shares closed on The Nasdaq Global Select Market at $6.49 and $3.19 as of September 30, 2021 and 2020, respectively. Our NAV per share was $9.85 and $7.84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September 30, 2021, we had 6 stockholders of record.</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 of Unregistered Securities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did not engage in any sales of unregistered securities during the year ended September 30, 2021.</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Issuer Purchases of Equity Securities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did not repurchase any of our common stock during the year ended September 30, 2021.</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4"/>
          <w:szCs w:val="14"/>
          <w:b w:val="1"/>
          <w:bCs w:val="1"/>
          <w:color w:val="auto"/>
        </w:rPr>
        <w:t>DISTRIBUTIONS</w:t>
      </w:r>
    </w:p>
    <w:p>
      <w:pPr>
        <w:spacing w:after="0" w:line="140"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17" w:lineRule="exact"/>
        <w:rPr>
          <w:sz w:val="20"/>
          <w:szCs w:val="20"/>
          <w:color w:val="auto"/>
        </w:rPr>
      </w:pPr>
    </w:p>
    <w:p>
      <w:pPr>
        <w:ind w:right="160" w:firstLine="438"/>
        <w:spacing w:after="0" w:line="253" w:lineRule="auto"/>
        <w:rPr>
          <w:sz w:val="20"/>
          <w:szCs w:val="20"/>
          <w:color w:val="auto"/>
        </w:rPr>
      </w:pPr>
      <w:r>
        <w:rPr>
          <w:rFonts w:ascii="Arial" w:cs="Arial" w:eastAsia="Arial" w:hAnsi="Arial"/>
          <w:sz w:val="14"/>
          <w:szCs w:val="14"/>
          <w:color w:val="auto"/>
        </w:rPr>
        <w:t>In January 2022, a Form 1099-DIV will be sent to stockholders subject to information reporting that will state the amount and composition of distributions and provide information with respect to appropriate tax treatment of our distributions.</w:t>
      </w:r>
    </w:p>
    <w:p>
      <w:pPr>
        <w:spacing w:after="0" w:line="93" w:lineRule="exact"/>
        <w:rPr>
          <w:sz w:val="20"/>
          <w:szCs w:val="20"/>
          <w:color w:val="auto"/>
        </w:rPr>
      </w:pPr>
    </w:p>
    <w:p>
      <w:pPr>
        <w:ind w:right="100" w:firstLine="438"/>
        <w:spacing w:after="0" w:line="290" w:lineRule="auto"/>
        <w:rPr>
          <w:sz w:val="20"/>
          <w:szCs w:val="20"/>
          <w:color w:val="auto"/>
        </w:rPr>
      </w:pPr>
      <w:r>
        <w:rPr>
          <w:rFonts w:ascii="Arial" w:cs="Arial" w:eastAsia="Arial" w:hAnsi="Arial"/>
          <w:sz w:val="13"/>
          <w:szCs w:val="13"/>
          <w:color w:val="auto"/>
        </w:rPr>
        <w:t>The tax characteristics of distributions declared, in accordance with Section 19(a) of the 1940 Act, during the years ended September 30, 2021 and 2020 from ordinary income (including short-term gains), if any, totaled $32.2 million and $40.2 million, or $0.48 and $0.60 per share, respectively, based on the weighted average shares outstanding for the respective years.</w:t>
      </w:r>
    </w:p>
    <w:p>
      <w:pPr>
        <w:spacing w:after="0" w:line="84" w:lineRule="exact"/>
        <w:rPr>
          <w:sz w:val="20"/>
          <w:szCs w:val="20"/>
          <w:color w:val="auto"/>
        </w:rPr>
      </w:pPr>
    </w:p>
    <w:p>
      <w:pPr>
        <w:ind w:right="60" w:firstLine="438"/>
        <w:spacing w:after="0" w:line="290" w:lineRule="auto"/>
        <w:rPr>
          <w:sz w:val="20"/>
          <w:szCs w:val="20"/>
          <w:color w:val="auto"/>
        </w:rPr>
      </w:pPr>
      <w:r>
        <w:rPr>
          <w:rFonts w:ascii="Arial" w:cs="Arial" w:eastAsia="Arial" w:hAnsi="Arial"/>
          <w:sz w:val="13"/>
          <w:szCs w:val="13"/>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84"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Performance Graph</w:t>
      </w:r>
    </w:p>
    <w:p>
      <w:pPr>
        <w:spacing w:after="0" w:line="136" w:lineRule="exact"/>
        <w:rPr>
          <w:sz w:val="20"/>
          <w:szCs w:val="20"/>
          <w:color w:val="auto"/>
        </w:rPr>
      </w:pPr>
    </w:p>
    <w:p>
      <w:pPr>
        <w:ind w:right="80" w:firstLine="438"/>
        <w:spacing w:after="0" w:line="264" w:lineRule="auto"/>
        <w:rPr>
          <w:sz w:val="20"/>
          <w:szCs w:val="20"/>
          <w:color w:val="auto"/>
        </w:rPr>
      </w:pPr>
      <w:r>
        <w:rPr>
          <w:rFonts w:ascii="Arial" w:cs="Arial" w:eastAsia="Arial" w:hAnsi="Arial"/>
          <w:sz w:val="13"/>
          <w:szCs w:val="13"/>
          <w:color w:val="auto"/>
        </w:rPr>
        <w:t>This graph compares the return on our common stock with that of the Standard &amp; Poor’s 500 Stock Index and the Russell 2000 Financial Services Index, for the last five fiscal years. The graph assumes that, on September 30, 2016, a person invested $100 in each of our common stock, the S&amp;P 500 Index, and the Russell 2000 Financial Services Index. The graph measures total stockholder return, which takes into account both changes in stock price and distributions. It assumes that distributions paid are 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75565</wp:posOffset>
            </wp:positionV>
            <wp:extent cx="5932170" cy="40976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32170" cy="4097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60" w:firstLine="438"/>
        <w:spacing w:after="0" w:line="290" w:lineRule="auto"/>
        <w:rPr>
          <w:sz w:val="20"/>
          <w:szCs w:val="20"/>
          <w:color w:val="auto"/>
        </w:rPr>
      </w:pPr>
      <w:r>
        <w:rPr>
          <w:rFonts w:ascii="Arial" w:cs="Arial" w:eastAsia="Arial" w:hAnsi="Arial"/>
          <w:sz w:val="13"/>
          <w:szCs w:val="13"/>
          <w:color w:val="auto"/>
        </w:rPr>
        <w:t>The graph and other information furnished under this Part II Item 5 of this Report shall not be deemed to be “soliciting material” or to be “filed” with the SEC or subject to Regulation 14A or 14C, or to the liabilities of Section 18 of the Exchange Act. The stock price performance included in the above graph is not necessarily indicative of future stock price performance.</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4"/>
          <w:szCs w:val="14"/>
          <w:b w:val="1"/>
          <w:bCs w:val="1"/>
          <w:color w:val="auto"/>
        </w:rPr>
        <w:t>Fees and Expenses</w:t>
      </w:r>
    </w:p>
    <w:p>
      <w:pPr>
        <w:spacing w:after="0" w:line="140" w:lineRule="exact"/>
        <w:rPr>
          <w:sz w:val="20"/>
          <w:szCs w:val="20"/>
          <w:color w:val="auto"/>
        </w:rPr>
      </w:pPr>
    </w:p>
    <w:p>
      <w:pPr>
        <w:ind w:right="80" w:firstLine="365"/>
        <w:spacing w:after="0" w:line="231" w:lineRule="auto"/>
        <w:rPr>
          <w:sz w:val="20"/>
          <w:szCs w:val="20"/>
          <w:color w:val="auto"/>
        </w:rPr>
      </w:pPr>
      <w:r>
        <w:rPr>
          <w:rFonts w:ascii="Arial" w:cs="Arial" w:eastAsia="Arial" w:hAnsi="Arial"/>
          <w:sz w:val="14"/>
          <w:szCs w:val="14"/>
          <w:color w:val="auto"/>
        </w:rPr>
        <w:t>The following table is being provided to update, as of September 30, 2021, certain information in our registration statement on Form N-2 (File No. 333-230014), most recently declared effective by the SEC on January 30, 2020. 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reference is made to fees or expenses paid by “you” or “us” or that “we” will pay, stockholders will indirectly bear such fees or expenses as investors in us.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40" w:type="dxa"/>
            <w:vAlign w:val="bottom"/>
          </w:tcPr>
          <w:p>
            <w:pPr>
              <w:spacing w:after="0"/>
              <w:rPr>
                <w:sz w:val="20"/>
                <w:szCs w:val="20"/>
                <w:color w:val="auto"/>
              </w:rPr>
            </w:pPr>
            <w:r>
              <w:rPr>
                <w:rFonts w:ascii="Arial" w:cs="Arial" w:eastAsia="Arial" w:hAnsi="Arial"/>
                <w:sz w:val="14"/>
                <w:szCs w:val="14"/>
                <w:b w:val="1"/>
                <w:bCs w:val="1"/>
                <w:color w:val="auto"/>
              </w:rPr>
              <w:t>Stockholder transaction expenses</w:t>
            </w:r>
          </w:p>
        </w:tc>
        <w:tc>
          <w:tcPr>
            <w:tcW w:w="27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8340" w:type="dxa"/>
            <w:vAlign w:val="bottom"/>
            <w:shd w:val="clear" w:color="auto" w:fill="CCECFF"/>
          </w:tcPr>
          <w:p>
            <w:pPr>
              <w:spacing w:after="0"/>
              <w:rPr>
                <w:sz w:val="20"/>
                <w:szCs w:val="20"/>
                <w:color w:val="auto"/>
              </w:rPr>
            </w:pPr>
            <w:r>
              <w:rPr>
                <w:rFonts w:ascii="Arial" w:cs="Arial" w:eastAsia="Arial" w:hAnsi="Arial"/>
                <w:sz w:val="14"/>
                <w:szCs w:val="14"/>
                <w:color w:val="auto"/>
              </w:rPr>
              <w:t>Sales load (as a percentage of offering price)</w:t>
            </w:r>
          </w:p>
        </w:tc>
        <w:tc>
          <w:tcPr>
            <w:tcW w:w="27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w:t>
            </w:r>
          </w:p>
        </w:tc>
      </w:tr>
      <w:tr>
        <w:trPr>
          <w:trHeight w:val="162"/>
        </w:trPr>
        <w:tc>
          <w:tcPr>
            <w:tcW w:w="8340" w:type="dxa"/>
            <w:vAlign w:val="bottom"/>
          </w:tcPr>
          <w:p>
            <w:pPr>
              <w:spacing w:after="0"/>
              <w:rPr>
                <w:sz w:val="20"/>
                <w:szCs w:val="20"/>
                <w:color w:val="auto"/>
              </w:rPr>
            </w:pPr>
            <w:r>
              <w:rPr>
                <w:rFonts w:ascii="Arial" w:cs="Arial" w:eastAsia="Arial" w:hAnsi="Arial"/>
                <w:sz w:val="14"/>
                <w:szCs w:val="14"/>
                <w:color w:val="auto"/>
              </w:rPr>
              <w:t>Offering expenses (as a percentage of offering price)</w:t>
            </w:r>
          </w:p>
        </w:tc>
        <w:tc>
          <w:tcPr>
            <w:tcW w:w="27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162"/>
        </w:trPr>
        <w:tc>
          <w:tcPr>
            <w:tcW w:w="8340" w:type="dxa"/>
            <w:vAlign w:val="bottom"/>
            <w:shd w:val="clear" w:color="auto" w:fill="CCECFF"/>
          </w:tcPr>
          <w:p>
            <w:pPr>
              <w:spacing w:after="0"/>
              <w:rPr>
                <w:sz w:val="20"/>
                <w:szCs w:val="20"/>
                <w:color w:val="auto"/>
              </w:rPr>
            </w:pPr>
            <w:r>
              <w:rPr>
                <w:rFonts w:ascii="Arial" w:cs="Arial" w:eastAsia="Arial" w:hAnsi="Arial"/>
                <w:sz w:val="14"/>
                <w:szCs w:val="14"/>
                <w:color w:val="auto"/>
              </w:rPr>
              <w:t>Dividend reinvestment plan expenses</w:t>
            </w:r>
          </w:p>
        </w:tc>
        <w:tc>
          <w:tcPr>
            <w:tcW w:w="270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w:t>
            </w:r>
          </w:p>
        </w:tc>
      </w:tr>
      <w:tr>
        <w:trPr>
          <w:trHeight w:val="162"/>
        </w:trPr>
        <w:tc>
          <w:tcPr>
            <w:tcW w:w="8340" w:type="dxa"/>
            <w:vAlign w:val="bottom"/>
          </w:tcPr>
          <w:p>
            <w:pPr>
              <w:spacing w:after="0"/>
              <w:rPr>
                <w:sz w:val="20"/>
                <w:szCs w:val="20"/>
                <w:color w:val="auto"/>
              </w:rPr>
            </w:pPr>
            <w:r>
              <w:rPr>
                <w:rFonts w:ascii="Arial" w:cs="Arial" w:eastAsia="Arial" w:hAnsi="Arial"/>
                <w:sz w:val="14"/>
                <w:szCs w:val="14"/>
                <w:color w:val="auto"/>
              </w:rPr>
              <w:t>Total stockholder expenses (as a percentage of offering price)</w:t>
            </w:r>
          </w:p>
        </w:tc>
        <w:tc>
          <w:tcPr>
            <w:tcW w:w="27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r>
      <w:tr>
        <w:trPr>
          <w:trHeight w:val="162"/>
        </w:trPr>
        <w:tc>
          <w:tcPr>
            <w:tcW w:w="834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Estimated annual expenses (as a percentage of average net assets attributable to common shares)</w:t>
            </w:r>
            <w:r>
              <w:rPr>
                <w:rFonts w:ascii="Arial" w:cs="Arial" w:eastAsia="Arial" w:hAnsi="Arial"/>
                <w:sz w:val="12"/>
                <w:szCs w:val="12"/>
                <w:b w:val="1"/>
                <w:bCs w:val="1"/>
                <w:color w:val="auto"/>
              </w:rPr>
              <w:t>(4)</w:t>
            </w:r>
          </w:p>
        </w:tc>
        <w:tc>
          <w:tcPr>
            <w:tcW w:w="27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r>
      <w:tr>
        <w:trPr>
          <w:trHeight w:val="162"/>
        </w:trPr>
        <w:tc>
          <w:tcPr>
            <w:tcW w:w="8340" w:type="dxa"/>
            <w:vAlign w:val="bottom"/>
          </w:tcPr>
          <w:p>
            <w:pPr>
              <w:spacing w:after="0"/>
              <w:rPr>
                <w:sz w:val="20"/>
                <w:szCs w:val="20"/>
                <w:color w:val="auto"/>
              </w:rPr>
            </w:pPr>
            <w:r>
              <w:rPr>
                <w:rFonts w:ascii="Arial" w:cs="Arial" w:eastAsia="Arial" w:hAnsi="Arial"/>
                <w:sz w:val="14"/>
                <w:szCs w:val="14"/>
                <w:color w:val="auto"/>
              </w:rPr>
              <w:t>Management fees</w:t>
            </w:r>
          </w:p>
        </w:tc>
        <w:tc>
          <w:tcPr>
            <w:tcW w:w="2700" w:type="dxa"/>
            <w:vAlign w:val="bottom"/>
          </w:tcPr>
          <w:p>
            <w:pPr>
              <w:jc w:val="right"/>
              <w:ind w:right="128"/>
              <w:spacing w:after="0"/>
              <w:rPr>
                <w:sz w:val="20"/>
                <w:szCs w:val="20"/>
                <w:color w:val="auto"/>
              </w:rPr>
            </w:pPr>
            <w:r>
              <w:rPr>
                <w:rFonts w:ascii="Arial" w:cs="Arial" w:eastAsia="Arial" w:hAnsi="Arial"/>
                <w:sz w:val="14"/>
                <w:szCs w:val="14"/>
                <w:color w:val="auto"/>
              </w:rPr>
              <w:t>2.87</w:t>
            </w:r>
          </w:p>
        </w:tc>
        <w:tc>
          <w:tcPr>
            <w:tcW w:w="20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162"/>
        </w:trPr>
        <w:tc>
          <w:tcPr>
            <w:tcW w:w="8340" w:type="dxa"/>
            <w:vAlign w:val="bottom"/>
            <w:shd w:val="clear" w:color="auto" w:fill="CCECFF"/>
          </w:tcPr>
          <w:p>
            <w:pPr>
              <w:spacing w:after="0"/>
              <w:rPr>
                <w:sz w:val="20"/>
                <w:szCs w:val="20"/>
                <w:color w:val="auto"/>
              </w:rPr>
            </w:pPr>
            <w:r>
              <w:rPr>
                <w:rFonts w:ascii="Arial" w:cs="Arial" w:eastAsia="Arial" w:hAnsi="Arial"/>
                <w:sz w:val="14"/>
                <w:szCs w:val="14"/>
                <w:color w:val="auto"/>
              </w:rPr>
              <w:t>Incentive fees</w:t>
            </w:r>
          </w:p>
        </w:tc>
        <w:tc>
          <w:tcPr>
            <w:tcW w:w="270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rPr>
              <w:t>0.10</w:t>
            </w:r>
          </w:p>
        </w:tc>
        <w:tc>
          <w:tcPr>
            <w:tcW w:w="2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w:t>
            </w:r>
          </w:p>
        </w:tc>
      </w:tr>
      <w:tr>
        <w:trPr>
          <w:trHeight w:val="162"/>
        </w:trPr>
        <w:tc>
          <w:tcPr>
            <w:tcW w:w="8340" w:type="dxa"/>
            <w:vAlign w:val="bottom"/>
          </w:tcPr>
          <w:p>
            <w:pPr>
              <w:spacing w:after="0"/>
              <w:rPr>
                <w:sz w:val="20"/>
                <w:szCs w:val="20"/>
                <w:color w:val="auto"/>
              </w:rPr>
            </w:pPr>
            <w:r>
              <w:rPr>
                <w:rFonts w:ascii="Arial" w:cs="Arial" w:eastAsia="Arial" w:hAnsi="Arial"/>
                <w:sz w:val="14"/>
                <w:szCs w:val="14"/>
                <w:color w:val="auto"/>
              </w:rPr>
              <w:t>Interest on borrowed funds</w:t>
            </w:r>
          </w:p>
        </w:tc>
        <w:tc>
          <w:tcPr>
            <w:tcW w:w="2700" w:type="dxa"/>
            <w:vAlign w:val="bottom"/>
          </w:tcPr>
          <w:p>
            <w:pPr>
              <w:jc w:val="right"/>
              <w:ind w:right="128"/>
              <w:spacing w:after="0"/>
              <w:rPr>
                <w:sz w:val="20"/>
                <w:szCs w:val="20"/>
                <w:color w:val="auto"/>
              </w:rPr>
            </w:pPr>
            <w:r>
              <w:rPr>
                <w:rFonts w:ascii="Arial" w:cs="Arial" w:eastAsia="Arial" w:hAnsi="Arial"/>
                <w:sz w:val="14"/>
                <w:szCs w:val="14"/>
                <w:color w:val="auto"/>
              </w:rPr>
              <w:t>3.73</w:t>
            </w:r>
          </w:p>
        </w:tc>
        <w:tc>
          <w:tcPr>
            <w:tcW w:w="200" w:type="dxa"/>
            <w:vAlign w:val="bottom"/>
          </w:tcPr>
          <w:p>
            <w:pPr>
              <w:jc w:val="right"/>
              <w:spacing w:after="0"/>
              <w:rPr>
                <w:sz w:val="20"/>
                <w:szCs w:val="20"/>
                <w:color w:val="auto"/>
              </w:rPr>
            </w:pPr>
            <w:r>
              <w:rPr>
                <w:rFonts w:ascii="Arial" w:cs="Arial" w:eastAsia="Arial" w:hAnsi="Arial"/>
                <w:sz w:val="12"/>
                <w:szCs w:val="12"/>
                <w:color w:val="auto"/>
              </w:rPr>
              <w:t>(7)</w:t>
            </w:r>
          </w:p>
        </w:tc>
      </w:tr>
      <w:tr>
        <w:trPr>
          <w:trHeight w:val="162"/>
        </w:trPr>
        <w:tc>
          <w:tcPr>
            <w:tcW w:w="8340" w:type="dxa"/>
            <w:vAlign w:val="bottom"/>
            <w:shd w:val="clear" w:color="auto" w:fill="CCECFF"/>
          </w:tcPr>
          <w:p>
            <w:pPr>
              <w:spacing w:after="0"/>
              <w:rPr>
                <w:sz w:val="20"/>
                <w:szCs w:val="20"/>
                <w:color w:val="auto"/>
              </w:rPr>
            </w:pPr>
            <w:r>
              <w:rPr>
                <w:rFonts w:ascii="Arial" w:cs="Arial" w:eastAsia="Arial" w:hAnsi="Arial"/>
                <w:sz w:val="14"/>
                <w:szCs w:val="14"/>
                <w:color w:val="auto"/>
              </w:rPr>
              <w:t>Acquired fund fees and expenses</w:t>
            </w:r>
          </w:p>
        </w:tc>
        <w:tc>
          <w:tcPr>
            <w:tcW w:w="270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rPr>
              <w:t>1.75</w:t>
            </w:r>
          </w:p>
        </w:tc>
        <w:tc>
          <w:tcPr>
            <w:tcW w:w="2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w:t>
            </w:r>
          </w:p>
        </w:tc>
      </w:tr>
      <w:tr>
        <w:trPr>
          <w:trHeight w:val="162"/>
        </w:trPr>
        <w:tc>
          <w:tcPr>
            <w:tcW w:w="8340" w:type="dxa"/>
            <w:vAlign w:val="bottom"/>
          </w:tcPr>
          <w:p>
            <w:pPr>
              <w:spacing w:after="0"/>
              <w:rPr>
                <w:sz w:val="20"/>
                <w:szCs w:val="20"/>
                <w:color w:val="auto"/>
              </w:rPr>
            </w:pPr>
            <w:r>
              <w:rPr>
                <w:rFonts w:ascii="Arial" w:cs="Arial" w:eastAsia="Arial" w:hAnsi="Arial"/>
                <w:sz w:val="14"/>
                <w:szCs w:val="14"/>
                <w:color w:val="auto"/>
              </w:rPr>
              <w:t>Other expenses</w:t>
            </w:r>
          </w:p>
        </w:tc>
        <w:tc>
          <w:tcPr>
            <w:tcW w:w="2700" w:type="dxa"/>
            <w:vAlign w:val="bottom"/>
          </w:tcPr>
          <w:p>
            <w:pPr>
              <w:jc w:val="right"/>
              <w:ind w:right="128"/>
              <w:spacing w:after="0"/>
              <w:rPr>
                <w:sz w:val="20"/>
                <w:szCs w:val="20"/>
                <w:color w:val="auto"/>
              </w:rPr>
            </w:pPr>
            <w:r>
              <w:rPr>
                <w:rFonts w:ascii="Arial" w:cs="Arial" w:eastAsia="Arial" w:hAnsi="Arial"/>
                <w:sz w:val="14"/>
                <w:szCs w:val="14"/>
                <w:color w:val="auto"/>
              </w:rPr>
              <w:t>0.78</w:t>
            </w:r>
          </w:p>
        </w:tc>
        <w:tc>
          <w:tcPr>
            <w:tcW w:w="200" w:type="dxa"/>
            <w:vAlign w:val="bottom"/>
          </w:tcPr>
          <w:p>
            <w:pPr>
              <w:jc w:val="right"/>
              <w:spacing w:after="0"/>
              <w:rPr>
                <w:sz w:val="20"/>
                <w:szCs w:val="20"/>
                <w:color w:val="auto"/>
              </w:rPr>
            </w:pPr>
            <w:r>
              <w:rPr>
                <w:rFonts w:ascii="Arial" w:cs="Arial" w:eastAsia="Arial" w:hAnsi="Arial"/>
                <w:sz w:val="12"/>
                <w:szCs w:val="12"/>
                <w:color w:val="auto"/>
              </w:rPr>
              <w:t>(9)</w:t>
            </w:r>
          </w:p>
        </w:tc>
      </w:tr>
      <w:tr>
        <w:trPr>
          <w:trHeight w:val="162"/>
        </w:trPr>
        <w:tc>
          <w:tcPr>
            <w:tcW w:w="834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Total estimated annual expenses</w:t>
            </w:r>
          </w:p>
        </w:tc>
        <w:tc>
          <w:tcPr>
            <w:tcW w:w="29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 xml:space="preserve">9.23% </w:t>
            </w:r>
            <w:r>
              <w:rPr>
                <w:rFonts w:ascii="Arial" w:cs="Arial" w:eastAsia="Arial" w:hAnsi="Arial"/>
                <w:sz w:val="12"/>
                <w:szCs w:val="12"/>
                <w:color w:val="auto"/>
              </w:rPr>
              <w:t>(10)</w:t>
            </w:r>
          </w:p>
        </w:tc>
      </w:tr>
      <w:tr>
        <w:trPr>
          <w:trHeight w:val="40"/>
        </w:trPr>
        <w:tc>
          <w:tcPr>
            <w:tcW w:w="834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bl>
    <w:p>
      <w:pPr>
        <w:ind w:left="460" w:hanging="452"/>
        <w:spacing w:after="0" w:line="182" w:lineRule="auto"/>
        <w:tabs>
          <w:tab w:leader="none" w:pos="460" w:val="left"/>
        </w:tabs>
        <w:numPr>
          <w:ilvl w:val="0"/>
          <w:numId w:val="52"/>
        </w:numPr>
        <w:rPr>
          <w:rFonts w:ascii="Arial" w:cs="Arial" w:eastAsia="Arial" w:hAnsi="Arial"/>
          <w:sz w:val="19"/>
          <w:szCs w:val="19"/>
          <w:b w:val="1"/>
          <w:bCs w:val="1"/>
          <w:color w:val="auto"/>
          <w:vertAlign w:val="superscript"/>
        </w:rPr>
      </w:pPr>
      <w:r>
        <w:rPr>
          <w:rFonts w:ascii="Arial" w:cs="Arial" w:eastAsia="Arial" w:hAnsi="Arial"/>
          <w:sz w:val="11"/>
          <w:szCs w:val="11"/>
          <w:color w:val="auto"/>
        </w:rPr>
        <w:t>In the event that the securities to which any applicable prospectus relates are sold to or through underwriters or agents, a corresponding prospectus supplement will disclose the applicable sales load.</w:t>
      </w:r>
    </w:p>
    <w:p>
      <w:pPr>
        <w:ind w:left="460" w:right="80" w:hanging="452"/>
        <w:spacing w:after="0" w:line="190" w:lineRule="auto"/>
        <w:tabs>
          <w:tab w:leader="none" w:pos="460" w:val="left"/>
        </w:tabs>
        <w:numPr>
          <w:ilvl w:val="0"/>
          <w:numId w:val="52"/>
        </w:numPr>
        <w:rPr>
          <w:rFonts w:ascii="Arial" w:cs="Arial" w:eastAsia="Arial" w:hAnsi="Arial"/>
          <w:sz w:val="19"/>
          <w:szCs w:val="19"/>
          <w:b w:val="1"/>
          <w:bCs w:val="1"/>
          <w:color w:val="auto"/>
          <w:vertAlign w:val="superscript"/>
        </w:rPr>
      </w:pPr>
      <w:r>
        <w:rPr>
          <w:rFonts w:ascii="Arial" w:cs="Arial" w:eastAsia="Arial" w:hAnsi="Arial"/>
          <w:sz w:val="11"/>
          <w:szCs w:val="11"/>
          <w:color w:val="auto"/>
        </w:rPr>
        <w:t>In the event that we conduct an offering of our securities, a corresponding prospectus supplement will disclose the estimated amount of offering expenses, the offering price and the offering expenses borne by us as a percentage of the offering price.</w:t>
      </w:r>
    </w:p>
    <w:p>
      <w:pPr>
        <w:spacing w:after="0" w:line="40" w:lineRule="exact"/>
        <w:rPr>
          <w:rFonts w:ascii="Arial" w:cs="Arial" w:eastAsia="Arial" w:hAnsi="Arial"/>
          <w:sz w:val="19"/>
          <w:szCs w:val="19"/>
          <w:b w:val="1"/>
          <w:bCs w:val="1"/>
          <w:color w:val="auto"/>
          <w:vertAlign w:val="superscript"/>
        </w:rPr>
      </w:pPr>
    </w:p>
    <w:p>
      <w:pPr>
        <w:ind w:left="460" w:hanging="452"/>
        <w:spacing w:after="0"/>
        <w:tabs>
          <w:tab w:leader="none" w:pos="460" w:val="left"/>
        </w:tabs>
        <w:numPr>
          <w:ilvl w:val="0"/>
          <w:numId w:val="52"/>
        </w:numPr>
        <w:rPr>
          <w:rFonts w:ascii="Arial" w:cs="Arial" w:eastAsia="Arial" w:hAnsi="Arial"/>
          <w:sz w:val="20"/>
          <w:szCs w:val="20"/>
          <w:b w:val="1"/>
          <w:bCs w:val="1"/>
          <w:color w:val="auto"/>
          <w:vertAlign w:val="superscript"/>
        </w:rPr>
      </w:pPr>
      <w:r>
        <w:rPr>
          <w:rFonts w:ascii="Arial" w:cs="Arial" w:eastAsia="Arial" w:hAnsi="Arial"/>
          <w:sz w:val="12"/>
          <w:szCs w:val="12"/>
          <w:color w:val="auto"/>
        </w:rPr>
        <w:t>The expenses of the dividend reinvestment plan are included in “Other expenses.”</w:t>
      </w:r>
    </w:p>
    <w:p>
      <w:pPr>
        <w:spacing w:after="0" w:line="101" w:lineRule="exact"/>
        <w:rPr>
          <w:rFonts w:ascii="Arial" w:cs="Arial" w:eastAsia="Arial" w:hAnsi="Arial"/>
          <w:sz w:val="20"/>
          <w:szCs w:val="20"/>
          <w:b w:val="1"/>
          <w:bCs w:val="1"/>
          <w:color w:val="auto"/>
          <w:vertAlign w:val="superscript"/>
        </w:rPr>
      </w:pPr>
    </w:p>
    <w:p>
      <w:pPr>
        <w:ind w:left="460" w:hanging="452"/>
        <w:spacing w:after="0" w:line="184" w:lineRule="auto"/>
        <w:tabs>
          <w:tab w:leader="none" w:pos="460" w:val="left"/>
        </w:tabs>
        <w:numPr>
          <w:ilvl w:val="0"/>
          <w:numId w:val="52"/>
        </w:numPr>
        <w:rPr>
          <w:rFonts w:ascii="Arial" w:cs="Arial" w:eastAsia="Arial" w:hAnsi="Arial"/>
          <w:sz w:val="19"/>
          <w:szCs w:val="19"/>
          <w:b w:val="1"/>
          <w:bCs w:val="1"/>
          <w:color w:val="auto"/>
          <w:vertAlign w:val="superscript"/>
        </w:rPr>
      </w:pPr>
      <w:r>
        <w:rPr>
          <w:rFonts w:ascii="Arial" w:cs="Arial" w:eastAsia="Arial" w:hAnsi="Arial"/>
          <w:sz w:val="11"/>
          <w:szCs w:val="11"/>
          <w:color w:val="auto"/>
        </w:rPr>
        <w:t>Net assets attributable to common shares equals average net assets as of September 30, 2021.</w:t>
      </w:r>
    </w:p>
    <w:p>
      <w:pPr>
        <w:spacing w:after="0" w:line="122" w:lineRule="exact"/>
        <w:rPr>
          <w:rFonts w:ascii="Arial" w:cs="Arial" w:eastAsia="Arial" w:hAnsi="Arial"/>
          <w:sz w:val="19"/>
          <w:szCs w:val="19"/>
          <w:b w:val="1"/>
          <w:bCs w:val="1"/>
          <w:color w:val="auto"/>
          <w:vertAlign w:val="superscript"/>
        </w:rPr>
      </w:pPr>
    </w:p>
    <w:p>
      <w:pPr>
        <w:ind w:left="460" w:right="140" w:hanging="452"/>
        <w:spacing w:after="0" w:line="184" w:lineRule="auto"/>
        <w:tabs>
          <w:tab w:leader="none" w:pos="460" w:val="left"/>
        </w:tabs>
        <w:numPr>
          <w:ilvl w:val="0"/>
          <w:numId w:val="52"/>
        </w:numPr>
        <w:rPr>
          <w:rFonts w:ascii="Arial" w:cs="Arial" w:eastAsia="Arial" w:hAnsi="Arial"/>
          <w:sz w:val="20"/>
          <w:szCs w:val="20"/>
          <w:b w:val="1"/>
          <w:bCs w:val="1"/>
          <w:color w:val="auto"/>
          <w:vertAlign w:val="superscript"/>
        </w:rPr>
      </w:pPr>
      <w:r>
        <w:rPr>
          <w:rFonts w:ascii="Arial" w:cs="Arial" w:eastAsia="Arial" w:hAnsi="Arial"/>
          <w:sz w:val="12"/>
          <w:szCs w:val="12"/>
          <w:color w:val="auto"/>
        </w:rPr>
        <w:t>The contractual management fee is calculated at an annual rate of 1.50% of our average adjusted gross assets up to 200% of the Company’s total net assets as of the immediately preceding quarter-end and 1.00% for amounts that exceed such amount on September 30, 2021. See “Business—Investment Management Agreement” and “Business—Management Fees” for more information.</w:t>
      </w:r>
    </w:p>
    <w:p>
      <w:pPr>
        <w:spacing w:after="0" w:line="122" w:lineRule="exact"/>
        <w:rPr>
          <w:rFonts w:ascii="Arial" w:cs="Arial" w:eastAsia="Arial" w:hAnsi="Arial"/>
          <w:sz w:val="20"/>
          <w:szCs w:val="20"/>
          <w:b w:val="1"/>
          <w:bCs w:val="1"/>
          <w:color w:val="auto"/>
          <w:vertAlign w:val="superscript"/>
        </w:rPr>
      </w:pPr>
    </w:p>
    <w:p>
      <w:pPr>
        <w:ind w:left="460" w:right="20" w:hanging="452"/>
        <w:spacing w:after="0" w:line="235" w:lineRule="auto"/>
        <w:tabs>
          <w:tab w:leader="none" w:pos="460" w:val="left"/>
        </w:tabs>
        <w:numPr>
          <w:ilvl w:val="0"/>
          <w:numId w:val="52"/>
        </w:numPr>
        <w:rPr>
          <w:rFonts w:ascii="Arial" w:cs="Arial" w:eastAsia="Arial" w:hAnsi="Arial"/>
          <w:sz w:val="19"/>
          <w:szCs w:val="19"/>
          <w:b w:val="1"/>
          <w:bCs w:val="1"/>
          <w:color w:val="auto"/>
          <w:vertAlign w:val="superscript"/>
        </w:rPr>
      </w:pPr>
      <w:r>
        <w:rPr>
          <w:rFonts w:ascii="Arial" w:cs="Arial" w:eastAsia="Arial" w:hAnsi="Arial"/>
          <w:sz w:val="11"/>
          <w:szCs w:val="11"/>
          <w:color w:val="auto"/>
        </w:rPr>
        <w:t>The portion of incentive fees paid with respect to net investment income and capital gains, if any, is based on actual amounts incurred during the fiscal year ended September 30, 2021.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17.5%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GAAP. As we cannot predict our future net investment income or capital gains, the incentive fee paid in future periods, if any, may be substantially different than the fee earned during the fiscal year ended September 30, 2021. For more detailed information about the incentive fee, please see “Business—Investment Management Agreement” and “Business—Management Fees” for more information.</w:t>
      </w:r>
    </w:p>
    <w:p>
      <w:pPr>
        <w:spacing w:after="0" w:line="122" w:lineRule="exact"/>
        <w:rPr>
          <w:rFonts w:ascii="Arial" w:cs="Arial" w:eastAsia="Arial" w:hAnsi="Arial"/>
          <w:sz w:val="19"/>
          <w:szCs w:val="19"/>
          <w:b w:val="1"/>
          <w:bCs w:val="1"/>
          <w:color w:val="auto"/>
          <w:vertAlign w:val="superscript"/>
        </w:rPr>
      </w:pPr>
    </w:p>
    <w:p>
      <w:pPr>
        <w:ind w:left="460" w:right="60" w:hanging="452"/>
        <w:spacing w:after="0" w:line="231" w:lineRule="auto"/>
        <w:tabs>
          <w:tab w:leader="none" w:pos="460" w:val="left"/>
        </w:tabs>
        <w:numPr>
          <w:ilvl w:val="0"/>
          <w:numId w:val="52"/>
        </w:numPr>
        <w:rPr>
          <w:rFonts w:ascii="Arial" w:cs="Arial" w:eastAsia="Arial" w:hAnsi="Arial"/>
          <w:sz w:val="19"/>
          <w:szCs w:val="19"/>
          <w:b w:val="1"/>
          <w:bCs w:val="1"/>
          <w:color w:val="auto"/>
          <w:vertAlign w:val="superscript"/>
        </w:rPr>
      </w:pPr>
      <w:r>
        <w:rPr>
          <w:rFonts w:ascii="Arial" w:cs="Arial" w:eastAsia="Arial" w:hAnsi="Arial"/>
          <w:sz w:val="11"/>
          <w:szCs w:val="11"/>
          <w:color w:val="auto"/>
        </w:rPr>
        <w:t>As of September 30, 2021, we had $118.5 million of unused borrowing capacity, subject to maintenance of the applicable total assets to debt ratio, under the 1940 Act. As of such date, we had $316.5 million in borrowings outstanding under our $435.0 million Truist Credit Facility, $86.3 million in aggregate principal of 2024 Notes and $150.0 million in aggregate principal of 2026 Notes. As of September 30, 2021, our SBIC Fund had debenture commitments from the SBA in the amount of $63.5 million, all of which were outstanding with a weighted average interest rate of 3.3%, exclusive of the 3.4% of upfront fees. We may use proceeds of any offering of securities under any applicable registration statement to repay outstanding obligations under our Credit Facilities. After completing any such offering, we may continue to borrow under our Credit Facilities to finance our investment objectives. Annual interest expense on borrowed funds represents actual interest expense incurred for the fiscal year ended September 30, 2021 and amendment costs and make-whole premiums, if any, and we caution you that our actual interest expense will depend on prevailing interest rates and our rate of borrowing, which may be substantially higher than the estimate provided in this table.</w:t>
      </w:r>
    </w:p>
    <w:p>
      <w:pPr>
        <w:spacing w:after="0" w:line="1" w:lineRule="exact"/>
        <w:rPr>
          <w:rFonts w:ascii="Arial" w:cs="Arial" w:eastAsia="Arial" w:hAnsi="Arial"/>
          <w:sz w:val="19"/>
          <w:szCs w:val="19"/>
          <w:b w:val="1"/>
          <w:bCs w:val="1"/>
          <w:color w:val="auto"/>
          <w:vertAlign w:val="superscript"/>
        </w:rPr>
      </w:pPr>
    </w:p>
    <w:p>
      <w:pPr>
        <w:ind w:left="460" w:hanging="452"/>
        <w:spacing w:after="0" w:line="187" w:lineRule="auto"/>
        <w:tabs>
          <w:tab w:leader="none" w:pos="460" w:val="left"/>
        </w:tabs>
        <w:numPr>
          <w:ilvl w:val="0"/>
          <w:numId w:val="52"/>
        </w:numPr>
        <w:rPr>
          <w:rFonts w:ascii="Arial" w:cs="Arial" w:eastAsia="Arial" w:hAnsi="Arial"/>
          <w:sz w:val="15"/>
          <w:szCs w:val="15"/>
          <w:b w:val="1"/>
          <w:bCs w:val="1"/>
          <w:color w:val="auto"/>
          <w:vertAlign w:val="superscript"/>
        </w:rPr>
      </w:pPr>
      <w:r>
        <w:rPr>
          <w:rFonts w:ascii="Arial" w:cs="Arial" w:eastAsia="Arial" w:hAnsi="Arial"/>
          <w:sz w:val="9"/>
          <w:szCs w:val="9"/>
          <w:color w:val="auto"/>
        </w:rPr>
        <w:t>Our stockholders indirectly bear 60.5% of the expenses of our investment in PSLF. No management fee is charged by PennantPark Investment Advisers in connection with PSLF. PSLF pays the Administrator an annual fee of</w:t>
      </w:r>
    </w:p>
    <w:p>
      <w:pPr>
        <w:ind w:left="460" w:right="60"/>
        <w:spacing w:after="0" w:line="234" w:lineRule="auto"/>
        <w:rPr>
          <w:rFonts w:ascii="Arial" w:cs="Arial" w:eastAsia="Arial" w:hAnsi="Arial"/>
          <w:sz w:val="15"/>
          <w:szCs w:val="15"/>
          <w:b w:val="1"/>
          <w:bCs w:val="1"/>
          <w:color w:val="auto"/>
          <w:vertAlign w:val="superscript"/>
        </w:rPr>
      </w:pPr>
      <w:r>
        <w:rPr>
          <w:rFonts w:ascii="Arial" w:cs="Arial" w:eastAsia="Arial" w:hAnsi="Arial"/>
          <w:sz w:val="12"/>
          <w:szCs w:val="12"/>
          <w:color w:val="auto"/>
        </w:rPr>
        <w:t>0.25% of average gross assets under management. For this chart, PSLF fees and operating expenses are based on our share of the actual fees and operating expenses of PSLF for the fiscal year ended September 30, 2021. Expenses for PSLF may fluctuate over time and may be substantially higher or lower in the future.</w:t>
      </w:r>
    </w:p>
    <w:p>
      <w:pPr>
        <w:ind w:left="460" w:right="20" w:hanging="452"/>
        <w:spacing w:after="0" w:line="187" w:lineRule="auto"/>
        <w:tabs>
          <w:tab w:leader="none" w:pos="460" w:val="left"/>
        </w:tabs>
        <w:numPr>
          <w:ilvl w:val="0"/>
          <w:numId w:val="52"/>
        </w:numPr>
        <w:rPr>
          <w:rFonts w:ascii="Arial" w:cs="Arial" w:eastAsia="Arial" w:hAnsi="Arial"/>
          <w:sz w:val="19"/>
          <w:szCs w:val="19"/>
          <w:b w:val="1"/>
          <w:bCs w:val="1"/>
          <w:color w:val="auto"/>
          <w:vertAlign w:val="superscript"/>
        </w:rPr>
      </w:pPr>
      <w:r>
        <w:rPr>
          <w:rFonts w:ascii="Arial" w:cs="Arial" w:eastAsia="Arial" w:hAnsi="Arial"/>
          <w:sz w:val="11"/>
          <w:szCs w:val="11"/>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w:t>
      </w:r>
    </w:p>
    <w:p>
      <w:pPr>
        <w:spacing w:after="0" w:line="1" w:lineRule="exact"/>
        <w:rPr>
          <w:rFonts w:ascii="Arial" w:cs="Arial" w:eastAsia="Arial" w:hAnsi="Arial"/>
          <w:sz w:val="19"/>
          <w:szCs w:val="19"/>
          <w:b w:val="1"/>
          <w:bCs w:val="1"/>
          <w:color w:val="auto"/>
          <w:vertAlign w:val="superscript"/>
        </w:rPr>
      </w:pPr>
    </w:p>
    <w:p>
      <w:pPr>
        <w:ind w:left="460" w:right="40" w:hanging="452"/>
        <w:spacing w:after="0" w:line="202" w:lineRule="auto"/>
        <w:tabs>
          <w:tab w:leader="none" w:pos="460" w:val="left"/>
        </w:tabs>
        <w:numPr>
          <w:ilvl w:val="0"/>
          <w:numId w:val="52"/>
        </w:numPr>
        <w:rPr>
          <w:rFonts w:ascii="Arial" w:cs="Arial" w:eastAsia="Arial" w:hAnsi="Arial"/>
          <w:sz w:val="20"/>
          <w:szCs w:val="20"/>
          <w:b w:val="1"/>
          <w:bCs w:val="1"/>
          <w:color w:val="auto"/>
          <w:vertAlign w:val="superscript"/>
        </w:rPr>
      </w:pPr>
      <w:r>
        <w:rPr>
          <w:rFonts w:ascii="Arial" w:cs="Arial" w:eastAsia="Arial" w:hAnsi="Arial"/>
          <w:sz w:val="12"/>
          <w:szCs w:val="12"/>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4.7% of average total assets.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w:t>
      </w:r>
    </w:p>
    <w:p>
      <w:pPr>
        <w:spacing w:after="0" w:line="100" w:lineRule="exact"/>
        <w:rPr>
          <w:sz w:val="20"/>
          <w:szCs w:val="20"/>
          <w:color w:val="auto"/>
        </w:rPr>
      </w:pPr>
    </w:p>
    <w:p>
      <w:pPr>
        <w:ind w:right="160" w:firstLine="456"/>
        <w:spacing w:after="0" w:line="238" w:lineRule="auto"/>
        <w:rPr>
          <w:sz w:val="20"/>
          <w:szCs w:val="20"/>
          <w:color w:val="auto"/>
        </w:rPr>
      </w:pPr>
      <w:r>
        <w:rPr>
          <w:rFonts w:ascii="Arial" w:cs="Arial" w:eastAsia="Arial" w:hAnsi="Arial"/>
          <w:sz w:val="14"/>
          <w:szCs w:val="14"/>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0.51%, (2) total net annual expenses of 9.13% of average net assets attributable to common shares as set forth in the table above (other than performance-based incentive fees) and (3) a 5% annual return.</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20"/>
                <w:szCs w:val="20"/>
                <w:color w:val="auto"/>
              </w:rPr>
            </w:pPr>
            <w:r>
              <w:rPr>
                <w:rFonts w:ascii="Arial" w:cs="Arial" w:eastAsia="Arial" w:hAnsi="Arial"/>
                <w:sz w:val="14"/>
                <w:szCs w:val="14"/>
                <w:b w:val="1"/>
                <w:bCs w:val="1"/>
                <w:color w:val="auto"/>
              </w:rPr>
              <w:t>You would pay the following expenses on a $1,000 common stock investment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1 Years</w:t>
            </w:r>
          </w:p>
        </w:tc>
        <w:tc>
          <w:tcPr>
            <w:tcW w:w="14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3 Years</w:t>
            </w:r>
          </w:p>
        </w:tc>
        <w:tc>
          <w:tcPr>
            <w:tcW w:w="1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Arial" w:cs="Arial" w:eastAsia="Arial" w:hAnsi="Arial"/>
                <w:sz w:val="14"/>
                <w:szCs w:val="14"/>
                <w:b w:val="1"/>
                <w:bCs w:val="1"/>
                <w:color w:val="auto"/>
              </w:rPr>
              <w:t>5 Years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268"/>
              <w:spacing w:after="0"/>
              <w:rPr>
                <w:sz w:val="20"/>
                <w:szCs w:val="20"/>
                <w:color w:val="auto"/>
              </w:rPr>
            </w:pPr>
            <w:r>
              <w:rPr>
                <w:rFonts w:ascii="Arial" w:cs="Arial" w:eastAsia="Arial" w:hAnsi="Arial"/>
                <w:sz w:val="14"/>
                <w:szCs w:val="14"/>
                <w:b w:val="1"/>
                <w:bCs w:val="1"/>
                <w:color w:val="auto"/>
                <w:w w:val="97"/>
              </w:rPr>
              <w:t>10 Years</w:t>
            </w:r>
          </w:p>
        </w:tc>
      </w:tr>
      <w:tr>
        <w:trPr>
          <w:trHeight w:val="156"/>
        </w:trPr>
        <w:tc>
          <w:tcPr>
            <w:tcW w:w="654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Assuming a 5% annual return (assumes no return from net realized capital gains or net</w:t>
            </w:r>
          </w:p>
        </w:tc>
        <w:tc>
          <w:tcPr>
            <w:tcW w:w="14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880" w:type="dxa"/>
            <w:vAlign w:val="bottom"/>
            <w:tcBorders>
              <w:top w:val="single" w:sz="8" w:color="auto"/>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880" w:type="dxa"/>
            <w:vAlign w:val="bottom"/>
            <w:tcBorders>
              <w:top w:val="single" w:sz="8" w:color="auto"/>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880" w:type="dxa"/>
            <w:vAlign w:val="bottom"/>
            <w:tcBorders>
              <w:top w:val="single" w:sz="8" w:color="auto"/>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920" w:type="dxa"/>
            <w:vAlign w:val="bottom"/>
            <w:tcBorders>
              <w:top w:val="single" w:sz="8" w:color="auto"/>
            </w:tcBorders>
            <w:shd w:val="clear" w:color="auto" w:fill="CCECFF"/>
          </w:tcPr>
          <w:p>
            <w:pPr>
              <w:spacing w:after="0"/>
              <w:rPr>
                <w:sz w:val="13"/>
                <w:szCs w:val="13"/>
                <w:color w:val="auto"/>
              </w:rPr>
            </w:pPr>
          </w:p>
        </w:tc>
      </w:tr>
      <w:tr>
        <w:trPr>
          <w:trHeight w:val="162"/>
        </w:trPr>
        <w:tc>
          <w:tcPr>
            <w:tcW w:w="6540" w:type="dxa"/>
            <w:vAlign w:val="bottom"/>
            <w:shd w:val="clear" w:color="auto" w:fill="CCECFF"/>
          </w:tcPr>
          <w:p>
            <w:pPr>
              <w:ind w:left="120"/>
              <w:spacing w:after="0"/>
              <w:rPr>
                <w:sz w:val="20"/>
                <w:szCs w:val="20"/>
                <w:color w:val="auto"/>
              </w:rPr>
            </w:pPr>
            <w:r>
              <w:rPr>
                <w:rFonts w:ascii="Arial" w:cs="Arial" w:eastAsia="Arial" w:hAnsi="Arial"/>
                <w:sz w:val="14"/>
                <w:szCs w:val="14"/>
                <w:color w:val="auto"/>
              </w:rPr>
              <w:t>unrealized capital appreciation)</w:t>
            </w:r>
          </w:p>
        </w:tc>
        <w:tc>
          <w:tcPr>
            <w:tcW w:w="28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ind w:right="328"/>
              <w:spacing w:after="0"/>
              <w:rPr>
                <w:sz w:val="20"/>
                <w:szCs w:val="20"/>
                <w:color w:val="auto"/>
              </w:rPr>
            </w:pPr>
            <w:r>
              <w:rPr>
                <w:rFonts w:ascii="Arial" w:cs="Arial" w:eastAsia="Arial" w:hAnsi="Arial"/>
                <w:sz w:val="14"/>
                <w:szCs w:val="14"/>
                <w:color w:val="auto"/>
              </w:rPr>
              <w:t>121</w:t>
            </w:r>
          </w:p>
        </w:tc>
        <w:tc>
          <w:tcPr>
            <w:tcW w:w="140" w:type="dxa"/>
            <w:vAlign w:val="bottom"/>
            <w:shd w:val="clear" w:color="auto" w:fill="CCECFF"/>
          </w:tcPr>
          <w:p>
            <w:pPr>
              <w:spacing w:after="0"/>
              <w:rPr>
                <w:sz w:val="14"/>
                <w:szCs w:val="14"/>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CFF"/>
          </w:tcPr>
          <w:p>
            <w:pPr>
              <w:jc w:val="right"/>
              <w:ind w:right="328"/>
              <w:spacing w:after="0"/>
              <w:rPr>
                <w:sz w:val="20"/>
                <w:szCs w:val="20"/>
                <w:color w:val="auto"/>
              </w:rPr>
            </w:pPr>
            <w:r>
              <w:rPr>
                <w:rFonts w:ascii="Arial" w:cs="Arial" w:eastAsia="Arial" w:hAnsi="Arial"/>
                <w:sz w:val="14"/>
                <w:szCs w:val="14"/>
                <w:color w:val="auto"/>
              </w:rPr>
              <w:t>283</w:t>
            </w:r>
          </w:p>
        </w:tc>
        <w:tc>
          <w:tcPr>
            <w:tcW w:w="140" w:type="dxa"/>
            <w:vAlign w:val="bottom"/>
            <w:shd w:val="clear" w:color="auto" w:fill="CCECFF"/>
          </w:tcPr>
          <w:p>
            <w:pPr>
              <w:spacing w:after="0"/>
              <w:rPr>
                <w:sz w:val="14"/>
                <w:szCs w:val="14"/>
                <w:color w:val="auto"/>
              </w:rPr>
            </w:pPr>
          </w:p>
        </w:tc>
        <w:tc>
          <w:tcPr>
            <w:tcW w:w="160" w:type="dxa"/>
            <w:vAlign w:val="bottom"/>
            <w:shd w:val="clear" w:color="auto" w:fill="CCEC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CFF"/>
          </w:tcPr>
          <w:p>
            <w:pPr>
              <w:jc w:val="right"/>
              <w:ind w:right="348"/>
              <w:spacing w:after="0"/>
              <w:rPr>
                <w:sz w:val="20"/>
                <w:szCs w:val="20"/>
                <w:color w:val="auto"/>
              </w:rPr>
            </w:pPr>
            <w:r>
              <w:rPr>
                <w:rFonts w:ascii="Arial" w:cs="Arial" w:eastAsia="Arial" w:hAnsi="Arial"/>
                <w:sz w:val="14"/>
                <w:szCs w:val="14"/>
                <w:color w:val="auto"/>
              </w:rPr>
              <w:t>432</w:t>
            </w:r>
          </w:p>
        </w:tc>
        <w:tc>
          <w:tcPr>
            <w:tcW w:w="28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CFF"/>
          </w:tcPr>
          <w:p>
            <w:pPr>
              <w:jc w:val="right"/>
              <w:ind w:right="368"/>
              <w:spacing w:after="0"/>
              <w:rPr>
                <w:sz w:val="20"/>
                <w:szCs w:val="20"/>
                <w:color w:val="auto"/>
              </w:rPr>
            </w:pPr>
            <w:r>
              <w:rPr>
                <w:rFonts w:ascii="Arial" w:cs="Arial" w:eastAsia="Arial" w:hAnsi="Arial"/>
                <w:sz w:val="14"/>
                <w:szCs w:val="14"/>
                <w:color w:val="auto"/>
              </w:rPr>
              <w:t>754</w:t>
            </w:r>
          </w:p>
        </w:tc>
      </w:tr>
      <w:tr>
        <w:trPr>
          <w:trHeight w:val="157"/>
        </w:trPr>
        <w:tc>
          <w:tcPr>
            <w:tcW w:w="6540" w:type="dxa"/>
            <w:vAlign w:val="bottom"/>
          </w:tcPr>
          <w:p>
            <w:pPr>
              <w:spacing w:after="0" w:line="157" w:lineRule="exact"/>
              <w:rPr>
                <w:sz w:val="20"/>
                <w:szCs w:val="20"/>
                <w:color w:val="auto"/>
              </w:rPr>
            </w:pPr>
            <w:r>
              <w:rPr>
                <w:rFonts w:ascii="Arial" w:cs="Arial" w:eastAsia="Arial" w:hAnsi="Arial"/>
                <w:sz w:val="14"/>
                <w:szCs w:val="14"/>
                <w:color w:val="auto"/>
              </w:rPr>
              <w:t>Assuming a 5% annual return (assumes return only from realized capital gains and thus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2"/>
        </w:trPr>
        <w:tc>
          <w:tcPr>
            <w:tcW w:w="6540" w:type="dxa"/>
            <w:vAlign w:val="bottom"/>
          </w:tcPr>
          <w:p>
            <w:pPr>
              <w:ind w:left="120"/>
              <w:spacing w:after="0"/>
              <w:rPr>
                <w:sz w:val="20"/>
                <w:szCs w:val="20"/>
                <w:color w:val="auto"/>
              </w:rPr>
            </w:pPr>
            <w:r>
              <w:rPr>
                <w:rFonts w:ascii="Arial" w:cs="Arial" w:eastAsia="Arial" w:hAnsi="Arial"/>
                <w:sz w:val="14"/>
                <w:szCs w:val="14"/>
                <w:color w:val="auto"/>
              </w:rPr>
              <w:t>subject to the capital gains incentive fee)</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28"/>
              <w:spacing w:after="0"/>
              <w:rPr>
                <w:sz w:val="20"/>
                <w:szCs w:val="20"/>
                <w:color w:val="auto"/>
              </w:rPr>
            </w:pPr>
            <w:r>
              <w:rPr>
                <w:rFonts w:ascii="Arial" w:cs="Arial" w:eastAsia="Arial" w:hAnsi="Arial"/>
                <w:sz w:val="14"/>
                <w:szCs w:val="14"/>
                <w:color w:val="auto"/>
              </w:rPr>
              <w:t>129</w:t>
            </w:r>
          </w:p>
        </w:tc>
        <w:tc>
          <w:tcPr>
            <w:tcW w:w="1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328"/>
              <w:spacing w:after="0"/>
              <w:rPr>
                <w:sz w:val="20"/>
                <w:szCs w:val="20"/>
                <w:color w:val="auto"/>
              </w:rPr>
            </w:pPr>
            <w:r>
              <w:rPr>
                <w:rFonts w:ascii="Arial" w:cs="Arial" w:eastAsia="Arial" w:hAnsi="Arial"/>
                <w:sz w:val="14"/>
                <w:szCs w:val="14"/>
                <w:color w:val="auto"/>
              </w:rPr>
              <w:t>304</w:t>
            </w:r>
          </w:p>
        </w:tc>
        <w:tc>
          <w:tcPr>
            <w:tcW w:w="14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348"/>
              <w:spacing w:after="0"/>
              <w:rPr>
                <w:sz w:val="20"/>
                <w:szCs w:val="20"/>
                <w:color w:val="auto"/>
              </w:rPr>
            </w:pPr>
            <w:r>
              <w:rPr>
                <w:rFonts w:ascii="Arial" w:cs="Arial" w:eastAsia="Arial" w:hAnsi="Arial"/>
                <w:sz w:val="14"/>
                <w:szCs w:val="14"/>
                <w:color w:val="auto"/>
              </w:rPr>
              <w:t>461</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68"/>
              <w:spacing w:after="0"/>
              <w:rPr>
                <w:sz w:val="20"/>
                <w:szCs w:val="20"/>
                <w:color w:val="auto"/>
              </w:rPr>
            </w:pPr>
            <w:r>
              <w:rPr>
                <w:rFonts w:ascii="Arial" w:cs="Arial" w:eastAsia="Arial" w:hAnsi="Arial"/>
                <w:sz w:val="14"/>
                <w:szCs w:val="14"/>
                <w:color w:val="auto"/>
              </w:rPr>
              <w:t>790</w:t>
            </w:r>
          </w:p>
        </w:tc>
      </w:tr>
    </w:tbl>
    <w:p>
      <w:pPr>
        <w:spacing w:after="0" w:line="7"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returns on our investments, including realized capital gains, result in an incentive fee, our expenses, and returns to investors, would be higher. The example assumes that all distributions are reinvested at NAV. Reinvestment of distributions under our dividend reinvestment plan may occur at a price per share that differs from NAV. See “Distributions” for more information.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0" w:name="page41"/>
    <w:bookmarkEnd w:id="40"/>
    <w:p>
      <w:pPr>
        <w:spacing w:after="0"/>
        <w:tabs>
          <w:tab w:leader="none" w:pos="98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Selected Financial Data</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Not applicable</w:t>
      </w:r>
    </w:p>
    <w:p>
      <w:pPr>
        <w:spacing w:after="0" w:line="204"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41" w:name="page42"/>
    <w:bookmarkEnd w:id="41"/>
    <w:p>
      <w:pPr>
        <w:spacing w:after="0"/>
        <w:tabs>
          <w:tab w:leader="none" w:pos="98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40"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17" w:lineRule="exact"/>
        <w:rPr>
          <w:sz w:val="20"/>
          <w:szCs w:val="20"/>
          <w:color w:val="auto"/>
        </w:rPr>
      </w:pPr>
    </w:p>
    <w:p>
      <w:pPr>
        <w:ind w:left="920" w:hanging="359"/>
        <w:spacing w:after="0"/>
        <w:tabs>
          <w:tab w:leader="none" w:pos="9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53"/>
        </w:numPr>
        <w:rPr>
          <w:rFonts w:ascii="Arial" w:cs="Arial" w:eastAsia="Arial" w:hAnsi="Arial"/>
          <w:sz w:val="13"/>
          <w:szCs w:val="13"/>
          <w:color w:val="auto"/>
        </w:rPr>
      </w:pPr>
      <w:r>
        <w:rPr>
          <w:rFonts w:ascii="Arial" w:cs="Arial" w:eastAsia="Arial" w:hAnsi="Arial"/>
          <w:sz w:val="13"/>
          <w:szCs w:val="13"/>
          <w:color w:val="auto"/>
        </w:rPr>
        <w:t>our business prospects and the prospects of our prospective portfolio companies, including as a result of the current pandemic caused by COVID-19 or any worsening there of;</w:t>
      </w:r>
    </w:p>
    <w:p>
      <w:pPr>
        <w:spacing w:after="0" w:line="215" w:lineRule="exact"/>
        <w:rPr>
          <w:rFonts w:ascii="Arial" w:cs="Arial" w:eastAsia="Arial" w:hAnsi="Arial"/>
          <w:sz w:val="13"/>
          <w:szCs w:val="13"/>
          <w:color w:val="auto"/>
        </w:rPr>
      </w:pPr>
    </w:p>
    <w:p>
      <w:pPr>
        <w:ind w:left="920" w:right="320" w:hanging="359"/>
        <w:spacing w:after="0" w:line="253" w:lineRule="auto"/>
        <w:tabs>
          <w:tab w:leader="none" w:pos="9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 or any worsening there of;</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our ability to continue to effectively manage our business due to the significant disruptions caused by the current COVID-19 pandemic or any worsening there of;</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impact of the United Kingdom’s withdrawal from the European Union and other world economic and political issues.</w:t>
      </w:r>
    </w:p>
    <w:p>
      <w:pPr>
        <w:spacing w:after="0" w:line="204" w:lineRule="exact"/>
        <w:rPr>
          <w:sz w:val="20"/>
          <w:szCs w:val="20"/>
          <w:color w:val="auto"/>
        </w:rPr>
      </w:pPr>
    </w:p>
    <w:p>
      <w:pPr>
        <w:ind w:right="140" w:firstLine="438"/>
        <w:spacing w:after="0" w:line="238"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02"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 looking statement in this Report should not be regarded as a representation by us that our plans and objectives will be achieved.</w:t>
      </w:r>
    </w:p>
    <w:p>
      <w:pPr>
        <w:spacing w:after="0" w:line="117"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7" w:lineRule="exact"/>
        <w:rPr>
          <w:sz w:val="20"/>
          <w:szCs w:val="20"/>
          <w:color w:val="auto"/>
        </w:rPr>
      </w:pPr>
    </w:p>
    <w:p>
      <w:pPr>
        <w:ind w:right="520" w:firstLine="438"/>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93" w:lineRule="exact"/>
        <w:rPr>
          <w:sz w:val="20"/>
          <w:szCs w:val="20"/>
          <w:color w:val="auto"/>
        </w:rPr>
      </w:pPr>
    </w:p>
    <w:p>
      <w:pPr>
        <w:ind w:right="560" w:firstLine="438"/>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4"/>
          <w:szCs w:val="14"/>
          <w:b w:val="1"/>
          <w:bCs w:val="1"/>
          <w:i w:val="1"/>
          <w:iCs w:val="1"/>
          <w:color w:val="auto"/>
        </w:rPr>
        <w:t>Overview</w:t>
      </w:r>
    </w:p>
    <w:p>
      <w:pPr>
        <w:spacing w:after="0" w:line="136" w:lineRule="exact"/>
        <w:rPr>
          <w:sz w:val="20"/>
          <w:szCs w:val="20"/>
          <w:color w:val="auto"/>
        </w:rPr>
      </w:pPr>
    </w:p>
    <w:p>
      <w:pPr>
        <w:ind w:right="240" w:firstLine="438"/>
        <w:spacing w:after="0" w:line="290" w:lineRule="auto"/>
        <w:rPr>
          <w:sz w:val="20"/>
          <w:szCs w:val="20"/>
          <w:color w:val="auto"/>
        </w:rPr>
      </w:pPr>
      <w:r>
        <w:rPr>
          <w:rFonts w:ascii="Arial" w:cs="Arial" w:eastAsia="Arial" w:hAnsi="Arial"/>
          <w:sz w:val="13"/>
          <w:szCs w:val="13"/>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71" w:lineRule="exact"/>
        <w:rPr>
          <w:sz w:val="20"/>
          <w:szCs w:val="20"/>
          <w:color w:val="auto"/>
        </w:rPr>
      </w:pPr>
    </w:p>
    <w:p>
      <w:pPr>
        <w:ind w:firstLine="438"/>
        <w:spacing w:after="0" w:line="245" w:lineRule="auto"/>
        <w:rPr>
          <w:sz w:val="20"/>
          <w:szCs w:val="20"/>
          <w:color w:val="auto"/>
        </w:rPr>
      </w:pPr>
      <w:r>
        <w:rPr>
          <w:rFonts w:ascii="Arial" w:cs="Arial" w:eastAsia="Arial" w:hAnsi="Arial"/>
          <w:sz w:val="13"/>
          <w:szCs w:val="13"/>
          <w:color w:val="auto"/>
        </w:rPr>
        <w:t>We believe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42" w:name="page43"/>
    <w:bookmarkEnd w:id="42"/>
    <w:p>
      <w:pPr>
        <w:ind w:right="200" w:firstLine="438"/>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96" w:lineRule="exact"/>
        <w:rPr>
          <w:sz w:val="20"/>
          <w:szCs w:val="20"/>
          <w:color w:val="auto"/>
        </w:rPr>
      </w:pPr>
    </w:p>
    <w:p>
      <w:pPr>
        <w:ind w:right="120" w:firstLine="438"/>
        <w:spacing w:after="0" w:line="290" w:lineRule="auto"/>
        <w:rPr>
          <w:sz w:val="20"/>
          <w:szCs w:val="20"/>
          <w:color w:val="auto"/>
        </w:rPr>
      </w:pPr>
      <w:r>
        <w:rPr>
          <w:rFonts w:ascii="Arial" w:cs="Arial" w:eastAsia="Arial" w:hAnsi="Arial"/>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44"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SBIC II, our wholly-owned subsidiary, was organized as a Delaware limited partnership in 2012. SBIC II received a license from the SBA to operate as a SBIC under Section 301(c) of the 1958 Act. SBIC II’s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75" w:lineRule="exact"/>
        <w:rPr>
          <w:sz w:val="20"/>
          <w:szCs w:val="20"/>
          <w:color w:val="auto"/>
        </w:rPr>
      </w:pPr>
    </w:p>
    <w:p>
      <w:pPr>
        <w:ind w:right="40" w:firstLine="438"/>
        <w:spacing w:after="0" w:line="227"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SBIC II under its investment management agreement. SBIC II’s investment management agreement does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SBIC II under its administration agreement with us. Our board of directors, a majority of whom are independent of us, provides overall supervision of our activities, and the Investment Adviser supervises our day-to-day activities.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COVID-19 Developments</w:t>
      </w:r>
    </w:p>
    <w:p>
      <w:pPr>
        <w:spacing w:after="0" w:line="136" w:lineRule="exact"/>
        <w:rPr>
          <w:sz w:val="20"/>
          <w:szCs w:val="20"/>
          <w:color w:val="auto"/>
        </w:rPr>
      </w:pPr>
    </w:p>
    <w:p>
      <w:pPr>
        <w:ind w:right="20" w:firstLine="499"/>
        <w:spacing w:after="0" w:line="228" w:lineRule="auto"/>
        <w:rPr>
          <w:sz w:val="20"/>
          <w:szCs w:val="20"/>
          <w:color w:val="auto"/>
        </w:rPr>
      </w:pPr>
      <w:r>
        <w:rPr>
          <w:rFonts w:ascii="Arial" w:cs="Arial" w:eastAsia="Arial" w:hAnsi="Arial"/>
          <w:sz w:val="14"/>
          <w:szCs w:val="14"/>
          <w:color w:val="auto"/>
        </w:rPr>
        <w:t>COVID-19 was first detected in December 2019 and has since been identified as a global pandemic by the World Health Organization. The effect of the ongoing COVID-19 pandemic or any worsening thereof, uncertainty relating to more contagious strains of the virus, the length of recovery of certain economic sectors in the U.S. and globally and the speed and efficiency of the vaccination process, including the extent to which the available vaccines are ineffective against any new COVID- 19 variants may create stress on the market and may affect some of our portfolio companies. We cannot predict the full impact of the COVID-19 pandemic, including any worsening thereof or its duration in the United States and globally and any impact to our business operations or the business operations of our portfolio companies. Depending on the length and magnitude of the disruption to the operations of our portfolio companies, certain portfolio companies may experience financial distress and possibly default on their financial obligations to us and their other capital providers in the future. These developments could impact the value of our investments in such portfolio companies.</w:t>
      </w:r>
    </w:p>
    <w:p>
      <w:pPr>
        <w:spacing w:after="0" w:line="198" w:lineRule="exact"/>
        <w:rPr>
          <w:sz w:val="20"/>
          <w:szCs w:val="20"/>
          <w:color w:val="auto"/>
        </w:rPr>
      </w:pPr>
    </w:p>
    <w:p>
      <w:pPr>
        <w:ind w:right="160" w:firstLine="499"/>
        <w:spacing w:after="0" w:line="231" w:lineRule="auto"/>
        <w:rPr>
          <w:sz w:val="20"/>
          <w:szCs w:val="20"/>
          <w:color w:val="auto"/>
        </w:rPr>
      </w:pPr>
      <w:r>
        <w:rPr>
          <w:rFonts w:ascii="Arial" w:cs="Arial" w:eastAsia="Arial" w:hAnsi="Arial"/>
          <w:sz w:val="14"/>
          <w:szCs w:val="14"/>
          <w:color w:val="auto"/>
        </w:rPr>
        <w:t>The COVID-19 pandemic, including any worsening thereof, may have an adverse impact on certain sectors of the global economy. Particularly, COVID-19 presents material uncertainty and risk with respect to our future performance and financial results as well as the future performance and financial results of our portfolio companies due to the risk of any sever adverse reaction to the vaccine, politicization of the vaccination process or general public skepticism of the safety and efficacy of the vaccine. While we are unable to predict the ultimate adverse effect of the COVID-19 pandemic, or any worsening thereof, on our results of operation, we have identified certain factors that are likely to affect market, economic and geopolitical conditions, and thereby may adversely affect our business, including:</w:t>
      </w:r>
    </w:p>
    <w:p>
      <w:pPr>
        <w:spacing w:after="0" w:line="116" w:lineRule="exact"/>
        <w:rPr>
          <w:sz w:val="20"/>
          <w:szCs w:val="20"/>
          <w:color w:val="auto"/>
        </w:rPr>
      </w:pPr>
    </w:p>
    <w:p>
      <w:pPr>
        <w:ind w:left="1220" w:hanging="362"/>
        <w:spacing w:after="0"/>
        <w:tabs>
          <w:tab w:leader="none" w:pos="12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U.S. and global economic recovery;</w:t>
      </w:r>
    </w:p>
    <w:p>
      <w:pPr>
        <w:spacing w:after="0" w:line="55" w:lineRule="exact"/>
        <w:rPr>
          <w:rFonts w:ascii="Arial" w:cs="Arial" w:eastAsia="Arial" w:hAnsi="Arial"/>
          <w:sz w:val="14"/>
          <w:szCs w:val="14"/>
          <w:color w:val="auto"/>
        </w:rPr>
      </w:pPr>
    </w:p>
    <w:p>
      <w:pPr>
        <w:ind w:left="1220" w:hanging="362"/>
        <w:spacing w:after="0"/>
        <w:tabs>
          <w:tab w:leader="none" w:pos="12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changes in interest rates, including LIBOR;</w:t>
      </w:r>
    </w:p>
    <w:p>
      <w:pPr>
        <w:spacing w:after="0" w:line="55" w:lineRule="exact"/>
        <w:rPr>
          <w:rFonts w:ascii="Arial" w:cs="Arial" w:eastAsia="Arial" w:hAnsi="Arial"/>
          <w:sz w:val="14"/>
          <w:szCs w:val="14"/>
          <w:color w:val="auto"/>
        </w:rPr>
      </w:pPr>
    </w:p>
    <w:p>
      <w:pPr>
        <w:ind w:left="1220" w:hanging="362"/>
        <w:spacing w:after="0"/>
        <w:tabs>
          <w:tab w:leader="none" w:pos="12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limited availability of credit, both in the United States and internationally;</w:t>
      </w:r>
    </w:p>
    <w:p>
      <w:pPr>
        <w:spacing w:after="0" w:line="55" w:lineRule="exact"/>
        <w:rPr>
          <w:rFonts w:ascii="Arial" w:cs="Arial" w:eastAsia="Arial" w:hAnsi="Arial"/>
          <w:sz w:val="14"/>
          <w:szCs w:val="14"/>
          <w:color w:val="auto"/>
        </w:rPr>
      </w:pPr>
    </w:p>
    <w:p>
      <w:pPr>
        <w:ind w:left="1220" w:hanging="362"/>
        <w:spacing w:after="0"/>
        <w:tabs>
          <w:tab w:leader="none" w:pos="12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disruptions to supply-chains and price volatility;</w:t>
      </w:r>
    </w:p>
    <w:p>
      <w:pPr>
        <w:spacing w:after="0" w:line="55" w:lineRule="exact"/>
        <w:rPr>
          <w:rFonts w:ascii="Arial" w:cs="Arial" w:eastAsia="Arial" w:hAnsi="Arial"/>
          <w:sz w:val="14"/>
          <w:szCs w:val="14"/>
          <w:color w:val="auto"/>
        </w:rPr>
      </w:pPr>
    </w:p>
    <w:p>
      <w:pPr>
        <w:ind w:left="1220" w:hanging="362"/>
        <w:spacing w:after="0"/>
        <w:tabs>
          <w:tab w:leader="none" w:pos="12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changes to existing laws and regulations, or the imposition of new laws and regulations; and</w:t>
      </w:r>
    </w:p>
    <w:p>
      <w:pPr>
        <w:spacing w:after="0" w:line="55" w:lineRule="exact"/>
        <w:rPr>
          <w:rFonts w:ascii="Arial" w:cs="Arial" w:eastAsia="Arial" w:hAnsi="Arial"/>
          <w:sz w:val="14"/>
          <w:szCs w:val="14"/>
          <w:color w:val="auto"/>
        </w:rPr>
      </w:pPr>
    </w:p>
    <w:p>
      <w:pPr>
        <w:ind w:left="1220" w:hanging="362"/>
        <w:spacing w:after="0"/>
        <w:tabs>
          <w:tab w:leader="none" w:pos="12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uncertainty regarding future governmental and regulatory policies.</w:t>
      </w:r>
    </w:p>
    <w:p>
      <w:pPr>
        <w:spacing w:after="0" w:line="204" w:lineRule="exact"/>
        <w:rPr>
          <w:sz w:val="20"/>
          <w:szCs w:val="20"/>
          <w:color w:val="auto"/>
        </w:rPr>
      </w:pPr>
    </w:p>
    <w:p>
      <w:pPr>
        <w:ind w:right="60" w:firstLine="499"/>
        <w:spacing w:after="0" w:line="228" w:lineRule="auto"/>
        <w:rPr>
          <w:sz w:val="20"/>
          <w:szCs w:val="20"/>
          <w:color w:val="auto"/>
        </w:rPr>
      </w:pPr>
      <w:r>
        <w:rPr>
          <w:rFonts w:ascii="Arial" w:cs="Arial" w:eastAsia="Arial" w:hAnsi="Arial"/>
          <w:sz w:val="14"/>
          <w:szCs w:val="14"/>
          <w:color w:val="auto"/>
        </w:rPr>
        <w:t>The business disruption and financial harm resulting from the COVID-19 pandemic experienced by some of our portfolio companies may reduce, over time, the amount of interest and dividend income that we receive from such investments and may require us to provide an increase of capital to such companies in the form of follow on investments. In connection with the adverse effects of the COVID-19 pandemic, we may also need to restructure the capitalization of some of our portfolio companies, which could result in reduced interest payments, an increase in the amount of PIK interest we receive or a permanent reduction in the value of our investments. If our net investment income decreases, the percentage of our cash flows dedicated to debt servicing and distribution payments to stockholders would subsequently increase. This has required us to reduce the amount of our distributions to stockholders as compared to distributions in previous years. Although we had no non-accrual assets during the quarter ended September 30, 2021, the continuing impact of the COVID-19 pandemic, or any worsening thereof, may result in portfolio investments being placed on non-accrual status in the future.</w:t>
      </w:r>
    </w:p>
    <w:p>
      <w:pPr>
        <w:spacing w:after="0" w:line="117" w:lineRule="exact"/>
        <w:rPr>
          <w:sz w:val="20"/>
          <w:szCs w:val="20"/>
          <w:color w:val="auto"/>
        </w:rPr>
      </w:pPr>
    </w:p>
    <w:p>
      <w:pPr>
        <w:ind w:firstLine="483"/>
        <w:spacing w:after="0" w:line="231" w:lineRule="auto"/>
        <w:rPr>
          <w:sz w:val="20"/>
          <w:szCs w:val="20"/>
          <w:color w:val="auto"/>
        </w:rPr>
      </w:pPr>
      <w:r>
        <w:rPr>
          <w:rFonts w:ascii="Arial" w:cs="Arial" w:eastAsia="Arial" w:hAnsi="Arial"/>
          <w:sz w:val="14"/>
          <w:szCs w:val="14"/>
          <w:color w:val="auto"/>
        </w:rPr>
        <w:t>Additionally, as of September 30, 2021 and September 30, 2020, our asset coverage ratio, as computed in accordance with the 1940 Act, was 221% and 208%, respectively. The Truist Credit Facility includes standard covenants and events of default provisions. If we fail to make the required payments or breach the covenants therein, it could result in a default under the Truist Credit Facility. Failure to cure such default or obtain a waiver from the appropriate party would result in an event of default, and the lenders may accelerate the repayment of our indebtedness under the Truist Credit Facility, such that all amounts owed are due immediately at the time of default. Such an action would negatively affect our liquidity, business, financial condition, results of operations, cash flows and ability to pay distributions to our stockholders.</w:t>
      </w:r>
    </w:p>
    <w:p>
      <w:pPr>
        <w:spacing w:after="0" w:line="116" w:lineRule="exact"/>
        <w:rPr>
          <w:sz w:val="20"/>
          <w:szCs w:val="20"/>
          <w:color w:val="auto"/>
        </w:rPr>
      </w:pPr>
    </w:p>
    <w:p>
      <w:pPr>
        <w:ind w:right="80" w:firstLine="483"/>
        <w:spacing w:after="0" w:line="247" w:lineRule="auto"/>
        <w:rPr>
          <w:sz w:val="20"/>
          <w:szCs w:val="20"/>
          <w:color w:val="auto"/>
        </w:rPr>
      </w:pPr>
      <w:r>
        <w:rPr>
          <w:rFonts w:ascii="Arial" w:cs="Arial" w:eastAsia="Arial" w:hAnsi="Arial"/>
          <w:sz w:val="13"/>
          <w:szCs w:val="13"/>
          <w:color w:val="auto"/>
        </w:rPr>
        <w:t>We are also subject to financial risks, including changes in market interest rates. As of September 30, 2021, our debt portfolio consisted of 92% variable-rate investments. The variable-rate loans are usually based on a floating interest rate index such as LIBOR and typically have durations of three months after which they reset to current market interest rates. Variable-rate investments subject to a floor generally reset by reference to the current market index after one to nine months only if the index exceeds the floor. In addition, the Truist Credit Facility also has floating rate interest provisions, with pricing set at 225 basis points over LIBOR (or an alternative risk-free floating interest rate index). In connection with the COVID-19 pandemic, the U.S. Federal Reserve and other central banks have reduced interest rates, which has caused LIBOR to decrease. Due to such rates, our gross investment income may decrease, which could result in a decrease in our net investment income if such decreases in LIBOR are not offset by, among other things, a corresponding increase in the spread over LIBOR that we earn on such loans or a decrease in the interest rate of our floating interest rate liabilities tied to LIBOR. See “Item 3. Quantitative and Qualitative Disclosures About Market Risk” below.</w:t>
      </w:r>
    </w:p>
    <w:p>
      <w:pPr>
        <w:spacing w:after="0" w:line="111"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In addition, we have continued to implement our business continuity planning strategy. Our priority has been to safeguard the health of our employees and to ensure continuity of business operations on behalf of our investors. As a result of our business continuity planning strategy, nearly all of our employees have returned to the office. Our systems and infrastructure have continued to support our business operations. We implemented a heightened level of communication across senior management, our investment team and our board of directors, and we have proactively engaged with our vendors on a regular basis to ensure they continue to meet our criteria for business continuity.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23" w:lineRule="exact"/>
        <w:rPr>
          <w:sz w:val="20"/>
          <w:szCs w:val="20"/>
          <w:color w:val="auto"/>
        </w:rPr>
      </w:pPr>
    </w:p>
    <w:p>
      <w:pPr>
        <w:ind w:right="60" w:firstLine="438"/>
        <w:spacing w:after="0" w:line="226" w:lineRule="auto"/>
        <w:rPr>
          <w:sz w:val="20"/>
          <w:szCs w:val="20"/>
          <w:color w:val="auto"/>
        </w:rPr>
      </w:pPr>
      <w:r>
        <w:rPr>
          <w:rFonts w:ascii="Arial" w:cs="Arial" w:eastAsia="Arial" w:hAnsi="Arial"/>
          <w:sz w:val="14"/>
          <w:szCs w:val="14"/>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fixed or a floating rate. Interest on debt securities is generally payable quarterly or semiannually.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and deferred financing costs on liabilities, which we do not fair value,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04" w:lineRule="exact"/>
        <w:rPr>
          <w:sz w:val="20"/>
          <w:szCs w:val="20"/>
          <w:color w:val="auto"/>
        </w:rPr>
      </w:pPr>
    </w:p>
    <w:p>
      <w:pPr>
        <w:ind w:left="920" w:hanging="359"/>
        <w:spacing w:after="0"/>
        <w:tabs>
          <w:tab w:leader="none" w:pos="920" w:val="left"/>
        </w:tabs>
        <w:numPr>
          <w:ilvl w:val="0"/>
          <w:numId w:val="55"/>
        </w:numPr>
        <w:rPr>
          <w:rFonts w:ascii="Arial" w:cs="Arial" w:eastAsia="Arial" w:hAnsi="Arial"/>
          <w:sz w:val="14"/>
          <w:szCs w:val="14"/>
          <w:b w:val="1"/>
          <w:bCs w:val="1"/>
          <w:color w:val="auto"/>
        </w:rPr>
      </w:pPr>
      <w:r>
        <w:rPr>
          <w:rFonts w:ascii="Arial" w:cs="Arial" w:eastAsia="Arial" w:hAnsi="Arial"/>
          <w:sz w:val="14"/>
          <w:szCs w:val="14"/>
          <w:color w:val="auto"/>
        </w:rPr>
        <w:t>the cost of calculating our net asset value, including the cost of any third-party valuation services;</w:t>
      </w:r>
    </w:p>
    <w:p>
      <w:pPr>
        <w:spacing w:after="0" w:line="203" w:lineRule="exact"/>
        <w:rPr>
          <w:rFonts w:ascii="Arial" w:cs="Arial" w:eastAsia="Arial" w:hAnsi="Arial"/>
          <w:sz w:val="14"/>
          <w:szCs w:val="14"/>
          <w:b w:val="1"/>
          <w:bCs w:val="1"/>
          <w:color w:val="auto"/>
        </w:rPr>
      </w:pPr>
    </w:p>
    <w:p>
      <w:pPr>
        <w:ind w:left="920" w:hanging="359"/>
        <w:spacing w:after="0"/>
        <w:tabs>
          <w:tab w:leader="none" w:pos="920" w:val="left"/>
        </w:tabs>
        <w:numPr>
          <w:ilvl w:val="0"/>
          <w:numId w:val="55"/>
        </w:numPr>
        <w:rPr>
          <w:rFonts w:ascii="Arial" w:cs="Arial" w:eastAsia="Arial" w:hAnsi="Arial"/>
          <w:sz w:val="14"/>
          <w:szCs w:val="14"/>
          <w:b w:val="1"/>
          <w:bCs w:val="1"/>
          <w:color w:val="auto"/>
        </w:rPr>
      </w:pPr>
      <w:r>
        <w:rPr>
          <w:rFonts w:ascii="Arial" w:cs="Arial" w:eastAsia="Arial" w:hAnsi="Arial"/>
          <w:sz w:val="14"/>
          <w:szCs w:val="14"/>
          <w:color w:val="auto"/>
        </w:rPr>
        <w:t>the cost of effecting sales and repurchases of shares of our common stock and other securities;</w:t>
      </w:r>
    </w:p>
    <w:p>
      <w:pPr>
        <w:spacing w:after="0" w:line="203" w:lineRule="exact"/>
        <w:rPr>
          <w:rFonts w:ascii="Arial" w:cs="Arial" w:eastAsia="Arial" w:hAnsi="Arial"/>
          <w:sz w:val="14"/>
          <w:szCs w:val="14"/>
          <w:b w:val="1"/>
          <w:bCs w:val="1"/>
          <w:color w:val="auto"/>
        </w:rPr>
      </w:pPr>
    </w:p>
    <w:p>
      <w:pPr>
        <w:ind w:left="920" w:right="100" w:hanging="359"/>
        <w:spacing w:after="0" w:line="253" w:lineRule="auto"/>
        <w:tabs>
          <w:tab w:leader="none" w:pos="920" w:val="left"/>
        </w:tabs>
        <w:numPr>
          <w:ilvl w:val="0"/>
          <w:numId w:val="55"/>
        </w:numPr>
        <w:rPr>
          <w:rFonts w:ascii="Arial" w:cs="Arial" w:eastAsia="Arial" w:hAnsi="Arial"/>
          <w:sz w:val="14"/>
          <w:szCs w:val="14"/>
          <w:b w:val="1"/>
          <w:bCs w:val="1"/>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b w:val="1"/>
          <w:bCs w:val="1"/>
          <w:color w:val="auto"/>
        </w:rPr>
      </w:pPr>
    </w:p>
    <w:p>
      <w:pPr>
        <w:ind w:left="920" w:hanging="359"/>
        <w:spacing w:after="0"/>
        <w:tabs>
          <w:tab w:leader="none" w:pos="920" w:val="left"/>
        </w:tabs>
        <w:numPr>
          <w:ilvl w:val="0"/>
          <w:numId w:val="55"/>
        </w:numPr>
        <w:rPr>
          <w:rFonts w:ascii="Arial" w:cs="Arial" w:eastAsia="Arial" w:hAnsi="Arial"/>
          <w:sz w:val="14"/>
          <w:szCs w:val="14"/>
          <w:b w:val="1"/>
          <w:bCs w:val="1"/>
          <w:color w:val="auto"/>
        </w:rPr>
      </w:pPr>
      <w:r>
        <w:rPr>
          <w:rFonts w:ascii="Arial" w:cs="Arial" w:eastAsia="Arial" w:hAnsi="Arial"/>
          <w:sz w:val="14"/>
          <w:szCs w:val="14"/>
          <w:color w:val="auto"/>
        </w:rPr>
        <w:t>expenses incurred by the Investment Adviser in performing due diligence and reviews of investments;</w:t>
      </w:r>
    </w:p>
    <w:p>
      <w:pPr>
        <w:spacing w:after="0" w:line="203" w:lineRule="exact"/>
        <w:rPr>
          <w:rFonts w:ascii="Arial" w:cs="Arial" w:eastAsia="Arial" w:hAnsi="Arial"/>
          <w:sz w:val="14"/>
          <w:szCs w:val="14"/>
          <w:b w:val="1"/>
          <w:bCs w:val="1"/>
          <w:color w:val="auto"/>
        </w:rPr>
      </w:pPr>
    </w:p>
    <w:p>
      <w:pPr>
        <w:ind w:left="920" w:hanging="359"/>
        <w:spacing w:after="0"/>
        <w:tabs>
          <w:tab w:leader="none" w:pos="920" w:val="left"/>
        </w:tabs>
        <w:numPr>
          <w:ilvl w:val="0"/>
          <w:numId w:val="55"/>
        </w:numPr>
        <w:rPr>
          <w:rFonts w:ascii="Arial" w:cs="Arial" w:eastAsia="Arial" w:hAnsi="Arial"/>
          <w:sz w:val="14"/>
          <w:szCs w:val="14"/>
          <w:b w:val="1"/>
          <w:bCs w:val="1"/>
          <w:color w:val="auto"/>
        </w:rPr>
      </w:pPr>
      <w:r>
        <w:rPr>
          <w:rFonts w:ascii="Arial" w:cs="Arial" w:eastAsia="Arial" w:hAnsi="Arial"/>
          <w:sz w:val="14"/>
          <w:szCs w:val="14"/>
          <w:color w:val="auto"/>
        </w:rPr>
        <w:t>transfer agent and custodial fees;</w:t>
      </w:r>
    </w:p>
    <w:p>
      <w:pPr>
        <w:spacing w:after="0" w:line="203" w:lineRule="exact"/>
        <w:rPr>
          <w:rFonts w:ascii="Arial" w:cs="Arial" w:eastAsia="Arial" w:hAnsi="Arial"/>
          <w:sz w:val="14"/>
          <w:szCs w:val="14"/>
          <w:b w:val="1"/>
          <w:bCs w:val="1"/>
          <w:color w:val="auto"/>
        </w:rPr>
      </w:pPr>
    </w:p>
    <w:p>
      <w:pPr>
        <w:ind w:left="920" w:hanging="359"/>
        <w:spacing w:after="0"/>
        <w:tabs>
          <w:tab w:leader="none" w:pos="920" w:val="left"/>
        </w:tabs>
        <w:numPr>
          <w:ilvl w:val="0"/>
          <w:numId w:val="55"/>
        </w:numPr>
        <w:rPr>
          <w:rFonts w:ascii="Arial" w:cs="Arial" w:eastAsia="Arial" w:hAnsi="Arial"/>
          <w:sz w:val="14"/>
          <w:szCs w:val="14"/>
          <w:b w:val="1"/>
          <w:bCs w:val="1"/>
          <w:color w:val="auto"/>
        </w:rPr>
      </w:pPr>
      <w:r>
        <w:rPr>
          <w:rFonts w:ascii="Arial" w:cs="Arial" w:eastAsia="Arial" w:hAnsi="Arial"/>
          <w:sz w:val="14"/>
          <w:szCs w:val="14"/>
          <w:color w:val="auto"/>
        </w:rPr>
        <w:t>fees and expenses associated with marketing efforts;</w:t>
      </w:r>
    </w:p>
    <w:p>
      <w:pPr>
        <w:spacing w:after="0" w:line="203" w:lineRule="exact"/>
        <w:rPr>
          <w:rFonts w:ascii="Arial" w:cs="Arial" w:eastAsia="Arial" w:hAnsi="Arial"/>
          <w:sz w:val="14"/>
          <w:szCs w:val="14"/>
          <w:b w:val="1"/>
          <w:bCs w:val="1"/>
          <w:color w:val="auto"/>
        </w:rPr>
      </w:pPr>
    </w:p>
    <w:p>
      <w:pPr>
        <w:ind w:left="920" w:hanging="359"/>
        <w:spacing w:after="0"/>
        <w:tabs>
          <w:tab w:leader="none" w:pos="920" w:val="left"/>
        </w:tabs>
        <w:numPr>
          <w:ilvl w:val="0"/>
          <w:numId w:val="55"/>
        </w:numPr>
        <w:rPr>
          <w:rFonts w:ascii="Arial" w:cs="Arial" w:eastAsia="Arial" w:hAnsi="Arial"/>
          <w:sz w:val="14"/>
          <w:szCs w:val="14"/>
          <w:b w:val="1"/>
          <w:bCs w:val="1"/>
          <w:color w:val="auto"/>
        </w:rPr>
      </w:pPr>
      <w:r>
        <w:rPr>
          <w:rFonts w:ascii="Arial" w:cs="Arial" w:eastAsia="Arial" w:hAnsi="Arial"/>
          <w:sz w:val="14"/>
          <w:szCs w:val="14"/>
          <w:color w:val="auto"/>
        </w:rPr>
        <w:t>federal and state registration fees and any exchange listing fees;</w:t>
      </w:r>
    </w:p>
    <w:p>
      <w:pPr>
        <w:spacing w:after="0" w:line="203" w:lineRule="exact"/>
        <w:rPr>
          <w:rFonts w:ascii="Arial" w:cs="Arial" w:eastAsia="Arial" w:hAnsi="Arial"/>
          <w:sz w:val="14"/>
          <w:szCs w:val="14"/>
          <w:b w:val="1"/>
          <w:bCs w:val="1"/>
          <w:color w:val="auto"/>
        </w:rPr>
      </w:pPr>
    </w:p>
    <w:p>
      <w:pPr>
        <w:ind w:left="920" w:hanging="359"/>
        <w:spacing w:after="0"/>
        <w:tabs>
          <w:tab w:leader="none" w:pos="920" w:val="left"/>
        </w:tabs>
        <w:numPr>
          <w:ilvl w:val="0"/>
          <w:numId w:val="55"/>
        </w:numPr>
        <w:rPr>
          <w:rFonts w:ascii="Arial" w:cs="Arial" w:eastAsia="Arial" w:hAnsi="Arial"/>
          <w:sz w:val="14"/>
          <w:szCs w:val="14"/>
          <w:b w:val="1"/>
          <w:bCs w:val="1"/>
          <w:color w:val="auto"/>
        </w:rPr>
      </w:pPr>
      <w:r>
        <w:rPr>
          <w:rFonts w:ascii="Arial" w:cs="Arial" w:eastAsia="Arial" w:hAnsi="Arial"/>
          <w:sz w:val="14"/>
          <w:szCs w:val="14"/>
          <w:color w:val="auto"/>
        </w:rPr>
        <w:t>federal, state, local and foreign taxes;</w:t>
      </w:r>
    </w:p>
    <w:p>
      <w:pPr>
        <w:spacing w:after="0" w:line="203" w:lineRule="exact"/>
        <w:rPr>
          <w:rFonts w:ascii="Arial" w:cs="Arial" w:eastAsia="Arial" w:hAnsi="Arial"/>
          <w:sz w:val="14"/>
          <w:szCs w:val="14"/>
          <w:b w:val="1"/>
          <w:bCs w:val="1"/>
          <w:color w:val="auto"/>
        </w:rPr>
      </w:pPr>
    </w:p>
    <w:p>
      <w:pPr>
        <w:ind w:left="920" w:hanging="359"/>
        <w:spacing w:after="0"/>
        <w:tabs>
          <w:tab w:leader="none" w:pos="920" w:val="left"/>
        </w:tabs>
        <w:numPr>
          <w:ilvl w:val="0"/>
          <w:numId w:val="55"/>
        </w:numPr>
        <w:rPr>
          <w:rFonts w:ascii="Arial" w:cs="Arial" w:eastAsia="Arial" w:hAnsi="Arial"/>
          <w:sz w:val="14"/>
          <w:szCs w:val="14"/>
          <w:b w:val="1"/>
          <w:bCs w:val="1"/>
          <w:color w:val="auto"/>
        </w:rPr>
      </w:pPr>
      <w:r>
        <w:rPr>
          <w:rFonts w:ascii="Arial" w:cs="Arial" w:eastAsia="Arial" w:hAnsi="Arial"/>
          <w:sz w:val="14"/>
          <w:szCs w:val="14"/>
          <w:color w:val="auto"/>
        </w:rPr>
        <w:t>independent directors’ fees and expenses;</w:t>
      </w:r>
    </w:p>
    <w:p>
      <w:pPr>
        <w:spacing w:after="0" w:line="203" w:lineRule="exact"/>
        <w:rPr>
          <w:rFonts w:ascii="Arial" w:cs="Arial" w:eastAsia="Arial" w:hAnsi="Arial"/>
          <w:sz w:val="14"/>
          <w:szCs w:val="14"/>
          <w:b w:val="1"/>
          <w:bCs w:val="1"/>
          <w:color w:val="auto"/>
        </w:rPr>
      </w:pPr>
    </w:p>
    <w:p>
      <w:pPr>
        <w:ind w:left="920" w:hanging="359"/>
        <w:spacing w:after="0"/>
        <w:tabs>
          <w:tab w:leader="none" w:pos="920" w:val="left"/>
        </w:tabs>
        <w:numPr>
          <w:ilvl w:val="0"/>
          <w:numId w:val="55"/>
        </w:numPr>
        <w:rPr>
          <w:rFonts w:ascii="Arial" w:cs="Arial" w:eastAsia="Arial" w:hAnsi="Arial"/>
          <w:sz w:val="14"/>
          <w:szCs w:val="14"/>
          <w:b w:val="1"/>
          <w:bCs w:val="1"/>
          <w:color w:val="auto"/>
        </w:rPr>
      </w:pPr>
      <w:r>
        <w:rPr>
          <w:rFonts w:ascii="Arial" w:cs="Arial" w:eastAsia="Arial" w:hAnsi="Arial"/>
          <w:sz w:val="14"/>
          <w:szCs w:val="14"/>
          <w:color w:val="auto"/>
        </w:rPr>
        <w:t>brokerage commissions;</w:t>
      </w:r>
    </w:p>
    <w:p>
      <w:pPr>
        <w:spacing w:after="0" w:line="203" w:lineRule="exact"/>
        <w:rPr>
          <w:rFonts w:ascii="Arial" w:cs="Arial" w:eastAsia="Arial" w:hAnsi="Arial"/>
          <w:sz w:val="14"/>
          <w:szCs w:val="14"/>
          <w:b w:val="1"/>
          <w:bCs w:val="1"/>
          <w:color w:val="auto"/>
        </w:rPr>
      </w:pPr>
    </w:p>
    <w:p>
      <w:pPr>
        <w:ind w:left="920" w:hanging="359"/>
        <w:spacing w:after="0"/>
        <w:tabs>
          <w:tab w:leader="none" w:pos="920" w:val="left"/>
        </w:tabs>
        <w:numPr>
          <w:ilvl w:val="0"/>
          <w:numId w:val="55"/>
        </w:numPr>
        <w:rPr>
          <w:rFonts w:ascii="Arial" w:cs="Arial" w:eastAsia="Arial" w:hAnsi="Arial"/>
          <w:sz w:val="14"/>
          <w:szCs w:val="14"/>
          <w:b w:val="1"/>
          <w:bCs w:val="1"/>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203" w:lineRule="exact"/>
        <w:rPr>
          <w:rFonts w:ascii="Arial" w:cs="Arial" w:eastAsia="Arial" w:hAnsi="Arial"/>
          <w:sz w:val="14"/>
          <w:szCs w:val="14"/>
          <w:b w:val="1"/>
          <w:bCs w:val="1"/>
          <w:color w:val="auto"/>
        </w:rPr>
      </w:pPr>
    </w:p>
    <w:p>
      <w:pPr>
        <w:ind w:left="920" w:hanging="359"/>
        <w:spacing w:after="0"/>
        <w:tabs>
          <w:tab w:leader="none" w:pos="920" w:val="left"/>
        </w:tabs>
        <w:numPr>
          <w:ilvl w:val="0"/>
          <w:numId w:val="55"/>
        </w:numPr>
        <w:rPr>
          <w:rFonts w:ascii="Arial" w:cs="Arial" w:eastAsia="Arial" w:hAnsi="Arial"/>
          <w:sz w:val="14"/>
          <w:szCs w:val="14"/>
          <w:b w:val="1"/>
          <w:bCs w:val="1"/>
          <w:color w:val="auto"/>
        </w:rPr>
      </w:pPr>
      <w:r>
        <w:rPr>
          <w:rFonts w:ascii="Arial" w:cs="Arial" w:eastAsia="Arial" w:hAnsi="Arial"/>
          <w:sz w:val="14"/>
          <w:szCs w:val="14"/>
          <w:color w:val="auto"/>
        </w:rPr>
        <w:t>direct costs such as printing, mailing, long distance telephone and staff;</w:t>
      </w:r>
    </w:p>
    <w:p>
      <w:pPr>
        <w:spacing w:after="0" w:line="203" w:lineRule="exact"/>
        <w:rPr>
          <w:rFonts w:ascii="Arial" w:cs="Arial" w:eastAsia="Arial" w:hAnsi="Arial"/>
          <w:sz w:val="14"/>
          <w:szCs w:val="14"/>
          <w:b w:val="1"/>
          <w:bCs w:val="1"/>
          <w:color w:val="auto"/>
        </w:rPr>
      </w:pPr>
    </w:p>
    <w:p>
      <w:pPr>
        <w:ind w:left="920" w:hanging="359"/>
        <w:spacing w:after="0"/>
        <w:tabs>
          <w:tab w:leader="none" w:pos="920" w:val="left"/>
        </w:tabs>
        <w:numPr>
          <w:ilvl w:val="0"/>
          <w:numId w:val="55"/>
        </w:numPr>
        <w:rPr>
          <w:rFonts w:ascii="Arial" w:cs="Arial" w:eastAsia="Arial" w:hAnsi="Arial"/>
          <w:sz w:val="14"/>
          <w:szCs w:val="14"/>
          <w:b w:val="1"/>
          <w:bCs w:val="1"/>
          <w:color w:val="auto"/>
        </w:rPr>
      </w:pPr>
      <w:r>
        <w:rPr>
          <w:rFonts w:ascii="Arial" w:cs="Arial" w:eastAsia="Arial" w:hAnsi="Arial"/>
          <w:sz w:val="14"/>
          <w:szCs w:val="14"/>
          <w:color w:val="auto"/>
        </w:rPr>
        <w:t>fees and expenses associated with independent audits and outside legal costs;</w:t>
      </w:r>
    </w:p>
    <w:p>
      <w:pPr>
        <w:spacing w:after="0" w:line="203" w:lineRule="exact"/>
        <w:rPr>
          <w:rFonts w:ascii="Arial" w:cs="Arial" w:eastAsia="Arial" w:hAnsi="Arial"/>
          <w:sz w:val="14"/>
          <w:szCs w:val="14"/>
          <w:b w:val="1"/>
          <w:bCs w:val="1"/>
          <w:color w:val="auto"/>
        </w:rPr>
      </w:pPr>
    </w:p>
    <w:p>
      <w:pPr>
        <w:ind w:left="920" w:hanging="359"/>
        <w:spacing w:after="0"/>
        <w:tabs>
          <w:tab w:leader="none" w:pos="920" w:val="left"/>
        </w:tabs>
        <w:numPr>
          <w:ilvl w:val="0"/>
          <w:numId w:val="55"/>
        </w:numPr>
        <w:rPr>
          <w:rFonts w:ascii="Arial" w:cs="Arial" w:eastAsia="Arial" w:hAnsi="Arial"/>
          <w:sz w:val="14"/>
          <w:szCs w:val="14"/>
          <w:b w:val="1"/>
          <w:bCs w:val="1"/>
          <w:color w:val="auto"/>
        </w:rPr>
      </w:pPr>
      <w:r>
        <w:rPr>
          <w:rFonts w:ascii="Arial" w:cs="Arial" w:eastAsia="Arial" w:hAnsi="Arial"/>
          <w:sz w:val="14"/>
          <w:szCs w:val="14"/>
          <w:color w:val="auto"/>
        </w:rPr>
        <w:t>costs associated with our reporting and compliance obligations under the 1940 Act, the 1958 Act and applicable federal and state securities laws; and</w:t>
      </w:r>
    </w:p>
    <w:p>
      <w:pPr>
        <w:spacing w:after="0" w:line="203" w:lineRule="exact"/>
        <w:rPr>
          <w:rFonts w:ascii="Arial" w:cs="Arial" w:eastAsia="Arial" w:hAnsi="Arial"/>
          <w:sz w:val="14"/>
          <w:szCs w:val="14"/>
          <w:b w:val="1"/>
          <w:bCs w:val="1"/>
          <w:color w:val="auto"/>
        </w:rPr>
      </w:pPr>
    </w:p>
    <w:p>
      <w:pPr>
        <w:jc w:val="both"/>
        <w:ind w:left="920" w:right="60" w:hanging="359"/>
        <w:spacing w:after="0" w:line="264" w:lineRule="auto"/>
        <w:tabs>
          <w:tab w:leader="none" w:pos="920" w:val="left"/>
        </w:tabs>
        <w:numPr>
          <w:ilvl w:val="0"/>
          <w:numId w:val="55"/>
        </w:numPr>
        <w:rPr>
          <w:rFonts w:ascii="Arial" w:cs="Arial" w:eastAsia="Arial" w:hAnsi="Arial"/>
          <w:sz w:val="13"/>
          <w:szCs w:val="13"/>
          <w:b w:val="1"/>
          <w:bCs w:val="1"/>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01"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40" w:lineRule="exact"/>
        <w:rPr>
          <w:sz w:val="20"/>
          <w:szCs w:val="20"/>
          <w:color w:val="auto"/>
        </w:rPr>
      </w:pPr>
    </w:p>
    <w:p>
      <w:pPr>
        <w:ind w:right="20" w:firstLine="438"/>
        <w:spacing w:after="0" w:line="229" w:lineRule="auto"/>
        <w:rPr>
          <w:sz w:val="20"/>
          <w:szCs w:val="20"/>
          <w:color w:val="auto"/>
        </w:rPr>
      </w:pPr>
      <w:r>
        <w:rPr>
          <w:rFonts w:ascii="Arial" w:cs="Arial" w:eastAsia="Arial" w:hAnsi="Arial"/>
          <w:sz w:val="14"/>
          <w:szCs w:val="14"/>
          <w:color w:val="auto"/>
        </w:rPr>
        <w:t>As of September 30, 2021, our portfolio totaled $1,255.3 million and consisted of $552.5 million of first lien secured debt, $176.9 million of second lien secured debt, $121.2 million of subordinated debt (including $64.2 million in PSLF) and $404.7 million of preferred and common equity (including $41.2 million in PSLF). Our debt portfolio consisted of 92% variable-rate investments and 8% fixed-rate investments. As of September 30, 2021, we had no portfolio companies on non-accrual. Overall, the portfolio had net unrealized appreciation of $34.2 million as of September 30, 2021. Our overall portfolio consisted of 97 companies with an average investment size of $12.9 million, had a weighted average yield on interest bearing debt investments of 9.0% and was invested 44% in first lien secured debt, 14% in second lien secured debt, 10% in subordinated debt (including 5% in PSLF) and 32% in preferred and common equity (including 3% in PSLF). As of September 30, 2021, all of the investments held by PSLF were first lien secured debt.</w:t>
      </w:r>
    </w:p>
    <w:p>
      <w:pPr>
        <w:spacing w:after="0" w:line="253" w:lineRule="exact"/>
        <w:rPr>
          <w:sz w:val="20"/>
          <w:szCs w:val="20"/>
          <w:color w:val="auto"/>
        </w:rPr>
      </w:pPr>
    </w:p>
    <w:p>
      <w:pPr>
        <w:spacing w:after="0" w:line="251" w:lineRule="auto"/>
        <w:rPr>
          <w:sz w:val="20"/>
          <w:szCs w:val="20"/>
          <w:color w:val="auto"/>
        </w:rPr>
      </w:pPr>
      <w:r>
        <w:rPr>
          <w:rFonts w:ascii="Arial" w:cs="Arial" w:eastAsia="Arial" w:hAnsi="Arial"/>
          <w:sz w:val="13"/>
          <w:szCs w:val="13"/>
          <w:color w:val="auto"/>
        </w:rPr>
        <w:t>As of September 30, 2020, our portfolio totaled $1,081.8 million and consisted of $439.0 million of first lien secured debt, $220.8 million of second lien secured debt, $113.6 million of subordinated debt (including $63.0 million in PSLF) and $308.3 million of preferred and common equity (including $36.3 million in PSLF). Our debt portfolio consisted of 93% variable-rate investments and 7% fixed-rate investments. As of September 30, 2020, we had two portfolio companies on non-accrual, representing 4.9% and 3.4% of our overall portfolio on a cost and fair value basis, respectively. Overall, the portfolio had net unrealized depreciation of $83.8 million as of September 30, 2020. Our overall portfolio consisted of 80 companies with an average investment size of $13.5 million, had a weighted average yield on interest bearing debt investments of 8.9% and was invested 41% in first lien secured debt, 20% in second lien secured debt, 10%</w:t>
      </w:r>
    </w:p>
    <w:p>
      <w:pPr>
        <w:spacing w:after="0" w:line="1" w:lineRule="exact"/>
        <w:rPr>
          <w:sz w:val="20"/>
          <w:szCs w:val="20"/>
          <w:color w:val="auto"/>
        </w:rPr>
      </w:pPr>
    </w:p>
    <w:p>
      <w:pPr>
        <w:ind w:right="240"/>
        <w:spacing w:after="0" w:line="293" w:lineRule="auto"/>
        <w:rPr>
          <w:sz w:val="20"/>
          <w:szCs w:val="20"/>
          <w:color w:val="auto"/>
        </w:rPr>
      </w:pPr>
      <w:r>
        <w:rPr>
          <w:rFonts w:ascii="Arial" w:cs="Arial" w:eastAsia="Arial" w:hAnsi="Arial"/>
          <w:sz w:val="14"/>
          <w:szCs w:val="14"/>
          <w:color w:val="auto"/>
        </w:rPr>
        <w:t>in subordinated debt (including 6% in PSLF) and 29% in preferred and common equity (including 3% in PSLF). As of September 30, 2020, all of the investments held by PSLF were first lien secured debt.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4" w:name="page45"/>
    <w:bookmarkEnd w:id="44"/>
    <w:p>
      <w:pPr>
        <w:ind w:right="200" w:firstLine="438"/>
        <w:spacing w:after="0" w:line="253" w:lineRule="auto"/>
        <w:rPr>
          <w:sz w:val="20"/>
          <w:szCs w:val="20"/>
          <w:color w:val="auto"/>
        </w:rPr>
      </w:pPr>
      <w:r>
        <w:rPr>
          <w:rFonts w:ascii="Arial" w:cs="Arial" w:eastAsia="Arial" w:hAnsi="Arial"/>
          <w:sz w:val="14"/>
          <w:szCs w:val="14"/>
          <w:color w:val="auto"/>
        </w:rPr>
        <w:t>For the year ended September 30, 2021, we invested $441.4 million of investments in 30 new and 49 existing portfolio companies with a weighted average yield on debt investments of 8.1%. Sales and repayments of investments for the same period totaled $434.5 million.</w:t>
      </w:r>
    </w:p>
    <w:p>
      <w:pPr>
        <w:spacing w:after="0" w:line="93" w:lineRule="exact"/>
        <w:rPr>
          <w:sz w:val="20"/>
          <w:szCs w:val="20"/>
          <w:color w:val="auto"/>
        </w:rPr>
      </w:pPr>
    </w:p>
    <w:p>
      <w:pPr>
        <w:ind w:right="200" w:firstLine="438"/>
        <w:spacing w:after="0" w:line="253" w:lineRule="auto"/>
        <w:rPr>
          <w:sz w:val="20"/>
          <w:szCs w:val="20"/>
          <w:color w:val="auto"/>
        </w:rPr>
      </w:pPr>
      <w:r>
        <w:rPr>
          <w:rFonts w:ascii="Arial" w:cs="Arial" w:eastAsia="Arial" w:hAnsi="Arial"/>
          <w:sz w:val="14"/>
          <w:szCs w:val="14"/>
          <w:color w:val="auto"/>
        </w:rPr>
        <w:t>For the year ended September 30, 2020, we invested $319.3 million of investments in 25 new and 58 existing portfolio companies with a weighted average yield on debt investments of 8.4%. Sales and repayments of investments for the same period totaled $162.7 million.</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Loan Fund, LLC</w:t>
      </w:r>
    </w:p>
    <w:p>
      <w:pPr>
        <w:spacing w:after="0" w:line="140" w:lineRule="exact"/>
        <w:rPr>
          <w:sz w:val="20"/>
          <w:szCs w:val="20"/>
          <w:color w:val="auto"/>
        </w:rPr>
      </w:pPr>
    </w:p>
    <w:p>
      <w:pPr>
        <w:ind w:right="160" w:firstLine="438"/>
        <w:spacing w:after="0" w:line="238" w:lineRule="auto"/>
        <w:rPr>
          <w:sz w:val="20"/>
          <w:szCs w:val="20"/>
          <w:color w:val="auto"/>
        </w:rPr>
      </w:pPr>
      <w:r>
        <w:rPr>
          <w:rFonts w:ascii="Arial" w:cs="Arial" w:eastAsia="Arial" w:hAnsi="Arial"/>
          <w:sz w:val="14"/>
          <w:szCs w:val="14"/>
          <w:color w:val="auto"/>
        </w:rPr>
        <w:t>As of September 30, 2021, PSLF’s portfolio totaled $405.2 million, consisted of 47 companies with an average investment size of $8.6 million and had a weighted average yield on debt investments of 7.1%. For the year ended September 30, 2020, PSLF’s portfolio totaled $353.4 million, consisted of 37 companies with an average investment size of $9.6 million and had a weighted average yield on debt investments of 7.3%.</w:t>
      </w:r>
    </w:p>
    <w:p>
      <w:pPr>
        <w:spacing w:after="0" w:line="115"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For the year ended September 30, 2021, PSLF invested $149.4 million (of which $123.4 million was purchased from the Company) in 18 new and nine existing portfolio companies with a weighted average yield on debt investments of 7.3%. PSLF’s sales and repayments of investments for the same period totaled $104.9 million.</w:t>
      </w:r>
    </w:p>
    <w:p>
      <w:pPr>
        <w:spacing w:after="0" w:line="106" w:lineRule="exact"/>
        <w:rPr>
          <w:sz w:val="20"/>
          <w:szCs w:val="20"/>
          <w:color w:val="auto"/>
        </w:rPr>
      </w:pPr>
    </w:p>
    <w:p>
      <w:pPr>
        <w:ind w:right="580" w:firstLine="438"/>
        <w:spacing w:after="0" w:line="253" w:lineRule="auto"/>
        <w:rPr>
          <w:sz w:val="20"/>
          <w:szCs w:val="20"/>
          <w:color w:val="auto"/>
        </w:rPr>
      </w:pPr>
      <w:r>
        <w:rPr>
          <w:rFonts w:ascii="Arial" w:cs="Arial" w:eastAsia="Arial" w:hAnsi="Arial"/>
          <w:sz w:val="14"/>
          <w:szCs w:val="14"/>
          <w:color w:val="auto"/>
        </w:rPr>
        <w:t>For the period ended July 31, 2020 through September 30, 2020, PSLF invested $5.7 million in one new portfolio company with a weighted average yield on debt investments of 7.5%. PSLF’s sales and repayments of investments for the same period totaled $11.1 million.</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27"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including the credit worthiness of our portfolio companies and the global outbreak of COVID-19.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136"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98" w:lineRule="exact"/>
        <w:rPr>
          <w:sz w:val="20"/>
          <w:szCs w:val="20"/>
          <w:color w:val="auto"/>
        </w:rPr>
      </w:pPr>
    </w:p>
    <w:p>
      <w:pPr>
        <w:ind w:right="38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920" w:right="20" w:hanging="372"/>
        <w:spacing w:after="0" w:line="253" w:lineRule="auto"/>
        <w:tabs>
          <w:tab w:leader="none" w:pos="9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920" w:hanging="372"/>
        <w:spacing w:after="0"/>
        <w:tabs>
          <w:tab w:leader="none" w:pos="9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the Investment Adviser;</w:t>
      </w:r>
    </w:p>
    <w:p>
      <w:pPr>
        <w:spacing w:after="0" w:line="203" w:lineRule="exact"/>
        <w:rPr>
          <w:rFonts w:ascii="Arial" w:cs="Arial" w:eastAsia="Arial" w:hAnsi="Arial"/>
          <w:sz w:val="14"/>
          <w:szCs w:val="14"/>
          <w:color w:val="auto"/>
        </w:rPr>
      </w:pPr>
    </w:p>
    <w:p>
      <w:pPr>
        <w:jc w:val="both"/>
        <w:ind w:left="920" w:right="80" w:hanging="372"/>
        <w:spacing w:after="0" w:line="264" w:lineRule="auto"/>
        <w:tabs>
          <w:tab w:leader="none" w:pos="920" w:val="left"/>
        </w:tabs>
        <w:numPr>
          <w:ilvl w:val="0"/>
          <w:numId w:val="56"/>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20" w:right="340" w:hanging="372"/>
        <w:spacing w:after="0" w:line="238" w:lineRule="auto"/>
        <w:tabs>
          <w:tab w:leader="none" w:pos="9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20" w:right="80" w:hanging="372"/>
        <w:spacing w:after="0" w:line="253" w:lineRule="auto"/>
        <w:tabs>
          <w:tab w:leader="none" w:pos="9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7"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5" w:name="page46"/>
    <w:bookmarkEnd w:id="45"/>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23" w:lineRule="exact"/>
        <w:rPr>
          <w:sz w:val="20"/>
          <w:szCs w:val="20"/>
          <w:color w:val="auto"/>
        </w:rPr>
      </w:pPr>
    </w:p>
    <w:p>
      <w:pPr>
        <w:ind w:left="560"/>
        <w:spacing w:after="0"/>
        <w:tabs>
          <w:tab w:leader="none" w:pos="13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380" w:right="280" w:hanging="809"/>
        <w:spacing w:after="0" w:line="290" w:lineRule="auto"/>
        <w:tabs>
          <w:tab w:leader="none" w:pos="136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560"/>
        <w:spacing w:after="0"/>
        <w:tabs>
          <w:tab w:leader="none" w:pos="13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our Credit Facilities, 2026 Notes and our SBA debentures are classified as Level 3. Our 2019 Notes were, and our 2024 Notes are, classified as Level 2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7" w:lineRule="exact"/>
        <w:rPr>
          <w:sz w:val="20"/>
          <w:szCs w:val="20"/>
          <w:color w:val="auto"/>
        </w:rPr>
      </w:pPr>
    </w:p>
    <w:p>
      <w:pPr>
        <w:ind w:right="420" w:firstLine="438"/>
        <w:spacing w:after="0" w:line="253" w:lineRule="auto"/>
        <w:rPr>
          <w:sz w:val="20"/>
          <w:szCs w:val="20"/>
          <w:color w:val="auto"/>
        </w:rPr>
      </w:pPr>
      <w:r>
        <w:rPr>
          <w:rFonts w:ascii="Arial" w:cs="Arial" w:eastAsia="Arial" w:hAnsi="Arial"/>
          <w:sz w:val="14"/>
          <w:szCs w:val="14"/>
          <w:color w:val="auto"/>
        </w:rPr>
        <w:t>The SEC recently adopted Rule 2a-5 under the 1940 Act which established requirements for determining fair value in good faith purposes of the 1940 Act. We will comply with the requirement of the rule before the requirement date in 2022.</w:t>
      </w:r>
    </w:p>
    <w:p>
      <w:pPr>
        <w:spacing w:after="0" w:line="106"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In addition to using the above inputs to value cash equivalents, investments, our 2019 Notes, our SBA debentures, our 2024 Notes, our 2026 Notes and our Credit Facilities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02"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our Credit Facilities and, prior to their redemption, the 2019 Notes. We elected to use the fair value option for the Credit Facilities and, prior to their redemption, the 2019 Notes to align the measurement attributes of both our assets and liabilities while mitigating volatility in earnings from using different measurement attributes. Due to that election and in accordance with GAAP, we incurred expenses of zero, zero and $7.1 million relating to amendment costs on the Credit Facilities during the years ended September 30, 2021, 2020 and 2019,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Facilities and, prior to their redemption, the 2019 Notes are reported in our Consolidated Statements of Operations. We elect not to apply ASC 825-10 to any other financial assets or liabilities, including the 2024 Notes, 2026 Notes and SBA debentures.</w:t>
      </w:r>
    </w:p>
    <w:p>
      <w:pPr>
        <w:spacing w:after="0" w:line="117" w:lineRule="exact"/>
        <w:rPr>
          <w:sz w:val="20"/>
          <w:szCs w:val="20"/>
          <w:color w:val="auto"/>
        </w:rPr>
      </w:pPr>
    </w:p>
    <w:p>
      <w:pPr>
        <w:ind w:right="100" w:firstLine="438"/>
        <w:spacing w:after="0" w:line="231" w:lineRule="auto"/>
        <w:rPr>
          <w:sz w:val="20"/>
          <w:szCs w:val="20"/>
          <w:color w:val="auto"/>
        </w:rPr>
      </w:pPr>
      <w:r>
        <w:rPr>
          <w:rFonts w:ascii="Arial" w:cs="Arial" w:eastAsia="Arial" w:hAnsi="Arial"/>
          <w:sz w:val="14"/>
          <w:szCs w:val="14"/>
          <w:color w:val="auto"/>
        </w:rPr>
        <w:t>For the year ended September 30, 2021, the Credit Facility had a net change in unrealized appreciation of $17.8 million. For the years ended September 30, 2020 and 2019, the Credit Facilities and the 2019 Notes had a net change in unrealized depreciation of $12.3 million and $5.7 million, respectively. As of September 30, 2021, the net unrealized depreciation on our Credit Facility totaled $1.7 million. As of September 30, 2020, the net unrealized depreciation on our Credit Facilities totaled $19.6 million. We use a nationally recognized independent valuation service to measure the fair value of our Credit Facilities and, prior to their redemption, the 2019 Notes in a manner consistent with the valuation process that the board of directors uses to value our investments.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23" w:lineRule="exact"/>
        <w:rPr>
          <w:sz w:val="20"/>
          <w:szCs w:val="20"/>
          <w:color w:val="auto"/>
        </w:rPr>
      </w:pPr>
    </w:p>
    <w:p>
      <w:pPr>
        <w:ind w:right="60"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136"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and our Credit Facilities, including any reversal of previously recorded unrealized appreciation or depreciation, when gains or losses are realized.</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920" w:hanging="359"/>
        <w:spacing w:after="0"/>
        <w:tabs>
          <w:tab w:leader="none" w:pos="9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204"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or, PIK Interest</w:t>
      </w:r>
    </w:p>
    <w:p>
      <w:pPr>
        <w:spacing w:after="0" w:line="136"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123"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07" w:lineRule="exact"/>
        <w:rPr>
          <w:sz w:val="20"/>
          <w:szCs w:val="20"/>
          <w:color w:val="auto"/>
        </w:rPr>
      </w:pPr>
    </w:p>
    <w:p>
      <w:pPr>
        <w:ind w:right="160" w:firstLine="438"/>
        <w:spacing w:after="0" w:line="297"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U.S. federal excise tax imposed on RICs, we must distribute dividends for U.S. federal income tax purposes to our stockholders in respect of each calendar year an amount at least equal to the sum of (1) 98% of our net ordinary income (subject to certain</w:t>
      </w:r>
    </w:p>
    <w:p>
      <w:pPr>
        <w:spacing w:after="0" w:line="1"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U.S. federal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12"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Because federal income tax regulations differ from GAAP, distributions characterized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04" w:lineRule="exact"/>
        <w:rPr>
          <w:sz w:val="20"/>
          <w:szCs w:val="20"/>
          <w:color w:val="auto"/>
        </w:rPr>
      </w:pPr>
    </w:p>
    <w:p>
      <w:pPr>
        <w:ind w:right="120" w:firstLine="438"/>
        <w:spacing w:after="0" w:line="335" w:lineRule="auto"/>
        <w:rPr>
          <w:sz w:val="20"/>
          <w:szCs w:val="20"/>
          <w:color w:val="auto"/>
        </w:rPr>
      </w:pPr>
      <w:r>
        <w:rPr>
          <w:rFonts w:ascii="Arial" w:cs="Arial" w:eastAsia="Arial" w:hAnsi="Arial"/>
          <w:sz w:val="12"/>
          <w:szCs w:val="12"/>
          <w:color w:val="auto"/>
        </w:rPr>
        <w:t>We have formed and expect to continue to form certain taxable subsidiaries, including the Taxable Subsidiaries,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40" w:lineRule="exact"/>
        <w:rPr>
          <w:sz w:val="20"/>
          <w:szCs w:val="20"/>
          <w:color w:val="auto"/>
        </w:rPr>
      </w:pPr>
    </w:p>
    <w:p>
      <w:pPr>
        <w:ind w:right="80" w:firstLine="438"/>
        <w:spacing w:after="0" w:line="253" w:lineRule="auto"/>
        <w:rPr>
          <w:sz w:val="20"/>
          <w:szCs w:val="20"/>
          <w:color w:val="auto"/>
        </w:rPr>
      </w:pPr>
      <w:r>
        <w:rPr>
          <w:rFonts w:ascii="Arial" w:cs="Arial" w:eastAsia="Arial" w:hAnsi="Arial"/>
          <w:sz w:val="14"/>
          <w:szCs w:val="14"/>
          <w:color w:val="auto"/>
        </w:rPr>
        <w:t>Set forth below are the results of operations for the years ended September 30, 2021 and 2020. For information regarding results of operations for the year ended September 30, 2019, see the Company's Form 10-K for the fiscal year ended September 30, 2020, as filed with the SEC on November 19, 2020.</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136"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Investment income for the year ended September 30, 2021 was $81.6 million and was attributable to $47.0 million from first lien secured debt, $20.2 million from second lien secured debt and $7.0 million from subordinated debt and $7.4 from preferred and common equity. The decrease in investment income over the prior year was primarily due to a decrease in LIBOR and a lower average investment balance.</w:t>
      </w:r>
    </w:p>
    <w:p>
      <w:pPr>
        <w:spacing w:after="0" w:line="115" w:lineRule="exact"/>
        <w:rPr>
          <w:sz w:val="20"/>
          <w:szCs w:val="20"/>
          <w:color w:val="auto"/>
        </w:rPr>
      </w:pPr>
    </w:p>
    <w:p>
      <w:pPr>
        <w:ind w:right="220" w:firstLine="438"/>
        <w:spacing w:after="0" w:line="253" w:lineRule="auto"/>
        <w:rPr>
          <w:sz w:val="20"/>
          <w:szCs w:val="20"/>
          <w:color w:val="auto"/>
        </w:rPr>
      </w:pPr>
      <w:r>
        <w:rPr>
          <w:rFonts w:ascii="Arial" w:cs="Arial" w:eastAsia="Arial" w:hAnsi="Arial"/>
          <w:sz w:val="14"/>
          <w:szCs w:val="14"/>
          <w:color w:val="auto"/>
        </w:rPr>
        <w:t>Investment income for the year ended September 30, 2020 was $100.2 million and was attributable to $63.4 million from first lien secured debt, $25.9 million from second lien secured debt and $8.7 million from subordinated debt and $2.2 from preferred and common equity.</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Net expenses for the year ended September 30, 2021 totaled $45.1 million. Base management fee for the same period totaled $17.3 million, incentive fee totaled $0.6 million, debt related interest and other financing expenses totaled $22.5 million and general and administrative expenses totaled $4.1 million. The decrease in expenses over the prior year was primarily due to a decrease in debt related expenses and a decrease in incentive fees.as well as the incentive fee waiver.</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Net expenses for the year ended September 30, 2020 totaled $61.5 million. Base management fee for the same period totaled $18.6 million, incentive fee totaled $2.7 million (after a</w:t>
      </w:r>
    </w:p>
    <w:p>
      <w:pPr>
        <w:spacing w:after="0" w:line="33" w:lineRule="exact"/>
        <w:rPr>
          <w:sz w:val="20"/>
          <w:szCs w:val="20"/>
          <w:color w:val="auto"/>
        </w:rPr>
      </w:pPr>
    </w:p>
    <w:p>
      <w:pPr>
        <w:ind w:right="240"/>
        <w:spacing w:after="0" w:line="243" w:lineRule="auto"/>
        <w:rPr>
          <w:sz w:val="20"/>
          <w:szCs w:val="20"/>
          <w:color w:val="auto"/>
        </w:rPr>
      </w:pPr>
      <w:r>
        <w:rPr>
          <w:rFonts w:ascii="Arial" w:cs="Arial" w:eastAsia="Arial" w:hAnsi="Arial"/>
          <w:sz w:val="14"/>
          <w:szCs w:val="14"/>
          <w:color w:val="auto"/>
        </w:rPr>
        <w:t>waiver of $1.9 million), debt related interest and other financing expenses totaled $34.4 million (including one-time costs of $2.2 million associated with the PSLF transaction) and general and administrative expenses totaled $4.7 million.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136"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Net investment income totaled $36.5 million, or $0.54 per share, and $38.7 million, or $0.58 per share, for the years ended September 30, 2021 and 2020, respectively. The decrease in net investment income per share compared to the prior year was primarily due to a decrease in LIBOR.</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123"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Sales and repayments of investments for the years ended September 30, 2021 and 2020 totaled $434.5 million and $162.7 million, respectively, and net realized gain (loss) totaled $30.0 million and ($20.8) million, respectively. The change in realized gains/losses was primarily due to changes in the market conditions of our investments and the values at which they were realized, caused by the fluctuations in the market and in the economy, as discussed above under “COVID-19 Developments”.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and Credit Facilities</w:t>
      </w:r>
    </w:p>
    <w:p>
      <w:pPr>
        <w:spacing w:after="0" w:line="123"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For the years ended September 30, 2021 and 2020, we reported net change in unrealized appreciation (depreciation) on investments of $117.9 million and ($46.2) million, respectively. As of September 30, 2021 and 2020, our net unrealized appreciation (depreciation) on investments totaled $34.2 million and ($83.8) million, respectively. The net change in unrealized appreciation/depreciation on our investments for the year ended September 30, 2021 compared to the prior year was primarily due to changes in the capital market conditions of our investments and the values at which they were realized, caused by the fluctuation in the market and in the economy, as discussed above under “COVID-19 Developments.”</w:t>
      </w:r>
    </w:p>
    <w:p>
      <w:pPr>
        <w:spacing w:after="0" w:line="107" w:lineRule="exact"/>
        <w:rPr>
          <w:sz w:val="20"/>
          <w:szCs w:val="20"/>
          <w:color w:val="auto"/>
        </w:rPr>
      </w:pPr>
    </w:p>
    <w:p>
      <w:pPr>
        <w:ind w:right="40" w:firstLine="438"/>
        <w:spacing w:after="0" w:line="264" w:lineRule="auto"/>
        <w:rPr>
          <w:sz w:val="20"/>
          <w:szCs w:val="20"/>
          <w:color w:val="auto"/>
        </w:rPr>
      </w:pPr>
      <w:r>
        <w:rPr>
          <w:rFonts w:ascii="Arial" w:cs="Arial" w:eastAsia="Arial" w:hAnsi="Arial"/>
          <w:sz w:val="13"/>
          <w:szCs w:val="13"/>
          <w:color w:val="auto"/>
        </w:rPr>
        <w:t>For the years ended September 30, 2021 and 2020, our Credit Facilities had a net change in unrealized (appreciation) depreciation of $(17.8) million and $12.3 million, respectively. As of September 30, 2021 and 2020, our net unrealized depreciation on our Credit Facilities totaled $1.7 million and $19.6 million, respectively. The net change in unrealized depreciation for the year ended September 30, 2021 compared to the prior year was primarily due to changes in the capital markets, as further discussed above under “COVID-19 Developments”.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123"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Net change in net assets resulting from operations totaled $166.6 million, or $2.49 per share, and ($16.0) million, or ($0.24) per share, for the years ended September 30, 2021 and 2020, respectively. The increase in net assets from operations for the year ended September 30, 2021 compared to the prior year was primarily due to appreciation of the portfolio primarily driven by recovery from the market disruption caused by the COVID-19 pandemic and the uncertainty surrounding its continued adverse economic impact, as discussed above under “COVID-19 Developments.”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27"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September 30, 2021, in accordance with the 1940 Act, with certain limited exceptions, we are only allowed to borrow amounts such that we are in compliance with a 150% asset coverage ratio requirement after such borrowing, excluding SBA debentures pursuant to exemptive relief from the SEC received in June 2011. This “Liquidity and Capital Resources” section should be read in conjunction with the “COVID-19 Developments” section above.</w:t>
      </w:r>
    </w:p>
    <w:p>
      <w:pPr>
        <w:spacing w:after="0" w:line="118"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 of September 30, 2021 and 2020, our asset coverage ratio, as computed in accordance with the 1940 Act, was 221% and 208%, respectively.</w:t>
      </w:r>
    </w:p>
    <w:p>
      <w:pPr>
        <w:spacing w:after="0" w:line="123" w:lineRule="exact"/>
        <w:rPr>
          <w:sz w:val="20"/>
          <w:szCs w:val="20"/>
          <w:color w:val="auto"/>
        </w:rPr>
      </w:pPr>
    </w:p>
    <w:p>
      <w:pPr>
        <w:ind w:right="340" w:firstLine="438"/>
        <w:spacing w:after="0" w:line="253" w:lineRule="auto"/>
        <w:rPr>
          <w:sz w:val="20"/>
          <w:szCs w:val="20"/>
          <w:color w:val="auto"/>
        </w:rPr>
      </w:pPr>
      <w:r>
        <w:rPr>
          <w:rFonts w:ascii="Arial" w:cs="Arial" w:eastAsia="Arial" w:hAnsi="Arial"/>
          <w:sz w:val="14"/>
          <w:szCs w:val="14"/>
          <w:color w:val="auto"/>
        </w:rPr>
        <w:t>The annualized weighted average cost of debt for the years ended September 30, 2021 and 2020, inclusive of the fee on the undrawn commitment and amendment costs on the Credit Facilities, amortized upfront fees on SBA debentures and debt retirement and issuance costs, was 3.5% and 4.0%, respectively.</w:t>
      </w:r>
    </w:p>
    <w:p>
      <w:pPr>
        <w:spacing w:after="0" w:line="106" w:lineRule="exact"/>
        <w:rPr>
          <w:sz w:val="20"/>
          <w:szCs w:val="20"/>
          <w:color w:val="auto"/>
        </w:rPr>
      </w:pPr>
    </w:p>
    <w:p>
      <w:pPr>
        <w:ind w:right="80" w:firstLine="438"/>
        <w:spacing w:after="0" w:line="247" w:lineRule="auto"/>
        <w:rPr>
          <w:sz w:val="20"/>
          <w:szCs w:val="20"/>
          <w:color w:val="auto"/>
        </w:rPr>
      </w:pPr>
      <w:r>
        <w:rPr>
          <w:rFonts w:ascii="Arial" w:cs="Arial" w:eastAsia="Arial" w:hAnsi="Arial"/>
          <w:sz w:val="13"/>
          <w:szCs w:val="13"/>
          <w:color w:val="auto"/>
        </w:rPr>
        <w:t>As of September 30, 2021, we had the multi-currency Truist Credit Facility for up to $435.0 million (decreased from $475.0 million on May 25, 2021 pursuant to its terms) in borrowings with certain lenders and Truist Bank (formerly SunTrust Bank), acting as administrative agent, and JPMorgan Chase Bank, N.A., acting as syndication agent for the lenders. As of September 30, 2021 and 2020, we had $316.5 million and $388.3 million, respectively, in outstanding borrowings under the Truist Credit Facility. The Truist Credit Facility had a weighted average interest rate of 2.4% and 2.5%, respectively, exclusive of the fee on undrawn commitments, as of September 30, 2021 and 2020. The Truist Credit Facility is a revolving facility with a stated maturity date of September 4, 2024, a one-year term-out period on September 4, 2023 and pricing set at 225 basis points over LIBOR (or an alternative risk-free floating interest rate index). As of September 30, 2021 and 2020, we had $118.5 million and $86.7 million of unused borrowing capacity under the Truist Credit Facility, respectively, subject to leverage and borrowing base restrictions. The Truist Credit Facility is secured by substantially all of our assets excluding assets held by SBIC II. As of September 30, 2021, we were in compliance with the terms of the Truist Credit Facility.</w:t>
      </w:r>
    </w:p>
    <w:p>
      <w:pPr>
        <w:spacing w:after="0" w:line="111"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 xml:space="preserve">As of September 30, 2021, we had $86.3 million in aggregate principal amount of 2024 Notes outstanding. Interest on the 2024 Notes is paid quarterly on January 15, April 15, July 15 and October 15, at a rate of 5.5% per year, commencing January 15, 2020. The 2024 Notes mature on October 15, 2024. The 2024 Notes are direct unsecured obligations and rank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in right of payment with our existing and future unsecured unsubordinated indebtedness. The 2024 Notes are structurally subordinated to all existing and future indebtedness and other obligations of any of our subsidiaries, financing vehicles, or similar facilities. The 2024 Notes may be redeemed in whole or in part at our option on or after October 15, 2021 at a redemption price of 100% of the outstanding principal amount of the 2024 Notes plus accrued and unpaid interest.</w:t>
      </w:r>
    </w:p>
    <w:p>
      <w:pPr>
        <w:spacing w:after="0" w:line="116" w:lineRule="exact"/>
        <w:rPr>
          <w:sz w:val="20"/>
          <w:szCs w:val="20"/>
          <w:color w:val="auto"/>
        </w:rPr>
      </w:pPr>
    </w:p>
    <w:p>
      <w:pPr>
        <w:ind w:right="40" w:firstLine="438"/>
        <w:spacing w:after="0" w:line="229" w:lineRule="auto"/>
        <w:rPr>
          <w:sz w:val="20"/>
          <w:szCs w:val="20"/>
          <w:color w:val="auto"/>
        </w:rPr>
      </w:pPr>
      <w:r>
        <w:rPr>
          <w:rFonts w:ascii="Arial" w:cs="Arial" w:eastAsia="Arial" w:hAnsi="Arial"/>
          <w:sz w:val="14"/>
          <w:szCs w:val="14"/>
          <w:color w:val="auto"/>
        </w:rPr>
        <w:t>In April 2021, we issued $150.0 million in aggregate principal amount of our 2026 Notes at a public offering price per note of 99.4%. Interest on the 2026 Notes is paid semi-annually on May 1 and November 1 of each year, at a rate of 4.50% per year, commencing November 1, 2021. The 2026 Notes mature on May 1, 2026 and may be redeemed in whole or in part at our 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04" w:lineRule="exact"/>
        <w:rPr>
          <w:sz w:val="20"/>
          <w:szCs w:val="20"/>
          <w:color w:val="auto"/>
        </w:rPr>
      </w:pPr>
    </w:p>
    <w:p>
      <w:pPr>
        <w:ind w:right="40" w:firstLine="438"/>
        <w:spacing w:after="0" w:line="251" w:lineRule="auto"/>
        <w:rPr>
          <w:sz w:val="20"/>
          <w:szCs w:val="20"/>
          <w:color w:val="auto"/>
        </w:rPr>
      </w:pPr>
      <w:r>
        <w:rPr>
          <w:rFonts w:ascii="Arial" w:cs="Arial" w:eastAsia="Arial" w:hAnsi="Arial"/>
          <w:sz w:val="13"/>
          <w:szCs w:val="13"/>
          <w:color w:val="auto"/>
        </w:rPr>
        <w:t>In September 2014, we issued $250.0 million in aggregate principal amount of 2019 Notes, for net proceeds of $245.5 million after underwriting discounts and offering costs. Interest on the 2019 Notes was paid semi-annually on April 1 and October 1, at a rate of 4.5% per year. On March 4, 2019 the 2019 Notes were redeemed in full and no amounts were outstanding as of September 30, 2021. The 2019 Notes were redeemed on March 4, 2019 at a redemption price equal to $1,008.65 for each $1,000.00 of principal of notes outstanding, plus accrued and unpaid interest to March 4, 2019, pursuant to the indenture governing the 2019 Notes. Please refer to our indenture agreement filed as Exhibit (d)(8) to our post-effective amendment filed on January 22, 2013 and the supplemental indenture agreement filed as Exhibit (d)(11) to our post-effective amendment filed on September 23, 2014 for more information.</w:t>
      </w:r>
    </w:p>
    <w:p>
      <w:pPr>
        <w:spacing w:after="0" w:line="109" w:lineRule="exact"/>
        <w:rPr>
          <w:sz w:val="20"/>
          <w:szCs w:val="20"/>
          <w:color w:val="auto"/>
        </w:rPr>
      </w:pPr>
    </w:p>
    <w:p>
      <w:pPr>
        <w:ind w:right="120" w:firstLine="438"/>
        <w:spacing w:after="0" w:line="231" w:lineRule="auto"/>
        <w:rPr>
          <w:sz w:val="20"/>
          <w:szCs w:val="20"/>
          <w:color w:val="auto"/>
        </w:rPr>
      </w:pPr>
      <w:r>
        <w:rPr>
          <w:rFonts w:ascii="Arial" w:cs="Arial" w:eastAsia="Arial" w:hAnsi="Arial"/>
          <w:sz w:val="14"/>
          <w:szCs w:val="14"/>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or SBA debentures. Furthermore, our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our stock repurchase program.</w:t>
      </w:r>
    </w:p>
    <w:p>
      <w:pPr>
        <w:spacing w:after="0" w:line="116" w:lineRule="exact"/>
        <w:rPr>
          <w:sz w:val="20"/>
          <w:szCs w:val="20"/>
          <w:color w:val="auto"/>
        </w:rPr>
      </w:pPr>
    </w:p>
    <w:p>
      <w:pPr>
        <w:ind w:right="200" w:firstLine="471"/>
        <w:spacing w:after="0" w:line="251" w:lineRule="auto"/>
        <w:rPr>
          <w:sz w:val="20"/>
          <w:szCs w:val="20"/>
          <w:color w:val="auto"/>
        </w:rPr>
      </w:pPr>
      <w:r>
        <w:rPr>
          <w:rFonts w:ascii="Arial" w:cs="Arial" w:eastAsia="Arial" w:hAnsi="Arial"/>
          <w:sz w:val="13"/>
          <w:szCs w:val="13"/>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2021 PennantPark Investment Advisers serves as our investment adviser. PennantPark Investment, through the Investment Adviser, provides similar services to SBIC II under its investment management agreement with us. SBIC II’s investment management agreement does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96" w:lineRule="exact"/>
        <w:rPr>
          <w:sz w:val="20"/>
          <w:szCs w:val="20"/>
          <w:color w:val="auto"/>
        </w:rPr>
      </w:pPr>
    </w:p>
    <w:p>
      <w:pPr>
        <w:ind w:right="100" w:firstLine="438"/>
        <w:spacing w:after="0" w:line="229"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2021 the Administrator furnishes us with office facilities and administrative services necessary to conduct our day-to-day operations. PennantPark Investment, through the Administrator, provides similar services to SBIC II under its administration agreements, which are intended to have no effect on the consolidated administration fee.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18"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15" w:lineRule="exact"/>
        <w:rPr>
          <w:sz w:val="20"/>
          <w:szCs w:val="20"/>
          <w:color w:val="auto"/>
        </w:rPr>
      </w:pPr>
    </w:p>
    <w:p>
      <w:pPr>
        <w:ind w:right="240" w:firstLine="438"/>
        <w:spacing w:after="0" w:line="248" w:lineRule="auto"/>
        <w:rPr>
          <w:sz w:val="20"/>
          <w:szCs w:val="20"/>
          <w:color w:val="auto"/>
        </w:rPr>
      </w:pPr>
      <w:r>
        <w:rPr>
          <w:rFonts w:ascii="Arial" w:cs="Arial" w:eastAsia="Arial" w:hAnsi="Arial"/>
          <w:sz w:val="13"/>
          <w:szCs w:val="13"/>
          <w:color w:val="auto"/>
        </w:rPr>
        <w:t>On May 9, 2018, we announced a share repurchase program which allowed us to repurchase up to $30 million of our outstanding common stock in the open market at prices below our NAV as reported in our then most recently published consolidated financial statements. The program expired on May 9, 2019. During the year ended September 30, 2019, we repurchased</w:t>
      </w:r>
    </w:p>
    <w:p>
      <w:pPr>
        <w:ind w:right="420"/>
        <w:spacing w:after="0" w:line="237" w:lineRule="auto"/>
        <w:rPr>
          <w:sz w:val="20"/>
          <w:szCs w:val="20"/>
          <w:color w:val="auto"/>
        </w:rPr>
      </w:pPr>
      <w:r>
        <w:rPr>
          <w:rFonts w:ascii="Arial" w:cs="Arial" w:eastAsia="Arial" w:hAnsi="Arial"/>
          <w:sz w:val="14"/>
          <w:szCs w:val="14"/>
          <w:color w:val="auto"/>
        </w:rPr>
        <w:t>2.0 million shares of common stock, respectively, in open market transactions for an aggregate cost (including transaction costs) of $14.5 million. From May 9, 2018 through the program’s expiration, we purchased 4.0 million shares of common stock in open market transactions for an aggregate cost (including transaction costs) of $29.5 million.</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8" w:name="page49"/>
    <w:bookmarkEnd w:id="48"/>
    <w:p>
      <w:pPr>
        <w:ind w:right="160" w:firstLine="438"/>
        <w:spacing w:after="0" w:line="231" w:lineRule="auto"/>
        <w:rPr>
          <w:sz w:val="20"/>
          <w:szCs w:val="20"/>
          <w:color w:val="auto"/>
        </w:rPr>
      </w:pPr>
      <w:r>
        <w:rPr>
          <w:rFonts w:ascii="Arial" w:cs="Arial" w:eastAsia="Arial" w:hAnsi="Arial"/>
          <w:sz w:val="14"/>
          <w:szCs w:val="14"/>
          <w:color w:val="auto"/>
        </w:rPr>
        <w:t>SBIC II is able to borrow funds from the SBA against regulatory capital (which approximates equity capital) that is paid-in and is subject to customary regulatory requirements including an examination by the SBA. We have funded SBIC II with $75.0 million of equity capital and it had SBA debentures outstanding of $63.5 million as of September 30, 2021.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$175.0 million, which is up to twice its potential regulatory capital, and as part of a group of SBICs under common control may borrow a maximum of $350.0 million in the aggregate.</w:t>
      </w:r>
    </w:p>
    <w:p>
      <w:pPr>
        <w:spacing w:after="0" w:line="116"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As of both September 30, 2021 and 2020, SBIC II had an initial $150.0 million in debt commitments, all of which were drawn. During the years ended September 30, 2021 and 2020, $55.0 million and $31.5 million in SBA debentures were repaid, respectively. As of September 30, 2021 and 2020, the unamortized fees on the SBA debentures were $1.3 million and $2.7 million, respectively. The SBA debentures’ upfront fees of 3.4% consist of a commitment fee of 1.0% and an issuance discount of 2.4%, which are being amortized.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80" w:type="dxa"/>
            <w:vAlign w:val="bottom"/>
            <w:gridSpan w:val="3"/>
          </w:tcPr>
          <w:p>
            <w:pPr>
              <w:ind w:left="440"/>
              <w:spacing w:after="0"/>
              <w:rPr>
                <w:sz w:val="20"/>
                <w:szCs w:val="20"/>
                <w:color w:val="auto"/>
              </w:rPr>
            </w:pPr>
            <w:r>
              <w:rPr>
                <w:rFonts w:ascii="Arial" w:cs="Arial" w:eastAsia="Arial" w:hAnsi="Arial"/>
                <w:sz w:val="14"/>
                <w:szCs w:val="14"/>
                <w:color w:val="auto"/>
              </w:rPr>
              <w:t>Our fixed-rate SBA debentures were as follows:</w:t>
            </w:r>
          </w:p>
        </w:tc>
        <w:tc>
          <w:tcPr>
            <w:tcW w:w="2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3560" w:type="dxa"/>
            <w:vAlign w:val="bottom"/>
            <w:gridSpan w:val="2"/>
            <w:vMerge w:val="restart"/>
          </w:tcPr>
          <w:p>
            <w:pPr>
              <w:ind w:left="1320"/>
              <w:spacing w:after="0"/>
              <w:rPr>
                <w:sz w:val="20"/>
                <w:szCs w:val="20"/>
                <w:color w:val="auto"/>
              </w:rPr>
            </w:pPr>
            <w:r>
              <w:rPr>
                <w:rFonts w:ascii="Arial" w:cs="Arial" w:eastAsia="Arial" w:hAnsi="Arial"/>
                <w:sz w:val="14"/>
                <w:szCs w:val="14"/>
                <w:b w:val="1"/>
                <w:bCs w:val="1"/>
                <w:color w:val="auto"/>
              </w:rPr>
              <w:t>Issuance Dates</w:t>
            </w:r>
          </w:p>
        </w:tc>
        <w:tc>
          <w:tcPr>
            <w:tcW w:w="220" w:type="dxa"/>
            <w:vAlign w:val="bottom"/>
            <w:vMerge w:val="restart"/>
          </w:tcPr>
          <w:p>
            <w:pPr>
              <w:spacing w:after="0"/>
              <w:rPr>
                <w:sz w:val="23"/>
                <w:szCs w:val="23"/>
                <w:color w:val="auto"/>
              </w:rPr>
            </w:pPr>
          </w:p>
        </w:tc>
        <w:tc>
          <w:tcPr>
            <w:tcW w:w="216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23"/>
                <w:szCs w:val="23"/>
                <w:color w:val="auto"/>
              </w:rPr>
            </w:pPr>
          </w:p>
        </w:tc>
        <w:tc>
          <w:tcPr>
            <w:tcW w:w="20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360" w:type="dxa"/>
            <w:vAlign w:val="bottom"/>
            <w:vMerge w:val="restart"/>
          </w:tcPr>
          <w:p>
            <w:pPr>
              <w:spacing w:after="0"/>
              <w:rPr>
                <w:sz w:val="23"/>
                <w:szCs w:val="23"/>
                <w:color w:val="auto"/>
              </w:rPr>
            </w:pPr>
          </w:p>
        </w:tc>
        <w:tc>
          <w:tcPr>
            <w:tcW w:w="280" w:type="dxa"/>
            <w:vAlign w:val="bottom"/>
          </w:tcPr>
          <w:p>
            <w:pPr>
              <w:spacing w:after="0"/>
              <w:rPr>
                <w:sz w:val="23"/>
                <w:szCs w:val="23"/>
                <w:color w:val="auto"/>
              </w:rPr>
            </w:pPr>
          </w:p>
        </w:tc>
        <w:tc>
          <w:tcPr>
            <w:tcW w:w="2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 September 30, 2021</w:t>
            </w:r>
          </w:p>
        </w:tc>
        <w:tc>
          <w:tcPr>
            <w:tcW w:w="0" w:type="dxa"/>
            <w:vAlign w:val="bottom"/>
          </w:tcPr>
          <w:p>
            <w:pPr>
              <w:spacing w:after="0"/>
              <w:rPr>
                <w:sz w:val="1"/>
                <w:szCs w:val="1"/>
                <w:color w:val="auto"/>
              </w:rPr>
            </w:pPr>
          </w:p>
        </w:tc>
      </w:tr>
      <w:tr>
        <w:trPr>
          <w:trHeight w:val="171"/>
        </w:trPr>
        <w:tc>
          <w:tcPr>
            <w:tcW w:w="356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21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204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CECFF"/>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2"/>
              </w:rPr>
              <w:t>Principal Balance</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6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September 20, 2017</w:t>
            </w:r>
          </w:p>
        </w:tc>
        <w:tc>
          <w:tcPr>
            <w:tcW w:w="220" w:type="dxa"/>
            <w:vAlign w:val="bottom"/>
            <w:shd w:val="clear" w:color="auto" w:fill="CCECFF"/>
          </w:tcPr>
          <w:p>
            <w:pPr>
              <w:spacing w:after="0"/>
              <w:rPr>
                <w:sz w:val="13"/>
                <w:szCs w:val="13"/>
                <w:color w:val="auto"/>
              </w:rPr>
            </w:pPr>
          </w:p>
        </w:tc>
        <w:tc>
          <w:tcPr>
            <w:tcW w:w="21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September 1, 2027</w:t>
            </w:r>
          </w:p>
        </w:tc>
        <w:tc>
          <w:tcPr>
            <w:tcW w:w="220" w:type="dxa"/>
            <w:vAlign w:val="bottom"/>
            <w:shd w:val="clear" w:color="auto" w:fill="CCECFF"/>
          </w:tcPr>
          <w:p>
            <w:pPr>
              <w:spacing w:after="0"/>
              <w:rPr>
                <w:sz w:val="13"/>
                <w:szCs w:val="13"/>
                <w:color w:val="auto"/>
              </w:rPr>
            </w:pPr>
          </w:p>
        </w:tc>
        <w:tc>
          <w:tcPr>
            <w:tcW w:w="2400" w:type="dxa"/>
            <w:vAlign w:val="bottom"/>
            <w:gridSpan w:val="2"/>
            <w:shd w:val="clear" w:color="auto" w:fill="CCECFF"/>
          </w:tcPr>
          <w:p>
            <w:pPr>
              <w:ind w:left="1840"/>
              <w:spacing w:after="0" w:line="155" w:lineRule="exact"/>
              <w:rPr>
                <w:sz w:val="20"/>
                <w:szCs w:val="20"/>
                <w:color w:val="auto"/>
              </w:rPr>
            </w:pPr>
            <w:r>
              <w:rPr>
                <w:rFonts w:ascii="Arial" w:cs="Arial" w:eastAsia="Arial" w:hAnsi="Arial"/>
                <w:sz w:val="14"/>
                <w:szCs w:val="14"/>
                <w:color w:val="auto"/>
              </w:rPr>
              <w:t>2.9%</w:t>
            </w:r>
          </w:p>
        </w:tc>
        <w:tc>
          <w:tcPr>
            <w:tcW w:w="280" w:type="dxa"/>
            <w:vAlign w:val="bottom"/>
            <w:shd w:val="clear" w:color="auto" w:fill="CCECFF"/>
          </w:tcPr>
          <w:p>
            <w:pPr>
              <w:spacing w:after="0"/>
              <w:rPr>
                <w:sz w:val="13"/>
                <w:szCs w:val="13"/>
                <w:color w:val="auto"/>
              </w:rPr>
            </w:pPr>
          </w:p>
        </w:tc>
        <w:tc>
          <w:tcPr>
            <w:tcW w:w="22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27,500,000</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tcBorders>
              <w:bottom w:val="single" w:sz="8" w:color="CCECFF"/>
            </w:tcBorders>
            <w:gridSpan w:val="3"/>
          </w:tcPr>
          <w:p>
            <w:pPr>
              <w:spacing w:after="0"/>
              <w:rPr>
                <w:sz w:val="20"/>
                <w:szCs w:val="20"/>
                <w:color w:val="auto"/>
              </w:rPr>
            </w:pPr>
            <w:r>
              <w:rPr>
                <w:rFonts w:ascii="Arial" w:cs="Arial" w:eastAsia="Arial" w:hAnsi="Arial"/>
                <w:sz w:val="14"/>
                <w:szCs w:val="14"/>
                <w:color w:val="auto"/>
              </w:rPr>
              <w:t>March 21, 2018</w:t>
            </w:r>
          </w:p>
        </w:tc>
        <w:tc>
          <w:tcPr>
            <w:tcW w:w="238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March 1, 2028</w:t>
            </w:r>
          </w:p>
        </w:tc>
        <w:tc>
          <w:tcPr>
            <w:tcW w:w="2040" w:type="dxa"/>
            <w:vAlign w:val="bottom"/>
            <w:tcBorders>
              <w:bottom w:val="single" w:sz="8" w:color="auto"/>
            </w:tcBorders>
          </w:tcPr>
          <w:p>
            <w:pPr>
              <w:ind w:left="1840"/>
              <w:spacing w:after="0"/>
              <w:rPr>
                <w:sz w:val="20"/>
                <w:szCs w:val="20"/>
                <w:color w:val="auto"/>
              </w:rPr>
            </w:pPr>
            <w:r>
              <w:rPr>
                <w:rFonts w:ascii="Arial" w:cs="Arial" w:eastAsia="Arial" w:hAnsi="Arial"/>
                <w:sz w:val="14"/>
                <w:szCs w:val="14"/>
                <w:color w:val="auto"/>
                <w:w w:val="92"/>
              </w:rPr>
              <w:t>3.5</w:t>
            </w:r>
          </w:p>
        </w:tc>
        <w:tc>
          <w:tcPr>
            <w:tcW w:w="36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36,000,000</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8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1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400" w:type="dxa"/>
            <w:vAlign w:val="bottom"/>
            <w:gridSpan w:val="2"/>
            <w:shd w:val="clear" w:color="auto" w:fill="CCECFF"/>
          </w:tcPr>
          <w:p>
            <w:pPr>
              <w:ind w:left="1840"/>
              <w:spacing w:after="0" w:line="155" w:lineRule="exact"/>
              <w:rPr>
                <w:sz w:val="20"/>
                <w:szCs w:val="20"/>
                <w:color w:val="auto"/>
              </w:rPr>
            </w:pPr>
            <w:r>
              <w:rPr>
                <w:rFonts w:ascii="Arial" w:cs="Arial" w:eastAsia="Arial" w:hAnsi="Arial"/>
                <w:sz w:val="14"/>
                <w:szCs w:val="14"/>
                <w:color w:val="auto"/>
              </w:rPr>
              <w:t>3.3%</w:t>
            </w:r>
          </w:p>
        </w:tc>
        <w:tc>
          <w:tcPr>
            <w:tcW w:w="280" w:type="dxa"/>
            <w:vAlign w:val="bottom"/>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22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63,500,000</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CCECFF"/>
            </w:tcBorders>
          </w:tcPr>
          <w:p>
            <w:pPr>
              <w:spacing w:after="0" w:line="20" w:lineRule="exact"/>
              <w:rPr>
                <w:sz w:val="1"/>
                <w:szCs w:val="1"/>
                <w:color w:val="auto"/>
              </w:rPr>
            </w:pPr>
          </w:p>
        </w:tc>
        <w:tc>
          <w:tcPr>
            <w:tcW w:w="180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16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560" w:type="dxa"/>
            <w:vAlign w:val="bottom"/>
            <w:gridSpan w:val="2"/>
            <w:vMerge w:val="restart"/>
          </w:tcPr>
          <w:p>
            <w:pPr>
              <w:ind w:left="1320"/>
              <w:spacing w:after="0"/>
              <w:rPr>
                <w:sz w:val="20"/>
                <w:szCs w:val="20"/>
                <w:color w:val="auto"/>
              </w:rPr>
            </w:pPr>
            <w:r>
              <w:rPr>
                <w:rFonts w:ascii="Arial" w:cs="Arial" w:eastAsia="Arial" w:hAnsi="Arial"/>
                <w:sz w:val="14"/>
                <w:szCs w:val="14"/>
                <w:b w:val="1"/>
                <w:bCs w:val="1"/>
                <w:color w:val="auto"/>
              </w:rPr>
              <w:t>Issuance Dates</w:t>
            </w:r>
          </w:p>
        </w:tc>
        <w:tc>
          <w:tcPr>
            <w:tcW w:w="220" w:type="dxa"/>
            <w:vAlign w:val="bottom"/>
            <w:vMerge w:val="restart"/>
          </w:tcPr>
          <w:p>
            <w:pPr>
              <w:spacing w:after="0"/>
              <w:rPr>
                <w:sz w:val="24"/>
                <w:szCs w:val="24"/>
                <w:color w:val="auto"/>
              </w:rPr>
            </w:pPr>
          </w:p>
        </w:tc>
        <w:tc>
          <w:tcPr>
            <w:tcW w:w="216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24"/>
                <w:szCs w:val="24"/>
                <w:color w:val="auto"/>
              </w:rPr>
            </w:pPr>
          </w:p>
        </w:tc>
        <w:tc>
          <w:tcPr>
            <w:tcW w:w="20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36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 September 30, 2020</w:t>
            </w:r>
          </w:p>
        </w:tc>
        <w:tc>
          <w:tcPr>
            <w:tcW w:w="0" w:type="dxa"/>
            <w:vAlign w:val="bottom"/>
          </w:tcPr>
          <w:p>
            <w:pPr>
              <w:spacing w:after="0"/>
              <w:rPr>
                <w:sz w:val="1"/>
                <w:szCs w:val="1"/>
                <w:color w:val="auto"/>
              </w:rPr>
            </w:pPr>
          </w:p>
        </w:tc>
      </w:tr>
      <w:tr>
        <w:trPr>
          <w:trHeight w:val="171"/>
        </w:trPr>
        <w:tc>
          <w:tcPr>
            <w:tcW w:w="356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21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204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CECFF"/>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2"/>
              </w:rPr>
              <w:t>Principal Balance</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6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March 23, 2016</w:t>
            </w:r>
          </w:p>
        </w:tc>
        <w:tc>
          <w:tcPr>
            <w:tcW w:w="220" w:type="dxa"/>
            <w:vAlign w:val="bottom"/>
            <w:shd w:val="clear" w:color="auto" w:fill="CCECFF"/>
          </w:tcPr>
          <w:p>
            <w:pPr>
              <w:spacing w:after="0"/>
              <w:rPr>
                <w:sz w:val="13"/>
                <w:szCs w:val="13"/>
                <w:color w:val="auto"/>
              </w:rPr>
            </w:pPr>
          </w:p>
        </w:tc>
        <w:tc>
          <w:tcPr>
            <w:tcW w:w="21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1, 2026</w:t>
            </w:r>
          </w:p>
        </w:tc>
        <w:tc>
          <w:tcPr>
            <w:tcW w:w="220" w:type="dxa"/>
            <w:vAlign w:val="bottom"/>
            <w:shd w:val="clear" w:color="auto" w:fill="CCECFF"/>
          </w:tcPr>
          <w:p>
            <w:pPr>
              <w:spacing w:after="0"/>
              <w:rPr>
                <w:sz w:val="13"/>
                <w:szCs w:val="13"/>
                <w:color w:val="auto"/>
              </w:rPr>
            </w:pPr>
          </w:p>
        </w:tc>
        <w:tc>
          <w:tcPr>
            <w:tcW w:w="2400" w:type="dxa"/>
            <w:vAlign w:val="bottom"/>
            <w:gridSpan w:val="2"/>
            <w:shd w:val="clear" w:color="auto" w:fill="CCECFF"/>
          </w:tcPr>
          <w:p>
            <w:pPr>
              <w:ind w:left="1840"/>
              <w:spacing w:after="0" w:line="155" w:lineRule="exact"/>
              <w:rPr>
                <w:sz w:val="20"/>
                <w:szCs w:val="20"/>
                <w:color w:val="auto"/>
              </w:rPr>
            </w:pPr>
            <w:r>
              <w:rPr>
                <w:rFonts w:ascii="Arial" w:cs="Arial" w:eastAsia="Arial" w:hAnsi="Arial"/>
                <w:sz w:val="14"/>
                <w:szCs w:val="14"/>
                <w:color w:val="auto"/>
              </w:rPr>
              <w:t>2.9%</w:t>
            </w:r>
          </w:p>
        </w:tc>
        <w:tc>
          <w:tcPr>
            <w:tcW w:w="280" w:type="dxa"/>
            <w:vAlign w:val="bottom"/>
            <w:shd w:val="clear" w:color="auto" w:fill="CCECFF"/>
          </w:tcPr>
          <w:p>
            <w:pPr>
              <w:spacing w:after="0"/>
              <w:rPr>
                <w:sz w:val="13"/>
                <w:szCs w:val="13"/>
                <w:color w:val="auto"/>
              </w:rPr>
            </w:pPr>
          </w:p>
        </w:tc>
        <w:tc>
          <w:tcPr>
            <w:tcW w:w="22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22,500,000</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gridSpan w:val="3"/>
          </w:tcPr>
          <w:p>
            <w:pPr>
              <w:spacing w:after="0"/>
              <w:rPr>
                <w:sz w:val="20"/>
                <w:szCs w:val="20"/>
                <w:color w:val="auto"/>
              </w:rPr>
            </w:pPr>
            <w:r>
              <w:rPr>
                <w:rFonts w:ascii="Arial" w:cs="Arial" w:eastAsia="Arial" w:hAnsi="Arial"/>
                <w:sz w:val="14"/>
                <w:szCs w:val="14"/>
                <w:color w:val="auto"/>
              </w:rPr>
              <w:t>September 21, 2016</w:t>
            </w:r>
          </w:p>
        </w:tc>
        <w:tc>
          <w:tcPr>
            <w:tcW w:w="2380" w:type="dxa"/>
            <w:vAlign w:val="bottom"/>
            <w:gridSpan w:val="2"/>
          </w:tcPr>
          <w:p>
            <w:pPr>
              <w:spacing w:after="0"/>
              <w:rPr>
                <w:sz w:val="20"/>
                <w:szCs w:val="20"/>
                <w:color w:val="auto"/>
              </w:rPr>
            </w:pPr>
            <w:r>
              <w:rPr>
                <w:rFonts w:ascii="Arial" w:cs="Arial" w:eastAsia="Arial" w:hAnsi="Arial"/>
                <w:sz w:val="14"/>
                <w:szCs w:val="14"/>
                <w:color w:val="auto"/>
              </w:rPr>
              <w:t>September 1, 2026</w:t>
            </w:r>
          </w:p>
        </w:tc>
        <w:tc>
          <w:tcPr>
            <w:tcW w:w="2040" w:type="dxa"/>
            <w:vAlign w:val="bottom"/>
          </w:tcPr>
          <w:p>
            <w:pPr>
              <w:ind w:left="1840"/>
              <w:spacing w:after="0"/>
              <w:rPr>
                <w:sz w:val="20"/>
                <w:szCs w:val="20"/>
                <w:color w:val="auto"/>
              </w:rPr>
            </w:pPr>
            <w:r>
              <w:rPr>
                <w:rFonts w:ascii="Arial" w:cs="Arial" w:eastAsia="Arial" w:hAnsi="Arial"/>
                <w:sz w:val="14"/>
                <w:szCs w:val="14"/>
                <w:color w:val="auto"/>
                <w:w w:val="92"/>
              </w:rPr>
              <w:t>2.4</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tcPr>
          <w:p>
            <w:pPr>
              <w:jc w:val="right"/>
              <w:spacing w:after="0"/>
              <w:rPr>
                <w:sz w:val="20"/>
                <w:szCs w:val="20"/>
                <w:color w:val="auto"/>
              </w:rPr>
            </w:pPr>
            <w:r>
              <w:rPr>
                <w:rFonts w:ascii="Arial" w:cs="Arial" w:eastAsia="Arial" w:hAnsi="Arial"/>
                <w:sz w:val="14"/>
                <w:szCs w:val="14"/>
                <w:color w:val="auto"/>
              </w:rPr>
              <w:t>10,000,000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September 20, 2017</w:t>
            </w:r>
          </w:p>
        </w:tc>
        <w:tc>
          <w:tcPr>
            <w:tcW w:w="23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1, 2027</w:t>
            </w:r>
          </w:p>
        </w:tc>
        <w:tc>
          <w:tcPr>
            <w:tcW w:w="2040" w:type="dxa"/>
            <w:vAlign w:val="bottom"/>
            <w:shd w:val="clear" w:color="auto" w:fill="CCECFF"/>
          </w:tcPr>
          <w:p>
            <w:pPr>
              <w:ind w:left="1840"/>
              <w:spacing w:after="0"/>
              <w:rPr>
                <w:sz w:val="20"/>
                <w:szCs w:val="20"/>
                <w:color w:val="auto"/>
              </w:rPr>
            </w:pPr>
            <w:r>
              <w:rPr>
                <w:rFonts w:ascii="Arial" w:cs="Arial" w:eastAsia="Arial" w:hAnsi="Arial"/>
                <w:sz w:val="14"/>
                <w:szCs w:val="14"/>
                <w:color w:val="auto"/>
                <w:w w:val="92"/>
              </w:rPr>
              <w:t>2.9</w:t>
            </w:r>
          </w:p>
        </w:tc>
        <w:tc>
          <w:tcPr>
            <w:tcW w:w="3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2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27,500,000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Borders>
              <w:bottom w:val="single" w:sz="8" w:color="CCECFF"/>
            </w:tcBorders>
            <w:gridSpan w:val="3"/>
          </w:tcPr>
          <w:p>
            <w:pPr>
              <w:spacing w:after="0"/>
              <w:rPr>
                <w:sz w:val="20"/>
                <w:szCs w:val="20"/>
                <w:color w:val="auto"/>
              </w:rPr>
            </w:pPr>
            <w:r>
              <w:rPr>
                <w:rFonts w:ascii="Arial" w:cs="Arial" w:eastAsia="Arial" w:hAnsi="Arial"/>
                <w:sz w:val="14"/>
                <w:szCs w:val="14"/>
                <w:color w:val="auto"/>
              </w:rPr>
              <w:t>March 21, 2018</w:t>
            </w:r>
          </w:p>
        </w:tc>
        <w:tc>
          <w:tcPr>
            <w:tcW w:w="238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March 1, 2028</w:t>
            </w:r>
          </w:p>
        </w:tc>
        <w:tc>
          <w:tcPr>
            <w:tcW w:w="2040" w:type="dxa"/>
            <w:vAlign w:val="bottom"/>
            <w:tcBorders>
              <w:bottom w:val="single" w:sz="8" w:color="auto"/>
            </w:tcBorders>
          </w:tcPr>
          <w:p>
            <w:pPr>
              <w:ind w:left="1840"/>
              <w:spacing w:after="0"/>
              <w:rPr>
                <w:sz w:val="20"/>
                <w:szCs w:val="20"/>
                <w:color w:val="auto"/>
              </w:rPr>
            </w:pPr>
            <w:r>
              <w:rPr>
                <w:rFonts w:ascii="Arial" w:cs="Arial" w:eastAsia="Arial" w:hAnsi="Arial"/>
                <w:sz w:val="14"/>
                <w:szCs w:val="14"/>
                <w:color w:val="auto"/>
                <w:w w:val="92"/>
              </w:rPr>
              <w:t>3.5</w:t>
            </w:r>
          </w:p>
        </w:tc>
        <w:tc>
          <w:tcPr>
            <w:tcW w:w="36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58,500,000</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8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1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400" w:type="dxa"/>
            <w:vAlign w:val="bottom"/>
            <w:gridSpan w:val="2"/>
            <w:shd w:val="clear" w:color="auto" w:fill="CCECFF"/>
          </w:tcPr>
          <w:p>
            <w:pPr>
              <w:ind w:left="1840"/>
              <w:spacing w:after="0" w:line="155" w:lineRule="exact"/>
              <w:rPr>
                <w:sz w:val="20"/>
                <w:szCs w:val="20"/>
                <w:color w:val="auto"/>
              </w:rPr>
            </w:pPr>
            <w:r>
              <w:rPr>
                <w:rFonts w:ascii="Arial" w:cs="Arial" w:eastAsia="Arial" w:hAnsi="Arial"/>
                <w:sz w:val="14"/>
                <w:szCs w:val="14"/>
                <w:color w:val="auto"/>
              </w:rPr>
              <w:t>3.2%</w:t>
            </w:r>
          </w:p>
        </w:tc>
        <w:tc>
          <w:tcPr>
            <w:tcW w:w="280" w:type="dxa"/>
            <w:vAlign w:val="bottom"/>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22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118,500,000</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CCECFF"/>
            </w:tcBorders>
          </w:tcPr>
          <w:p>
            <w:pPr>
              <w:spacing w:after="0" w:line="20" w:lineRule="exact"/>
              <w:rPr>
                <w:sz w:val="1"/>
                <w:szCs w:val="1"/>
                <w:color w:val="auto"/>
              </w:rPr>
            </w:pPr>
          </w:p>
        </w:tc>
        <w:tc>
          <w:tcPr>
            <w:tcW w:w="180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16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1760" w:type="dxa"/>
            <w:vAlign w:val="bottom"/>
            <w:tcBorders>
              <w:bottom w:val="single" w:sz="8" w:color="auto"/>
            </w:tcBorders>
          </w:tcPr>
          <w:p>
            <w:pPr>
              <w:spacing w:after="0"/>
              <w:rPr>
                <w:sz w:val="3"/>
                <w:szCs w:val="3"/>
                <w:color w:val="auto"/>
              </w:rPr>
            </w:pPr>
          </w:p>
        </w:tc>
        <w:tc>
          <w:tcPr>
            <w:tcW w:w="1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80" w:hanging="372"/>
        <w:spacing w:after="0" w:line="190" w:lineRule="auto"/>
        <w:tabs>
          <w:tab w:leader="none" w:pos="380" w:val="left"/>
        </w:tabs>
        <w:numPr>
          <w:ilvl w:val="0"/>
          <w:numId w:val="58"/>
        </w:numPr>
        <w:rPr>
          <w:rFonts w:ascii="Arial" w:cs="Arial" w:eastAsia="Arial" w:hAnsi="Arial"/>
          <w:sz w:val="20"/>
          <w:szCs w:val="20"/>
          <w:b w:val="1"/>
          <w:bCs w:val="1"/>
          <w:color w:val="auto"/>
          <w:vertAlign w:val="superscript"/>
        </w:rPr>
      </w:pPr>
      <w:r>
        <w:rPr>
          <w:rFonts w:ascii="Arial" w:cs="Arial" w:eastAsia="Arial" w:hAnsi="Arial"/>
          <w:sz w:val="12"/>
          <w:szCs w:val="12"/>
          <w:color w:val="auto"/>
        </w:rPr>
        <w:t>Excluding 3.4% of upfront fees.</w:t>
      </w:r>
    </w:p>
    <w:p>
      <w:pPr>
        <w:spacing w:after="0" w:line="123"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SBIC II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September 30, 2021, SBIC II was in compliance with their regulatory requirements.</w:t>
      </w:r>
    </w:p>
    <w:p>
      <w:pPr>
        <w:spacing w:after="0" w:line="116" w:lineRule="exact"/>
        <w:rPr>
          <w:sz w:val="20"/>
          <w:szCs w:val="20"/>
          <w:color w:val="auto"/>
        </w:rPr>
      </w:pPr>
    </w:p>
    <w:p>
      <w:pPr>
        <w:ind w:right="80" w:firstLine="438"/>
        <w:spacing w:after="0" w:line="255" w:lineRule="auto"/>
        <w:rPr>
          <w:sz w:val="20"/>
          <w:szCs w:val="20"/>
          <w:color w:val="auto"/>
        </w:rPr>
      </w:pPr>
      <w:r>
        <w:rPr>
          <w:rFonts w:ascii="Arial" w:cs="Arial" w:eastAsia="Arial" w:hAnsi="Arial"/>
          <w:sz w:val="13"/>
          <w:szCs w:val="13"/>
          <w:color w:val="auto"/>
        </w:rPr>
        <w:t>In accordance with the 1940 Act, with certain limited exceptions, PennantPark Investment is only allowed to borrow amounts such that our required 150% asset coverage ratio is met after such borrowing. As of September 30, 2021 and 2020,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150% which, while providing increased investment flexibility, also increases our exposure to risks associated with leverage.</w:t>
      </w:r>
    </w:p>
    <w:p>
      <w:pPr>
        <w:spacing w:after="0" w:line="94" w:lineRule="exact"/>
        <w:rPr>
          <w:sz w:val="20"/>
          <w:szCs w:val="20"/>
          <w:color w:val="auto"/>
        </w:rPr>
      </w:pPr>
    </w:p>
    <w:p>
      <w:pPr>
        <w:ind w:right="80" w:firstLine="438"/>
        <w:spacing w:after="0" w:line="253" w:lineRule="auto"/>
        <w:rPr>
          <w:sz w:val="20"/>
          <w:szCs w:val="20"/>
          <w:color w:val="auto"/>
        </w:rPr>
      </w:pPr>
      <w:r>
        <w:rPr>
          <w:rFonts w:ascii="Arial" w:cs="Arial" w:eastAsia="Arial" w:hAnsi="Arial"/>
          <w:sz w:val="14"/>
          <w:szCs w:val="14"/>
          <w:color w:val="auto"/>
        </w:rPr>
        <w:t>As of September 30, 2021 and 2020, we had cash and cash equivalents of $20.4 million and $25.8 million, respectively, available for investing and general corporate purposes. We believe our liquidity and capital resources are sufficient to take advantage of market opportunities.</w:t>
      </w:r>
    </w:p>
    <w:p>
      <w:pPr>
        <w:spacing w:after="0" w:line="106" w:lineRule="exact"/>
        <w:rPr>
          <w:sz w:val="20"/>
          <w:szCs w:val="20"/>
          <w:color w:val="auto"/>
        </w:rPr>
      </w:pPr>
    </w:p>
    <w:p>
      <w:pPr>
        <w:ind w:right="140" w:firstLine="438"/>
        <w:spacing w:after="0" w:line="238" w:lineRule="auto"/>
        <w:rPr>
          <w:sz w:val="20"/>
          <w:szCs w:val="20"/>
          <w:color w:val="auto"/>
        </w:rPr>
      </w:pPr>
      <w:r>
        <w:rPr>
          <w:rFonts w:ascii="Arial" w:cs="Arial" w:eastAsia="Arial" w:hAnsi="Arial"/>
          <w:sz w:val="14"/>
          <w:szCs w:val="14"/>
          <w:color w:val="auto"/>
        </w:rPr>
        <w:t>Our operating activities provided cash of $7.9 million for the year ended September 30, 2021, and our financing activities used cash of $(13.4) million for the same period. Our operating activities used cash primarily for our investment activities and our financing activities provided cash primarily for net repayments under our Credit Facilities and the repayment of the SBA debentures.</w:t>
      </w:r>
    </w:p>
    <w:p>
      <w:pPr>
        <w:spacing w:after="0" w:line="115"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Our operating activities used cash of $129.6 million for the year ended September 30, 2020, and our financing activities provided cash of $95.8 million for the same period. Our operating activities used cash primarily for our investment activities and our financing activities provided cash primarily for net borrowings under our Credit Facilities.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For more information regarding our borrowing arrangements, see “Business—Leverage” above.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color w:val="auto"/>
        </w:rPr>
        <w:t>Senior Securities</w:t>
      </w:r>
    </w:p>
    <w:p>
      <w:pPr>
        <w:spacing w:after="0" w:line="140" w:lineRule="exact"/>
        <w:rPr>
          <w:sz w:val="20"/>
          <w:szCs w:val="20"/>
          <w:color w:val="auto"/>
        </w:rPr>
      </w:pPr>
    </w:p>
    <w:p>
      <w:pPr>
        <w:ind w:right="120" w:firstLine="729"/>
        <w:spacing w:after="0" w:line="253" w:lineRule="auto"/>
        <w:rPr>
          <w:sz w:val="20"/>
          <w:szCs w:val="20"/>
          <w:color w:val="auto"/>
        </w:rPr>
      </w:pPr>
      <w:r>
        <w:rPr>
          <w:rFonts w:ascii="Arial" w:cs="Arial" w:eastAsia="Arial" w:hAnsi="Arial"/>
          <w:sz w:val="14"/>
          <w:szCs w:val="14"/>
          <w:color w:val="auto"/>
        </w:rPr>
        <w:t>Information about our senior securities is shown in the following table as of September 30, 2021, 2020, 2019, 2018, 2017, 2016, 2015, 2014, 2013 and 2012. The report of RSM US LLP, an independent registered public accounting firm, on the Senior Securities table as of September 30, 2021, is attached as an exhibit to this Report.</w:t>
      </w:r>
    </w:p>
    <w:tbl>
      <w:tblPr>
        <w:tblLayout w:type="fixed"/>
        <w:tblInd w:w="0" w:type="dxa"/>
        <w:tblCellMar>
          <w:top w:w="0" w:type="dxa"/>
          <w:left w:w="0" w:type="dxa"/>
          <w:bottom w:w="0" w:type="dxa"/>
          <w:right w:w="0" w:type="dxa"/>
        </w:tblCellMar>
      </w:tblPr>
      <w:tr>
        <w:trPr>
          <w:trHeight w:val="156"/>
        </w:trPr>
        <w:tc>
          <w:tcPr>
            <w:tcW w:w="1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vMerge w:val="restart"/>
          </w:tcPr>
          <w:p>
            <w:pPr>
              <w:jc w:val="center"/>
              <w:ind w:left="475"/>
              <w:spacing w:after="0"/>
              <w:rPr>
                <w:sz w:val="20"/>
                <w:szCs w:val="20"/>
                <w:color w:val="auto"/>
              </w:rPr>
            </w:pPr>
            <w:r>
              <w:rPr>
                <w:rFonts w:ascii="Arial" w:cs="Arial" w:eastAsia="Arial" w:hAnsi="Arial"/>
                <w:sz w:val="14"/>
                <w:szCs w:val="14"/>
                <w:b w:val="1"/>
                <w:bCs w:val="1"/>
                <w:color w:val="auto"/>
                <w:w w:val="95"/>
              </w:rPr>
              <w:t>Total Amount</w:t>
            </w: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Asset Coverage</w:t>
            </w:r>
          </w:p>
        </w:tc>
        <w:tc>
          <w:tcPr>
            <w:tcW w:w="400" w:type="dxa"/>
            <w:vAlign w:val="bottom"/>
          </w:tcPr>
          <w:p>
            <w:pPr>
              <w:spacing w:after="0"/>
              <w:rPr>
                <w:sz w:val="13"/>
                <w:szCs w:val="13"/>
                <w:color w:val="auto"/>
              </w:rPr>
            </w:pPr>
          </w:p>
        </w:tc>
        <w:tc>
          <w:tcPr>
            <w:tcW w:w="1880" w:type="dxa"/>
            <w:vAlign w:val="bottom"/>
          </w:tcPr>
          <w:p>
            <w:pPr>
              <w:jc w:val="center"/>
              <w:ind w:right="348"/>
              <w:spacing w:after="0" w:line="156" w:lineRule="exact"/>
              <w:rPr>
                <w:sz w:val="20"/>
                <w:szCs w:val="20"/>
                <w:color w:val="auto"/>
              </w:rPr>
            </w:pPr>
            <w:r>
              <w:rPr>
                <w:rFonts w:ascii="Arial" w:cs="Arial" w:eastAsia="Arial" w:hAnsi="Arial"/>
                <w:sz w:val="14"/>
                <w:szCs w:val="14"/>
                <w:b w:val="1"/>
                <w:bCs w:val="1"/>
                <w:color w:val="auto"/>
                <w:w w:val="90"/>
              </w:rPr>
              <w:t>Average</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and Year</w:t>
            </w:r>
          </w:p>
        </w:tc>
        <w:tc>
          <w:tcPr>
            <w:tcW w:w="240" w:type="dxa"/>
            <w:vAlign w:val="bottom"/>
            <w:vMerge w:val="restart"/>
          </w:tcPr>
          <w:p>
            <w:pPr>
              <w:spacing w:after="0"/>
              <w:rPr>
                <w:sz w:val="12"/>
                <w:szCs w:val="12"/>
                <w:color w:val="auto"/>
              </w:rPr>
            </w:pPr>
          </w:p>
        </w:tc>
        <w:tc>
          <w:tcPr>
            <w:tcW w:w="16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880" w:type="dxa"/>
            <w:vAlign w:val="bottom"/>
          </w:tcPr>
          <w:p>
            <w:pPr>
              <w:jc w:val="center"/>
              <w:ind w:right="348"/>
              <w:spacing w:after="0" w:line="149" w:lineRule="exact"/>
              <w:rPr>
                <w:sz w:val="20"/>
                <w:szCs w:val="20"/>
                <w:color w:val="auto"/>
              </w:rPr>
            </w:pPr>
            <w:r>
              <w:rPr>
                <w:rFonts w:ascii="Arial" w:cs="Arial" w:eastAsia="Arial" w:hAnsi="Arial"/>
                <w:sz w:val="14"/>
                <w:szCs w:val="14"/>
                <w:b w:val="1"/>
                <w:bCs w:val="1"/>
                <w:color w:val="auto"/>
                <w:w w:val="99"/>
              </w:rPr>
              <w:t>Market Value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Borders>
              <w:bottom w:val="single" w:sz="8" w:color="auto"/>
            </w:tcBorders>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680" w:type="dxa"/>
            <w:vAlign w:val="bottom"/>
            <w:tcBorders>
              <w:bottom w:val="single" w:sz="8" w:color="auto"/>
            </w:tcBorders>
          </w:tcPr>
          <w:p>
            <w:pPr>
              <w:jc w:val="center"/>
              <w:ind w:left="475"/>
              <w:spacing w:after="0"/>
              <w:rPr>
                <w:sz w:val="20"/>
                <w:szCs w:val="20"/>
                <w:color w:val="auto"/>
              </w:rPr>
            </w:pPr>
            <w:r>
              <w:rPr>
                <w:rFonts w:ascii="Arial" w:cs="Arial" w:eastAsia="Arial" w:hAnsi="Arial"/>
                <w:sz w:val="14"/>
                <w:szCs w:val="14"/>
                <w:b w:val="1"/>
                <w:bCs w:val="1"/>
                <w:color w:val="auto"/>
                <w:w w:val="93"/>
              </w:rPr>
              <w:t xml:space="preserve">Outstanding </w:t>
            </w:r>
            <w:r>
              <w:rPr>
                <w:rFonts w:ascii="Arial" w:cs="Arial" w:eastAsia="Arial" w:hAnsi="Arial"/>
                <w:sz w:val="12"/>
                <w:szCs w:val="12"/>
                <w:b w:val="1"/>
                <w:bCs w:val="1"/>
                <w:color w:val="auto"/>
                <w:w w:val="93"/>
              </w:rPr>
              <w:t>(1)</w:t>
            </w:r>
          </w:p>
        </w:tc>
        <w:tc>
          <w:tcPr>
            <w:tcW w:w="5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 xml:space="preserve">Per Unit </w:t>
            </w:r>
            <w:r>
              <w:rPr>
                <w:rFonts w:ascii="Arial" w:cs="Arial" w:eastAsia="Arial" w:hAnsi="Arial"/>
                <w:sz w:val="12"/>
                <w:szCs w:val="12"/>
                <w:b w:val="1"/>
                <w:bCs w:val="1"/>
                <w:color w:val="auto"/>
              </w:rPr>
              <w:t>(2), (3)</w:t>
            </w:r>
          </w:p>
        </w:tc>
        <w:tc>
          <w:tcPr>
            <w:tcW w:w="3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center"/>
              <w:ind w:right="328"/>
              <w:spacing w:after="0"/>
              <w:rPr>
                <w:sz w:val="20"/>
                <w:szCs w:val="20"/>
                <w:color w:val="auto"/>
              </w:rPr>
            </w:pPr>
            <w:r>
              <w:rPr>
                <w:rFonts w:ascii="Arial" w:cs="Arial" w:eastAsia="Arial" w:hAnsi="Arial"/>
                <w:sz w:val="14"/>
                <w:szCs w:val="14"/>
                <w:b w:val="1"/>
                <w:bCs w:val="1"/>
                <w:color w:val="auto"/>
                <w:w w:val="96"/>
              </w:rPr>
              <w:t>Per Unit</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440" w:type="dxa"/>
            <w:vAlign w:val="bottom"/>
            <w:gridSpan w:val="3"/>
          </w:tcPr>
          <w:p>
            <w:pPr>
              <w:spacing w:after="0"/>
              <w:rPr>
                <w:sz w:val="20"/>
                <w:szCs w:val="20"/>
                <w:color w:val="auto"/>
              </w:rPr>
            </w:pPr>
            <w:r>
              <w:rPr>
                <w:rFonts w:ascii="Arial" w:cs="Arial" w:eastAsia="Arial" w:hAnsi="Arial"/>
                <w:sz w:val="14"/>
                <w:szCs w:val="14"/>
                <w:b w:val="1"/>
                <w:bCs w:val="1"/>
                <w:color w:val="auto"/>
              </w:rPr>
              <w:t>Truist Credit Facility</w:t>
            </w:r>
          </w:p>
        </w:tc>
        <w:tc>
          <w:tcPr>
            <w:tcW w:w="1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4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Fiscal 2021</w:t>
            </w:r>
          </w:p>
        </w:tc>
        <w:tc>
          <w:tcPr>
            <w:tcW w:w="1680" w:type="dxa"/>
            <w:vAlign w:val="bottom"/>
            <w:shd w:val="clear" w:color="auto" w:fill="CCECFF"/>
          </w:tcPr>
          <w:p>
            <w:pPr>
              <w:jc w:val="right"/>
              <w:ind w:right="1555"/>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316,545</w:t>
            </w:r>
          </w:p>
        </w:tc>
        <w:tc>
          <w:tcPr>
            <w:tcW w:w="64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2,208</w:t>
            </w:r>
          </w:p>
        </w:tc>
        <w:tc>
          <w:tcPr>
            <w:tcW w:w="34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1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N/A</w:t>
            </w:r>
          </w:p>
        </w:tc>
        <w:tc>
          <w:tcPr>
            <w:tcW w:w="56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3440" w:type="dxa"/>
            <w:vAlign w:val="bottom"/>
            <w:gridSpan w:val="3"/>
          </w:tcPr>
          <w:p>
            <w:pPr>
              <w:spacing w:after="0"/>
              <w:rPr>
                <w:sz w:val="20"/>
                <w:szCs w:val="20"/>
                <w:color w:val="auto"/>
              </w:rPr>
            </w:pPr>
            <w:r>
              <w:rPr>
                <w:rFonts w:ascii="Arial" w:cs="Arial" w:eastAsia="Arial" w:hAnsi="Arial"/>
                <w:sz w:val="14"/>
                <w:szCs w:val="14"/>
                <w:color w:val="auto"/>
              </w:rPr>
              <w:t>Fiscal 2020</w:t>
            </w:r>
          </w:p>
        </w:tc>
        <w:tc>
          <w:tcPr>
            <w:tcW w:w="16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388,252</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2,078</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N/A</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Fiscal 2019</w:t>
            </w:r>
          </w:p>
        </w:tc>
        <w:tc>
          <w:tcPr>
            <w:tcW w:w="1680" w:type="dxa"/>
            <w:vAlign w:val="bottom"/>
            <w:shd w:val="clear" w:color="auto" w:fill="CCECFF"/>
          </w:tcPr>
          <w:p>
            <w:pPr>
              <w:spacing w:after="0"/>
              <w:rPr>
                <w:sz w:val="14"/>
                <w:szCs w:val="14"/>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301,636</w:t>
            </w:r>
          </w:p>
        </w:tc>
        <w:tc>
          <w:tcPr>
            <w:tcW w:w="3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2,066</w:t>
            </w:r>
          </w:p>
        </w:tc>
        <w:tc>
          <w:tcPr>
            <w:tcW w:w="34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1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N/A</w:t>
            </w:r>
          </w:p>
        </w:tc>
        <w:tc>
          <w:tcPr>
            <w:tcW w:w="5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3"/>
          </w:tcPr>
          <w:p>
            <w:pPr>
              <w:spacing w:after="0"/>
              <w:rPr>
                <w:sz w:val="20"/>
                <w:szCs w:val="20"/>
                <w:color w:val="auto"/>
              </w:rPr>
            </w:pPr>
            <w:r>
              <w:rPr>
                <w:rFonts w:ascii="Arial" w:cs="Arial" w:eastAsia="Arial" w:hAnsi="Arial"/>
                <w:sz w:val="14"/>
                <w:szCs w:val="14"/>
                <w:color w:val="auto"/>
              </w:rPr>
              <w:t>Fiscal 2018</w:t>
            </w:r>
          </w:p>
        </w:tc>
        <w:tc>
          <w:tcPr>
            <w:tcW w:w="16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80,520</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2,919</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N/A</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Fiscal 2017</w:t>
            </w:r>
          </w:p>
        </w:tc>
        <w:tc>
          <w:tcPr>
            <w:tcW w:w="1680" w:type="dxa"/>
            <w:vAlign w:val="bottom"/>
            <w:shd w:val="clear" w:color="auto" w:fill="CCECFF"/>
          </w:tcPr>
          <w:p>
            <w:pPr>
              <w:spacing w:after="0"/>
              <w:rPr>
                <w:sz w:val="14"/>
                <w:szCs w:val="14"/>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79,393</w:t>
            </w:r>
          </w:p>
        </w:tc>
        <w:tc>
          <w:tcPr>
            <w:tcW w:w="3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2,998</w:t>
            </w:r>
          </w:p>
        </w:tc>
        <w:tc>
          <w:tcPr>
            <w:tcW w:w="34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1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N/A</w:t>
            </w:r>
          </w:p>
        </w:tc>
        <w:tc>
          <w:tcPr>
            <w:tcW w:w="5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3"/>
          </w:tcPr>
          <w:p>
            <w:pPr>
              <w:spacing w:after="0"/>
              <w:rPr>
                <w:sz w:val="20"/>
                <w:szCs w:val="20"/>
                <w:color w:val="auto"/>
              </w:rPr>
            </w:pPr>
            <w:r>
              <w:rPr>
                <w:rFonts w:ascii="Arial" w:cs="Arial" w:eastAsia="Arial" w:hAnsi="Arial"/>
                <w:sz w:val="14"/>
                <w:szCs w:val="14"/>
                <w:color w:val="auto"/>
              </w:rPr>
              <w:t>Fiscal 2016</w:t>
            </w:r>
          </w:p>
        </w:tc>
        <w:tc>
          <w:tcPr>
            <w:tcW w:w="16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50,340</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2,794</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N/A</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Fiscal 2015</w:t>
            </w:r>
          </w:p>
        </w:tc>
        <w:tc>
          <w:tcPr>
            <w:tcW w:w="1680" w:type="dxa"/>
            <w:vAlign w:val="bottom"/>
            <w:shd w:val="clear" w:color="auto" w:fill="CCECFF"/>
          </w:tcPr>
          <w:p>
            <w:pPr>
              <w:spacing w:after="0"/>
              <w:rPr>
                <w:sz w:val="14"/>
                <w:szCs w:val="14"/>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136,864</w:t>
            </w:r>
          </w:p>
        </w:tc>
        <w:tc>
          <w:tcPr>
            <w:tcW w:w="3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2,586</w:t>
            </w:r>
          </w:p>
        </w:tc>
        <w:tc>
          <w:tcPr>
            <w:tcW w:w="34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1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N/A</w:t>
            </w:r>
          </w:p>
        </w:tc>
        <w:tc>
          <w:tcPr>
            <w:tcW w:w="5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3"/>
          </w:tcPr>
          <w:p>
            <w:pPr>
              <w:spacing w:after="0"/>
              <w:rPr>
                <w:sz w:val="20"/>
                <w:szCs w:val="20"/>
                <w:color w:val="auto"/>
              </w:rPr>
            </w:pPr>
            <w:r>
              <w:rPr>
                <w:rFonts w:ascii="Arial" w:cs="Arial" w:eastAsia="Arial" w:hAnsi="Arial"/>
                <w:sz w:val="14"/>
                <w:szCs w:val="14"/>
                <w:color w:val="auto"/>
              </w:rPr>
              <w:t>Fiscal 2014</w:t>
            </w:r>
          </w:p>
        </w:tc>
        <w:tc>
          <w:tcPr>
            <w:tcW w:w="16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55,226</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3,215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N/A</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Fiscal 2013</w:t>
            </w:r>
          </w:p>
        </w:tc>
        <w:tc>
          <w:tcPr>
            <w:tcW w:w="1680" w:type="dxa"/>
            <w:vAlign w:val="bottom"/>
            <w:shd w:val="clear" w:color="auto" w:fill="CCECFF"/>
          </w:tcPr>
          <w:p>
            <w:pPr>
              <w:spacing w:after="0"/>
              <w:rPr>
                <w:sz w:val="14"/>
                <w:szCs w:val="14"/>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145,500</w:t>
            </w:r>
          </w:p>
        </w:tc>
        <w:tc>
          <w:tcPr>
            <w:tcW w:w="3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4,205</w:t>
            </w:r>
          </w:p>
        </w:tc>
        <w:tc>
          <w:tcPr>
            <w:tcW w:w="34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1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N/A</w:t>
            </w:r>
          </w:p>
        </w:tc>
        <w:tc>
          <w:tcPr>
            <w:tcW w:w="5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3"/>
          </w:tcPr>
          <w:p>
            <w:pPr>
              <w:spacing w:after="0"/>
              <w:rPr>
                <w:sz w:val="20"/>
                <w:szCs w:val="20"/>
                <w:color w:val="auto"/>
              </w:rPr>
            </w:pPr>
            <w:r>
              <w:rPr>
                <w:rFonts w:ascii="Arial" w:cs="Arial" w:eastAsia="Arial" w:hAnsi="Arial"/>
                <w:sz w:val="14"/>
                <w:szCs w:val="14"/>
                <w:color w:val="auto"/>
              </w:rPr>
              <w:t>Fiscal 2012</w:t>
            </w:r>
          </w:p>
        </w:tc>
        <w:tc>
          <w:tcPr>
            <w:tcW w:w="16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145,000</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5,615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N/A</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3"/>
            <w:shd w:val="clear" w:color="auto" w:fill="CCECFF"/>
          </w:tcPr>
          <w:p>
            <w:pPr>
              <w:spacing w:after="0"/>
              <w:rPr>
                <w:sz w:val="20"/>
                <w:szCs w:val="20"/>
                <w:color w:val="auto"/>
              </w:rPr>
            </w:pPr>
            <w:r>
              <w:rPr>
                <w:rFonts w:ascii="Arial" w:cs="Arial" w:eastAsia="Arial" w:hAnsi="Arial"/>
                <w:sz w:val="14"/>
                <w:szCs w:val="14"/>
                <w:b w:val="1"/>
                <w:bCs w:val="1"/>
                <w:color w:val="auto"/>
              </w:rPr>
              <w:t>BNP Credit Facility</w:t>
            </w:r>
          </w:p>
        </w:tc>
        <w:tc>
          <w:tcPr>
            <w:tcW w:w="1680" w:type="dxa"/>
            <w:vAlign w:val="bottom"/>
            <w:shd w:val="clear" w:color="auto" w:fill="CCECFF"/>
          </w:tcPr>
          <w:p>
            <w:pPr>
              <w:spacing w:after="0"/>
              <w:rPr>
                <w:sz w:val="14"/>
                <w:szCs w:val="14"/>
                <w:color w:val="auto"/>
              </w:rPr>
            </w:pPr>
          </w:p>
        </w:tc>
        <w:tc>
          <w:tcPr>
            <w:tcW w:w="5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74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1880" w:type="dxa"/>
            <w:vAlign w:val="bottom"/>
            <w:shd w:val="clear" w:color="auto" w:fill="CCECFF"/>
          </w:tcPr>
          <w:p>
            <w:pPr>
              <w:spacing w:after="0"/>
              <w:rPr>
                <w:sz w:val="14"/>
                <w:szCs w:val="14"/>
                <w:color w:val="auto"/>
              </w:rPr>
            </w:pPr>
          </w:p>
        </w:tc>
        <w:tc>
          <w:tcPr>
            <w:tcW w:w="5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3"/>
          </w:tcPr>
          <w:p>
            <w:pPr>
              <w:spacing w:after="0"/>
              <w:rPr>
                <w:sz w:val="20"/>
                <w:szCs w:val="20"/>
                <w:color w:val="auto"/>
              </w:rPr>
            </w:pPr>
            <w:r>
              <w:rPr>
                <w:rFonts w:ascii="Arial" w:cs="Arial" w:eastAsia="Arial" w:hAnsi="Arial"/>
                <w:sz w:val="14"/>
                <w:szCs w:val="14"/>
                <w:color w:val="auto"/>
              </w:rPr>
              <w:t>Fiscal 2019</w:t>
            </w:r>
          </w:p>
        </w:tc>
        <w:tc>
          <w:tcPr>
            <w:tcW w:w="16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171,000</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2,066</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N/A</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440" w:type="dxa"/>
            <w:vAlign w:val="bottom"/>
            <w:gridSpan w:val="3"/>
            <w:shd w:val="clear" w:color="auto" w:fill="CCECFF"/>
          </w:tcPr>
          <w:p>
            <w:pPr>
              <w:spacing w:after="0"/>
              <w:rPr>
                <w:sz w:val="20"/>
                <w:szCs w:val="20"/>
                <w:color w:val="auto"/>
              </w:rPr>
            </w:pPr>
            <w:r>
              <w:rPr>
                <w:rFonts w:ascii="Arial" w:cs="Arial" w:eastAsia="Arial" w:hAnsi="Arial"/>
                <w:sz w:val="14"/>
                <w:szCs w:val="14"/>
                <w:b w:val="1"/>
                <w:bCs w:val="1"/>
                <w:color w:val="auto"/>
              </w:rPr>
              <w:t>2019 Notes</w:t>
            </w:r>
          </w:p>
        </w:tc>
        <w:tc>
          <w:tcPr>
            <w:tcW w:w="1680" w:type="dxa"/>
            <w:vAlign w:val="bottom"/>
            <w:shd w:val="clear" w:color="auto" w:fill="CCECFF"/>
          </w:tcPr>
          <w:p>
            <w:pPr>
              <w:spacing w:after="0"/>
              <w:rPr>
                <w:sz w:val="21"/>
                <w:szCs w:val="21"/>
                <w:color w:val="auto"/>
              </w:rPr>
            </w:pPr>
          </w:p>
        </w:tc>
        <w:tc>
          <w:tcPr>
            <w:tcW w:w="56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74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1880" w:type="dxa"/>
            <w:vAlign w:val="bottom"/>
            <w:shd w:val="clear" w:color="auto" w:fill="CCECFF"/>
          </w:tcPr>
          <w:p>
            <w:pPr>
              <w:spacing w:after="0"/>
              <w:rPr>
                <w:sz w:val="21"/>
                <w:szCs w:val="21"/>
                <w:color w:val="auto"/>
              </w:rPr>
            </w:pPr>
          </w:p>
        </w:tc>
        <w:tc>
          <w:tcPr>
            <w:tcW w:w="56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3440" w:type="dxa"/>
            <w:vAlign w:val="bottom"/>
            <w:gridSpan w:val="3"/>
          </w:tcPr>
          <w:p>
            <w:pPr>
              <w:spacing w:after="0"/>
              <w:rPr>
                <w:sz w:val="20"/>
                <w:szCs w:val="20"/>
                <w:color w:val="auto"/>
              </w:rPr>
            </w:pPr>
            <w:r>
              <w:rPr>
                <w:rFonts w:ascii="Arial" w:cs="Arial" w:eastAsia="Arial" w:hAnsi="Arial"/>
                <w:sz w:val="14"/>
                <w:szCs w:val="14"/>
                <w:color w:val="auto"/>
              </w:rPr>
              <w:t>Fiscal 2018</w:t>
            </w:r>
          </w:p>
        </w:tc>
        <w:tc>
          <w:tcPr>
            <w:tcW w:w="16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250,000</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2,919</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N/A</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Fiscal 2017</w:t>
            </w:r>
          </w:p>
        </w:tc>
        <w:tc>
          <w:tcPr>
            <w:tcW w:w="1680" w:type="dxa"/>
            <w:vAlign w:val="bottom"/>
            <w:shd w:val="clear" w:color="auto" w:fill="CCECFF"/>
          </w:tcPr>
          <w:p>
            <w:pPr>
              <w:spacing w:after="0"/>
              <w:rPr>
                <w:sz w:val="14"/>
                <w:szCs w:val="14"/>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250,000</w:t>
            </w:r>
          </w:p>
        </w:tc>
        <w:tc>
          <w:tcPr>
            <w:tcW w:w="3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2,998</w:t>
            </w:r>
          </w:p>
        </w:tc>
        <w:tc>
          <w:tcPr>
            <w:tcW w:w="34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1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N/A</w:t>
            </w:r>
          </w:p>
        </w:tc>
        <w:tc>
          <w:tcPr>
            <w:tcW w:w="5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3"/>
          </w:tcPr>
          <w:p>
            <w:pPr>
              <w:spacing w:after="0"/>
              <w:rPr>
                <w:sz w:val="20"/>
                <w:szCs w:val="20"/>
                <w:color w:val="auto"/>
              </w:rPr>
            </w:pPr>
            <w:r>
              <w:rPr>
                <w:rFonts w:ascii="Arial" w:cs="Arial" w:eastAsia="Arial" w:hAnsi="Arial"/>
                <w:sz w:val="14"/>
                <w:szCs w:val="14"/>
                <w:color w:val="auto"/>
              </w:rPr>
              <w:t>Fiscal 2016</w:t>
            </w:r>
          </w:p>
        </w:tc>
        <w:tc>
          <w:tcPr>
            <w:tcW w:w="16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250,000</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2,794</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N/A</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Fiscal 2015</w:t>
            </w:r>
          </w:p>
        </w:tc>
        <w:tc>
          <w:tcPr>
            <w:tcW w:w="1680" w:type="dxa"/>
            <w:vAlign w:val="bottom"/>
            <w:shd w:val="clear" w:color="auto" w:fill="CCECFF"/>
          </w:tcPr>
          <w:p>
            <w:pPr>
              <w:spacing w:after="0"/>
              <w:rPr>
                <w:sz w:val="14"/>
                <w:szCs w:val="14"/>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250,000</w:t>
            </w:r>
          </w:p>
        </w:tc>
        <w:tc>
          <w:tcPr>
            <w:tcW w:w="3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2,586</w:t>
            </w:r>
          </w:p>
        </w:tc>
        <w:tc>
          <w:tcPr>
            <w:tcW w:w="34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1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N/A</w:t>
            </w:r>
          </w:p>
        </w:tc>
        <w:tc>
          <w:tcPr>
            <w:tcW w:w="5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3"/>
          </w:tcPr>
          <w:p>
            <w:pPr>
              <w:spacing w:after="0"/>
              <w:rPr>
                <w:sz w:val="20"/>
                <w:szCs w:val="20"/>
                <w:color w:val="auto"/>
              </w:rPr>
            </w:pPr>
            <w:r>
              <w:rPr>
                <w:rFonts w:ascii="Arial" w:cs="Arial" w:eastAsia="Arial" w:hAnsi="Arial"/>
                <w:sz w:val="14"/>
                <w:szCs w:val="14"/>
                <w:color w:val="auto"/>
              </w:rPr>
              <w:t>Fiscal 2014</w:t>
            </w:r>
          </w:p>
        </w:tc>
        <w:tc>
          <w:tcPr>
            <w:tcW w:w="16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250,000</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3,215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N/A</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3"/>
            <w:shd w:val="clear" w:color="auto" w:fill="CCECFF"/>
          </w:tcPr>
          <w:p>
            <w:pPr>
              <w:spacing w:after="0"/>
              <w:rPr>
                <w:sz w:val="20"/>
                <w:szCs w:val="20"/>
                <w:color w:val="auto"/>
              </w:rPr>
            </w:pPr>
            <w:r>
              <w:rPr>
                <w:rFonts w:ascii="Arial" w:cs="Arial" w:eastAsia="Arial" w:hAnsi="Arial"/>
                <w:sz w:val="14"/>
                <w:szCs w:val="14"/>
                <w:b w:val="1"/>
                <w:bCs w:val="1"/>
                <w:color w:val="auto"/>
              </w:rPr>
              <w:t>2024 Notes</w:t>
            </w:r>
          </w:p>
        </w:tc>
        <w:tc>
          <w:tcPr>
            <w:tcW w:w="1680" w:type="dxa"/>
            <w:vAlign w:val="bottom"/>
            <w:shd w:val="clear" w:color="auto" w:fill="CCECFF"/>
          </w:tcPr>
          <w:p>
            <w:pPr>
              <w:spacing w:after="0"/>
              <w:rPr>
                <w:sz w:val="14"/>
                <w:szCs w:val="14"/>
                <w:color w:val="auto"/>
              </w:rPr>
            </w:pPr>
          </w:p>
        </w:tc>
        <w:tc>
          <w:tcPr>
            <w:tcW w:w="5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74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1880" w:type="dxa"/>
            <w:vAlign w:val="bottom"/>
            <w:shd w:val="clear" w:color="auto" w:fill="CCECFF"/>
          </w:tcPr>
          <w:p>
            <w:pPr>
              <w:spacing w:after="0"/>
              <w:rPr>
                <w:sz w:val="14"/>
                <w:szCs w:val="14"/>
                <w:color w:val="auto"/>
              </w:rPr>
            </w:pPr>
          </w:p>
        </w:tc>
        <w:tc>
          <w:tcPr>
            <w:tcW w:w="5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3"/>
          </w:tcPr>
          <w:p>
            <w:pPr>
              <w:spacing w:after="0"/>
              <w:rPr>
                <w:sz w:val="20"/>
                <w:szCs w:val="20"/>
                <w:color w:val="auto"/>
              </w:rPr>
            </w:pPr>
            <w:r>
              <w:rPr>
                <w:rFonts w:ascii="Arial" w:cs="Arial" w:eastAsia="Arial" w:hAnsi="Arial"/>
                <w:sz w:val="14"/>
                <w:szCs w:val="14"/>
                <w:color w:val="auto"/>
              </w:rPr>
              <w:t>Fiscal 2021</w:t>
            </w:r>
          </w:p>
        </w:tc>
        <w:tc>
          <w:tcPr>
            <w:tcW w:w="16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86,250</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2,208</w:t>
            </w:r>
          </w:p>
        </w:tc>
        <w:tc>
          <w:tcPr>
            <w:tcW w:w="340" w:type="dxa"/>
            <w:vAlign w:val="bottom"/>
          </w:tcPr>
          <w:p>
            <w:pPr>
              <w:spacing w:after="0"/>
              <w:rPr>
                <w:sz w:val="14"/>
                <w:szCs w:val="14"/>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880" w:type="dxa"/>
            <w:vAlign w:val="bottom"/>
          </w:tcPr>
          <w:p>
            <w:pPr>
              <w:jc w:val="right"/>
              <w:spacing w:after="0"/>
              <w:rPr>
                <w:sz w:val="20"/>
                <w:szCs w:val="20"/>
                <w:color w:val="auto"/>
              </w:rPr>
            </w:pPr>
            <w:r>
              <w:rPr>
                <w:rFonts w:ascii="Arial" w:cs="Arial" w:eastAsia="Arial" w:hAnsi="Arial"/>
                <w:sz w:val="14"/>
                <w:szCs w:val="14"/>
                <w:color w:val="auto"/>
              </w:rPr>
              <w:t>25.14</w:t>
            </w:r>
          </w:p>
        </w:tc>
        <w:tc>
          <w:tcPr>
            <w:tcW w:w="560" w:type="dxa"/>
            <w:vAlign w:val="bottom"/>
          </w:tcPr>
          <w:p>
            <w:pPr>
              <w:jc w:val="right"/>
              <w:ind w:right="259"/>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62"/>
        </w:trPr>
        <w:tc>
          <w:tcPr>
            <w:tcW w:w="344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Fiscal 2020</w:t>
            </w:r>
          </w:p>
        </w:tc>
        <w:tc>
          <w:tcPr>
            <w:tcW w:w="1680" w:type="dxa"/>
            <w:vAlign w:val="bottom"/>
            <w:shd w:val="clear" w:color="auto" w:fill="CCECFF"/>
          </w:tcPr>
          <w:p>
            <w:pPr>
              <w:spacing w:after="0"/>
              <w:rPr>
                <w:sz w:val="14"/>
                <w:szCs w:val="14"/>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86,250</w:t>
            </w:r>
          </w:p>
        </w:tc>
        <w:tc>
          <w:tcPr>
            <w:tcW w:w="3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2,078</w:t>
            </w:r>
          </w:p>
        </w:tc>
        <w:tc>
          <w:tcPr>
            <w:tcW w:w="34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1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23.47</w:t>
            </w:r>
          </w:p>
        </w:tc>
        <w:tc>
          <w:tcPr>
            <w:tcW w:w="560" w:type="dxa"/>
            <w:vAlign w:val="bottom"/>
            <w:shd w:val="clear" w:color="auto" w:fill="CCECFF"/>
          </w:tcPr>
          <w:p>
            <w:pPr>
              <w:jc w:val="right"/>
              <w:ind w:right="259"/>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62"/>
        </w:trPr>
        <w:tc>
          <w:tcPr>
            <w:tcW w:w="3440" w:type="dxa"/>
            <w:vAlign w:val="bottom"/>
            <w:gridSpan w:val="3"/>
          </w:tcPr>
          <w:p>
            <w:pPr>
              <w:spacing w:after="0"/>
              <w:rPr>
                <w:sz w:val="20"/>
                <w:szCs w:val="20"/>
                <w:color w:val="auto"/>
              </w:rPr>
            </w:pPr>
            <w:r>
              <w:rPr>
                <w:rFonts w:ascii="Arial" w:cs="Arial" w:eastAsia="Arial" w:hAnsi="Arial"/>
                <w:sz w:val="14"/>
                <w:szCs w:val="14"/>
                <w:color w:val="auto"/>
              </w:rPr>
              <w:t>Fiscal 2019</w:t>
            </w:r>
          </w:p>
        </w:tc>
        <w:tc>
          <w:tcPr>
            <w:tcW w:w="16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75,000</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2,066</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24.87</w:t>
            </w:r>
          </w:p>
        </w:tc>
        <w:tc>
          <w:tcPr>
            <w:tcW w:w="560" w:type="dxa"/>
            <w:vAlign w:val="bottom"/>
          </w:tcPr>
          <w:p>
            <w:pPr>
              <w:jc w:val="right"/>
              <w:ind w:right="259"/>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62"/>
        </w:trPr>
        <w:tc>
          <w:tcPr>
            <w:tcW w:w="3440" w:type="dxa"/>
            <w:vAlign w:val="bottom"/>
            <w:gridSpan w:val="3"/>
            <w:shd w:val="clear" w:color="auto" w:fill="CCECFF"/>
          </w:tcPr>
          <w:p>
            <w:pPr>
              <w:spacing w:after="0"/>
              <w:rPr>
                <w:sz w:val="20"/>
                <w:szCs w:val="20"/>
                <w:color w:val="auto"/>
              </w:rPr>
            </w:pPr>
            <w:r>
              <w:rPr>
                <w:rFonts w:ascii="Arial" w:cs="Arial" w:eastAsia="Arial" w:hAnsi="Arial"/>
                <w:sz w:val="14"/>
                <w:szCs w:val="14"/>
                <w:b w:val="1"/>
                <w:bCs w:val="1"/>
                <w:color w:val="auto"/>
              </w:rPr>
              <w:t>2025 Notes</w:t>
            </w:r>
          </w:p>
        </w:tc>
        <w:tc>
          <w:tcPr>
            <w:tcW w:w="1680" w:type="dxa"/>
            <w:vAlign w:val="bottom"/>
            <w:shd w:val="clear" w:color="auto" w:fill="CCECFF"/>
          </w:tcPr>
          <w:p>
            <w:pPr>
              <w:spacing w:after="0"/>
              <w:rPr>
                <w:sz w:val="14"/>
                <w:szCs w:val="14"/>
                <w:color w:val="auto"/>
              </w:rPr>
            </w:pPr>
          </w:p>
        </w:tc>
        <w:tc>
          <w:tcPr>
            <w:tcW w:w="5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74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1880" w:type="dxa"/>
            <w:vAlign w:val="bottom"/>
            <w:shd w:val="clear" w:color="auto" w:fill="CCECFF"/>
          </w:tcPr>
          <w:p>
            <w:pPr>
              <w:spacing w:after="0"/>
              <w:rPr>
                <w:sz w:val="14"/>
                <w:szCs w:val="14"/>
                <w:color w:val="auto"/>
              </w:rPr>
            </w:pPr>
          </w:p>
        </w:tc>
        <w:tc>
          <w:tcPr>
            <w:tcW w:w="5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3"/>
          </w:tcPr>
          <w:p>
            <w:pPr>
              <w:spacing w:after="0"/>
              <w:rPr>
                <w:sz w:val="20"/>
                <w:szCs w:val="20"/>
                <w:color w:val="auto"/>
              </w:rPr>
            </w:pPr>
            <w:r>
              <w:rPr>
                <w:rFonts w:ascii="Arial" w:cs="Arial" w:eastAsia="Arial" w:hAnsi="Arial"/>
                <w:sz w:val="14"/>
                <w:szCs w:val="14"/>
                <w:color w:val="auto"/>
              </w:rPr>
              <w:t>Fiscal 2016</w:t>
            </w:r>
          </w:p>
        </w:tc>
        <w:tc>
          <w:tcPr>
            <w:tcW w:w="16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71,250</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2,794</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24.68</w:t>
            </w:r>
          </w:p>
        </w:tc>
        <w:tc>
          <w:tcPr>
            <w:tcW w:w="560" w:type="dxa"/>
            <w:vAlign w:val="bottom"/>
          </w:tcPr>
          <w:p>
            <w:pPr>
              <w:jc w:val="right"/>
              <w:ind w:right="259"/>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62"/>
        </w:trPr>
        <w:tc>
          <w:tcPr>
            <w:tcW w:w="344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Fiscal 2015</w:t>
            </w:r>
          </w:p>
        </w:tc>
        <w:tc>
          <w:tcPr>
            <w:tcW w:w="1680" w:type="dxa"/>
            <w:vAlign w:val="bottom"/>
            <w:shd w:val="clear" w:color="auto" w:fill="CCECFF"/>
          </w:tcPr>
          <w:p>
            <w:pPr>
              <w:spacing w:after="0"/>
              <w:rPr>
                <w:sz w:val="14"/>
                <w:szCs w:val="14"/>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71,250</w:t>
            </w:r>
          </w:p>
        </w:tc>
        <w:tc>
          <w:tcPr>
            <w:tcW w:w="3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2,586</w:t>
            </w:r>
          </w:p>
        </w:tc>
        <w:tc>
          <w:tcPr>
            <w:tcW w:w="34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1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25.13</w:t>
            </w:r>
          </w:p>
        </w:tc>
        <w:tc>
          <w:tcPr>
            <w:tcW w:w="560" w:type="dxa"/>
            <w:vAlign w:val="bottom"/>
            <w:shd w:val="clear" w:color="auto" w:fill="CCECFF"/>
          </w:tcPr>
          <w:p>
            <w:pPr>
              <w:jc w:val="right"/>
              <w:ind w:right="259"/>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62"/>
        </w:trPr>
        <w:tc>
          <w:tcPr>
            <w:tcW w:w="3440" w:type="dxa"/>
            <w:vAlign w:val="bottom"/>
            <w:gridSpan w:val="3"/>
          </w:tcPr>
          <w:p>
            <w:pPr>
              <w:spacing w:after="0"/>
              <w:rPr>
                <w:sz w:val="20"/>
                <w:szCs w:val="20"/>
                <w:color w:val="auto"/>
              </w:rPr>
            </w:pPr>
            <w:r>
              <w:rPr>
                <w:rFonts w:ascii="Arial" w:cs="Arial" w:eastAsia="Arial" w:hAnsi="Arial"/>
                <w:sz w:val="14"/>
                <w:szCs w:val="14"/>
                <w:color w:val="auto"/>
              </w:rPr>
              <w:t>Fiscal 2014</w:t>
            </w:r>
          </w:p>
        </w:tc>
        <w:tc>
          <w:tcPr>
            <w:tcW w:w="16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71,250</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3,215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24.51</w:t>
            </w:r>
          </w:p>
        </w:tc>
        <w:tc>
          <w:tcPr>
            <w:tcW w:w="560" w:type="dxa"/>
            <w:vAlign w:val="bottom"/>
          </w:tcPr>
          <w:p>
            <w:pPr>
              <w:jc w:val="right"/>
              <w:ind w:right="259"/>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62"/>
        </w:trPr>
        <w:tc>
          <w:tcPr>
            <w:tcW w:w="344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Fiscal 2013</w:t>
            </w:r>
          </w:p>
        </w:tc>
        <w:tc>
          <w:tcPr>
            <w:tcW w:w="1680" w:type="dxa"/>
            <w:vAlign w:val="bottom"/>
            <w:shd w:val="clear" w:color="auto" w:fill="CCECFF"/>
          </w:tcPr>
          <w:p>
            <w:pPr>
              <w:spacing w:after="0"/>
              <w:rPr>
                <w:sz w:val="14"/>
                <w:szCs w:val="14"/>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71,250</w:t>
            </w:r>
          </w:p>
        </w:tc>
        <w:tc>
          <w:tcPr>
            <w:tcW w:w="3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4,205</w:t>
            </w:r>
          </w:p>
        </w:tc>
        <w:tc>
          <w:tcPr>
            <w:tcW w:w="34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1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24.79</w:t>
            </w:r>
          </w:p>
        </w:tc>
        <w:tc>
          <w:tcPr>
            <w:tcW w:w="560" w:type="dxa"/>
            <w:vAlign w:val="bottom"/>
            <w:shd w:val="clear" w:color="auto" w:fill="CCECFF"/>
          </w:tcPr>
          <w:p>
            <w:pPr>
              <w:jc w:val="right"/>
              <w:ind w:right="259"/>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62"/>
        </w:trPr>
        <w:tc>
          <w:tcPr>
            <w:tcW w:w="3440" w:type="dxa"/>
            <w:vAlign w:val="bottom"/>
            <w:gridSpan w:val="3"/>
          </w:tcPr>
          <w:p>
            <w:pPr>
              <w:spacing w:after="0"/>
              <w:rPr>
                <w:sz w:val="20"/>
                <w:szCs w:val="20"/>
                <w:color w:val="auto"/>
              </w:rPr>
            </w:pPr>
            <w:r>
              <w:rPr>
                <w:rFonts w:ascii="Arial" w:cs="Arial" w:eastAsia="Arial" w:hAnsi="Arial"/>
                <w:sz w:val="14"/>
                <w:szCs w:val="14"/>
                <w:b w:val="1"/>
                <w:bCs w:val="1"/>
                <w:color w:val="auto"/>
              </w:rPr>
              <w:t>2026 Notes</w:t>
            </w:r>
          </w:p>
        </w:tc>
        <w:tc>
          <w:tcPr>
            <w:tcW w:w="1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Fiscal 2021</w:t>
            </w:r>
          </w:p>
        </w:tc>
        <w:tc>
          <w:tcPr>
            <w:tcW w:w="1680" w:type="dxa"/>
            <w:vAlign w:val="bottom"/>
            <w:shd w:val="clear" w:color="auto" w:fill="CCECFF"/>
          </w:tcPr>
          <w:p>
            <w:pPr>
              <w:spacing w:after="0"/>
              <w:rPr>
                <w:sz w:val="14"/>
                <w:szCs w:val="14"/>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150,000</w:t>
            </w:r>
          </w:p>
        </w:tc>
        <w:tc>
          <w:tcPr>
            <w:tcW w:w="3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2,208</w:t>
            </w:r>
          </w:p>
        </w:tc>
        <w:tc>
          <w:tcPr>
            <w:tcW w:w="34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1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N/A</w:t>
            </w:r>
          </w:p>
        </w:tc>
        <w:tc>
          <w:tcPr>
            <w:tcW w:w="560" w:type="dxa"/>
            <w:vAlign w:val="bottom"/>
            <w:shd w:val="clear" w:color="auto" w:fill="CCECFF"/>
          </w:tcPr>
          <w:p>
            <w:pPr>
              <w:jc w:val="right"/>
              <w:ind w:right="259"/>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54"/>
        </w:trPr>
        <w:tc>
          <w:tcPr>
            <w:tcW w:w="1760" w:type="dxa"/>
            <w:vAlign w:val="bottom"/>
            <w:tcBorders>
              <w:bottom w:val="single" w:sz="8" w:color="auto"/>
            </w:tcBorders>
          </w:tcPr>
          <w:p>
            <w:pPr>
              <w:spacing w:after="0"/>
              <w:rPr>
                <w:sz w:val="4"/>
                <w:szCs w:val="4"/>
                <w:color w:val="auto"/>
              </w:rPr>
            </w:pPr>
          </w:p>
        </w:tc>
        <w:tc>
          <w:tcPr>
            <w:tcW w:w="1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460" w:hanging="452"/>
        <w:spacing w:after="0" w:line="190" w:lineRule="auto"/>
        <w:tabs>
          <w:tab w:leader="none" w:pos="460" w:val="left"/>
        </w:tabs>
        <w:numPr>
          <w:ilvl w:val="0"/>
          <w:numId w:val="59"/>
        </w:numPr>
        <w:rPr>
          <w:rFonts w:ascii="Arial" w:cs="Arial" w:eastAsia="Arial" w:hAnsi="Arial"/>
          <w:sz w:val="20"/>
          <w:szCs w:val="20"/>
          <w:b w:val="1"/>
          <w:bCs w:val="1"/>
          <w:color w:val="auto"/>
          <w:vertAlign w:val="superscript"/>
        </w:rPr>
      </w:pPr>
      <w:r>
        <w:rPr>
          <w:rFonts w:ascii="Arial" w:cs="Arial" w:eastAsia="Arial" w:hAnsi="Arial"/>
          <w:sz w:val="12"/>
          <w:szCs w:val="12"/>
          <w:color w:val="auto"/>
        </w:rPr>
        <w:t>Total cost of each class of senior securities outstanding at the end of the period presented in thousands (000s).</w:t>
      </w:r>
    </w:p>
    <w:p>
      <w:pPr>
        <w:spacing w:after="0" w:line="37" w:lineRule="exact"/>
        <w:rPr>
          <w:rFonts w:ascii="Arial" w:cs="Arial" w:eastAsia="Arial" w:hAnsi="Arial"/>
          <w:sz w:val="20"/>
          <w:szCs w:val="20"/>
          <w:b w:val="1"/>
          <w:bCs w:val="1"/>
          <w:color w:val="auto"/>
          <w:vertAlign w:val="superscript"/>
        </w:rPr>
      </w:pPr>
    </w:p>
    <w:p>
      <w:pPr>
        <w:ind w:left="460" w:right="220" w:hanging="452"/>
        <w:spacing w:after="0" w:line="190" w:lineRule="auto"/>
        <w:tabs>
          <w:tab w:leader="none" w:pos="460" w:val="left"/>
        </w:tabs>
        <w:numPr>
          <w:ilvl w:val="0"/>
          <w:numId w:val="59"/>
        </w:numPr>
        <w:rPr>
          <w:rFonts w:ascii="Arial" w:cs="Arial" w:eastAsia="Arial" w:hAnsi="Arial"/>
          <w:sz w:val="19"/>
          <w:szCs w:val="19"/>
          <w:b w:val="1"/>
          <w:bCs w:val="1"/>
          <w:color w:val="auto"/>
          <w:vertAlign w:val="superscript"/>
        </w:rPr>
      </w:pPr>
      <w:r>
        <w:rPr>
          <w:rFonts w:ascii="Arial" w:cs="Arial" w:eastAsia="Arial" w:hAnsi="Arial"/>
          <w:sz w:val="11"/>
          <w:szCs w:val="11"/>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at par. This asset coverage ratio is multiplied by $1,000 to determine the Asset Coverage Per Unit.</w:t>
      </w:r>
    </w:p>
    <w:p>
      <w:pPr>
        <w:ind w:left="460" w:hanging="452"/>
        <w:spacing w:after="0" w:line="183" w:lineRule="auto"/>
        <w:tabs>
          <w:tab w:leader="none" w:pos="460" w:val="left"/>
        </w:tabs>
        <w:numPr>
          <w:ilvl w:val="0"/>
          <w:numId w:val="59"/>
        </w:numPr>
        <w:rPr>
          <w:rFonts w:ascii="Arial" w:cs="Arial" w:eastAsia="Arial" w:hAnsi="Arial"/>
          <w:sz w:val="20"/>
          <w:szCs w:val="20"/>
          <w:b w:val="1"/>
          <w:bCs w:val="1"/>
          <w:color w:val="auto"/>
          <w:vertAlign w:val="superscript"/>
        </w:rPr>
      </w:pPr>
      <w:r>
        <w:rPr>
          <w:rFonts w:ascii="Arial" w:cs="Arial" w:eastAsia="Arial" w:hAnsi="Arial"/>
          <w:sz w:val="12"/>
          <w:szCs w:val="12"/>
          <w:color w:val="auto"/>
        </w:rPr>
        <w:t>These amounts exclude SBA debentures from our total amount outstanding and asset coverage per unit computation pursuant to an exemptive relief letter provided by the SEC in June 2011.</w:t>
      </w:r>
    </w:p>
    <w:p>
      <w:pPr>
        <w:spacing w:after="0" w:line="37" w:lineRule="exact"/>
        <w:rPr>
          <w:rFonts w:ascii="Arial" w:cs="Arial" w:eastAsia="Arial" w:hAnsi="Arial"/>
          <w:sz w:val="20"/>
          <w:szCs w:val="20"/>
          <w:b w:val="1"/>
          <w:bCs w:val="1"/>
          <w:color w:val="auto"/>
          <w:vertAlign w:val="superscript"/>
        </w:rPr>
      </w:pPr>
    </w:p>
    <w:p>
      <w:pPr>
        <w:ind w:left="460" w:right="80" w:hanging="452"/>
        <w:spacing w:after="0" w:line="190" w:lineRule="auto"/>
        <w:tabs>
          <w:tab w:leader="none" w:pos="460" w:val="left"/>
        </w:tabs>
        <w:numPr>
          <w:ilvl w:val="0"/>
          <w:numId w:val="59"/>
        </w:numPr>
        <w:rPr>
          <w:rFonts w:ascii="Arial" w:cs="Arial" w:eastAsia="Arial" w:hAnsi="Arial"/>
          <w:sz w:val="19"/>
          <w:szCs w:val="19"/>
          <w:b w:val="1"/>
          <w:bCs w:val="1"/>
          <w:color w:val="auto"/>
          <w:vertAlign w:val="superscript"/>
        </w:rPr>
      </w:pPr>
      <w:r>
        <w:rPr>
          <w:rFonts w:ascii="Arial" w:cs="Arial" w:eastAsia="Arial" w:hAnsi="Arial"/>
          <w:sz w:val="11"/>
          <w:szCs w:val="11"/>
          <w:color w:val="auto"/>
        </w:rPr>
        <w:t>The average market value per unit is derived based on the daily closing price of the 2024 Notes trading on The Nasdaq Global Select Market under the symbol “PNNTG.” The 2024 Notes were issued in increments of $25 per unit and commenced trading on September 30, 2019.</w:t>
      </w:r>
    </w:p>
    <w:p>
      <w:pPr>
        <w:spacing w:after="0" w:line="27" w:lineRule="exact"/>
        <w:rPr>
          <w:rFonts w:ascii="Arial" w:cs="Arial" w:eastAsia="Arial" w:hAnsi="Arial"/>
          <w:sz w:val="19"/>
          <w:szCs w:val="19"/>
          <w:b w:val="1"/>
          <w:bCs w:val="1"/>
          <w:color w:val="auto"/>
          <w:vertAlign w:val="superscript"/>
        </w:rPr>
      </w:pPr>
    </w:p>
    <w:p>
      <w:pPr>
        <w:ind w:left="460" w:right="260" w:hanging="452"/>
        <w:spacing w:after="0" w:line="184" w:lineRule="auto"/>
        <w:tabs>
          <w:tab w:leader="none" w:pos="460" w:val="left"/>
        </w:tabs>
        <w:numPr>
          <w:ilvl w:val="0"/>
          <w:numId w:val="59"/>
        </w:numPr>
        <w:rPr>
          <w:rFonts w:ascii="Arial" w:cs="Arial" w:eastAsia="Arial" w:hAnsi="Arial"/>
          <w:sz w:val="20"/>
          <w:szCs w:val="20"/>
          <w:b w:val="1"/>
          <w:bCs w:val="1"/>
          <w:color w:val="auto"/>
          <w:vertAlign w:val="superscript"/>
        </w:rPr>
      </w:pPr>
      <w:r>
        <w:rPr>
          <w:rFonts w:ascii="Arial" w:cs="Arial" w:eastAsia="Arial" w:hAnsi="Arial"/>
          <w:sz w:val="12"/>
          <w:szCs w:val="12"/>
          <w:color w:val="auto"/>
        </w:rPr>
        <w:t>The average market value per unit is derived based on the monthly average closing price of the 2025 Notes, which were traded on the New York Stock Exchange, or NYSE, under the symbol “PNTA” since issuance. The 2025 Notes were issued in increments of $25 per unit. On June 29, 2017, the 2025 Notes were redeemed in full.</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Loan Fund, LLC</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In July 2020, we and Pantheon formed PSLF, an unconsolidated joint venture. PSLF invests primarily in middle-market and other corporate debt securities consistent with our strategy.</w:t>
      </w:r>
    </w:p>
    <w:p>
      <w:pPr>
        <w:spacing w:after="0" w:line="33" w:lineRule="exact"/>
        <w:rPr>
          <w:sz w:val="20"/>
          <w:szCs w:val="20"/>
          <w:color w:val="auto"/>
        </w:rPr>
      </w:pPr>
    </w:p>
    <w:p>
      <w:pPr>
        <w:ind w:right="80"/>
        <w:spacing w:after="0" w:line="252" w:lineRule="auto"/>
        <w:rPr>
          <w:sz w:val="20"/>
          <w:szCs w:val="20"/>
          <w:color w:val="auto"/>
        </w:rPr>
      </w:pPr>
      <w:r>
        <w:rPr>
          <w:rFonts w:ascii="Arial" w:cs="Arial" w:eastAsia="Arial" w:hAnsi="Arial"/>
          <w:sz w:val="13"/>
          <w:szCs w:val="13"/>
          <w:color w:val="auto"/>
        </w:rPr>
        <w:t>PSLF was formed as a Delaware limited liability company. As of September 30, 2021 and 2020 PSLF had total assets of $417.4 million and $361.8 million, respectively. PSLF’s portfolio consisted of debt investments in 47 and 37 portfolio companies as of September 30, 2021 and 2020, respectively. As of September 30, 2021, at fair value, the largest investment in a single portfolio company in PSLF was $16.8 million and the five largest investments totaled $74.4 million. As of September 30, 2020, at fair value, the largest investment in a single portfolio company in PSLF was $18.4 million and the five largest investments totaled $77.9 million. PSLF invests in portfolio companies in the same industries in which we may directly invest.</w:t>
      </w:r>
    </w:p>
    <w:p>
      <w:pPr>
        <w:spacing w:after="0" w:line="67"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We provide capital to PSLF in the form of subordinated notes and equity interests. As of September 30, 2021 and 2020 we and Pantheon owned 60.5% and 39.5%, and 72.0% and 28.0%, respectively, of each of the outstanding subordinated notes and equity interests of PSLF. As of September 30, 2021 and 2020 , our investment in PSLF consisted of subordinated notes of $64.2 million and equity interests of $41.2 million and $63.0 million and equity interests of $36.3 million, respectively.</w:t>
      </w:r>
    </w:p>
    <w:p>
      <w:pPr>
        <w:spacing w:after="0" w:line="75"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We and Pantheon each appointed two members to PSLF’s four-person Member Designees’ Committee (the “Member Designees’ Committee”). All material decisions with respect to PSLF, including those involving its investment portfolio, require unanimous approval of a quorum of the Member Designees’ Committee. Quorum is defined as (i) the presence of two members of the Member Designees’ Committee; provided that at least one individual is present that was elected, designated or appointed by each of us and Pantheon; (ii) the presence of three members of Member Designees’ Committee, provided that the individual that was elected, designated or appointed us or Pantheon, as the case may be, with only one individual present shall be entitled to cast two votes on each matter; and (iii) the presence of four members of the Member Designees’ Committee shall constitute a quorum, provided that two individuals are present that were elected, designated or appointed by each of us and Pantheon.</w:t>
      </w:r>
    </w:p>
    <w:p>
      <w:pPr>
        <w:spacing w:after="0" w:line="118"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Additionally, PSLF, through its wholly-owned subsidiary, or PSLF Subsidiary, has entered into a $275.0 million (increased from $250.0 million on November 6, 2020) senior secured revolving credit facility which bears interest at LIBOR (or an alternative risk-free interest rate index) plus 260 basis points, or the PSLF Credit Facility, with BNP Paribas, subject to leverage and borrowing base restrictions.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0" w:name="page51"/>
    <w:bookmarkEnd w:id="50"/>
    <w:p>
      <w:pPr>
        <w:ind w:left="440"/>
        <w:spacing w:after="0"/>
        <w:rPr>
          <w:sz w:val="20"/>
          <w:szCs w:val="20"/>
          <w:color w:val="auto"/>
        </w:rPr>
      </w:pPr>
      <w:r>
        <w:rPr>
          <w:rFonts w:ascii="Arial" w:cs="Arial" w:eastAsia="Arial" w:hAnsi="Arial"/>
          <w:sz w:val="14"/>
          <w:szCs w:val="14"/>
          <w:color w:val="auto"/>
        </w:rPr>
        <w:t>Below is a summary of PSLF’s portfolio at fair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7"/>
              </w:rPr>
              <w:t>September 30, 2021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September 30, 2020</w:t>
            </w:r>
          </w:p>
        </w:tc>
      </w:tr>
      <w:tr>
        <w:trPr>
          <w:trHeight w:val="155"/>
        </w:trPr>
        <w:tc>
          <w:tcPr>
            <w:tcW w:w="50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212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405,232,480</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353,366,358</w:t>
            </w:r>
          </w:p>
        </w:tc>
        <w:tc>
          <w:tcPr>
            <w:tcW w:w="140" w:type="dxa"/>
            <w:vAlign w:val="bottom"/>
            <w:tcBorders>
              <w:top w:val="single" w:sz="8" w:color="CCECFF"/>
            </w:tcBorders>
            <w:shd w:val="clear" w:color="auto" w:fill="CCECFF"/>
          </w:tcPr>
          <w:p>
            <w:pPr>
              <w:spacing w:after="0"/>
              <w:rPr>
                <w:sz w:val="13"/>
                <w:szCs w:val="13"/>
                <w:color w:val="auto"/>
              </w:rPr>
            </w:pPr>
          </w:p>
        </w:tc>
      </w:tr>
      <w:tr>
        <w:trPr>
          <w:trHeight w:val="162"/>
        </w:trPr>
        <w:tc>
          <w:tcPr>
            <w:tcW w:w="5060" w:type="dxa"/>
            <w:vAlign w:val="bottom"/>
          </w:tcPr>
          <w:p>
            <w:pPr>
              <w:spacing w:after="0"/>
              <w:rPr>
                <w:sz w:val="20"/>
                <w:szCs w:val="20"/>
                <w:color w:val="auto"/>
              </w:rPr>
            </w:pPr>
            <w:r>
              <w:rPr>
                <w:rFonts w:ascii="Arial" w:cs="Arial" w:eastAsia="Arial" w:hAnsi="Arial"/>
                <w:sz w:val="14"/>
                <w:szCs w:val="14"/>
                <w:color w:val="auto"/>
              </w:rPr>
              <w:t>Weighted average yield on debt investments</w:t>
            </w: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7.3%</w:t>
            </w:r>
          </w:p>
        </w:tc>
      </w:tr>
      <w:tr>
        <w:trPr>
          <w:trHeight w:val="162"/>
        </w:trPr>
        <w:tc>
          <w:tcPr>
            <w:tcW w:w="5060" w:type="dxa"/>
            <w:vAlign w:val="bottom"/>
            <w:shd w:val="clear" w:color="auto" w:fill="CCECFF"/>
          </w:tcPr>
          <w:p>
            <w:pPr>
              <w:spacing w:after="0"/>
              <w:rPr>
                <w:sz w:val="20"/>
                <w:szCs w:val="20"/>
                <w:color w:val="auto"/>
              </w:rPr>
            </w:pPr>
            <w:r>
              <w:rPr>
                <w:rFonts w:ascii="Arial" w:cs="Arial" w:eastAsia="Arial" w:hAnsi="Arial"/>
                <w:sz w:val="14"/>
                <w:szCs w:val="14"/>
                <w:color w:val="auto"/>
              </w:rPr>
              <w:t>Number of portfolio companies in PSLF</w:t>
            </w:r>
          </w:p>
        </w:tc>
        <w:tc>
          <w:tcPr>
            <w:tcW w:w="2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47</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w:t>
            </w:r>
          </w:p>
        </w:tc>
        <w:tc>
          <w:tcPr>
            <w:tcW w:w="140" w:type="dxa"/>
            <w:vAlign w:val="bottom"/>
            <w:shd w:val="clear" w:color="auto" w:fill="CCECFF"/>
          </w:tcPr>
          <w:p>
            <w:pPr>
              <w:spacing w:after="0"/>
              <w:rPr>
                <w:sz w:val="14"/>
                <w:szCs w:val="14"/>
                <w:color w:val="auto"/>
              </w:rPr>
            </w:pPr>
          </w:p>
        </w:tc>
      </w:tr>
      <w:tr>
        <w:trPr>
          <w:trHeight w:val="162"/>
        </w:trPr>
        <w:tc>
          <w:tcPr>
            <w:tcW w:w="5060" w:type="dxa"/>
            <w:vAlign w:val="bottom"/>
          </w:tcPr>
          <w:p>
            <w:pPr>
              <w:spacing w:after="0"/>
              <w:rPr>
                <w:sz w:val="20"/>
                <w:szCs w:val="20"/>
                <w:color w:val="auto"/>
              </w:rPr>
            </w:pPr>
            <w:r>
              <w:rPr>
                <w:rFonts w:ascii="Arial" w:cs="Arial" w:eastAsia="Arial" w:hAnsi="Arial"/>
                <w:sz w:val="14"/>
                <w:szCs w:val="14"/>
                <w:color w:val="auto"/>
              </w:rPr>
              <w:t>Largest portfolio company investment</w:t>
            </w:r>
          </w:p>
        </w:tc>
        <w:tc>
          <w:tcPr>
            <w:tcW w:w="230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16,816,670</w:t>
            </w:r>
          </w:p>
        </w:tc>
        <w:tc>
          <w:tcPr>
            <w:tcW w:w="220" w:type="dxa"/>
            <w:vAlign w:val="bottom"/>
          </w:tcPr>
          <w:p>
            <w:pPr>
              <w:spacing w:after="0"/>
              <w:rPr>
                <w:sz w:val="14"/>
                <w:szCs w:val="14"/>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18,411,916</w:t>
            </w:r>
          </w:p>
        </w:tc>
        <w:tc>
          <w:tcPr>
            <w:tcW w:w="140" w:type="dxa"/>
            <w:vAlign w:val="bottom"/>
          </w:tcPr>
          <w:p>
            <w:pPr>
              <w:spacing w:after="0"/>
              <w:rPr>
                <w:sz w:val="14"/>
                <w:szCs w:val="14"/>
                <w:color w:val="auto"/>
              </w:rPr>
            </w:pPr>
          </w:p>
        </w:tc>
      </w:tr>
      <w:tr>
        <w:trPr>
          <w:trHeight w:val="162"/>
        </w:trPr>
        <w:tc>
          <w:tcPr>
            <w:tcW w:w="5060" w:type="dxa"/>
            <w:vAlign w:val="bottom"/>
            <w:shd w:val="clear" w:color="auto" w:fill="CCECFF"/>
          </w:tcPr>
          <w:p>
            <w:pPr>
              <w:spacing w:after="0"/>
              <w:rPr>
                <w:sz w:val="20"/>
                <w:szCs w:val="20"/>
                <w:color w:val="auto"/>
              </w:rPr>
            </w:pPr>
            <w:r>
              <w:rPr>
                <w:rFonts w:ascii="Arial" w:cs="Arial" w:eastAsia="Arial" w:hAnsi="Arial"/>
                <w:sz w:val="14"/>
                <w:szCs w:val="14"/>
                <w:color w:val="auto"/>
              </w:rPr>
              <w:t>Total of five largest portfolio company investments</w:t>
            </w:r>
          </w:p>
        </w:tc>
        <w:tc>
          <w:tcPr>
            <w:tcW w:w="2300" w:type="dxa"/>
            <w:vAlign w:val="bottom"/>
            <w:gridSpan w:val="2"/>
            <w:shd w:val="clear" w:color="auto" w:fill="CCECFF"/>
          </w:tcPr>
          <w:p>
            <w:pPr>
              <w:jc w:val="right"/>
              <w:ind w:right="69"/>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74,444,646</w:t>
            </w:r>
          </w:p>
        </w:tc>
        <w:tc>
          <w:tcPr>
            <w:tcW w:w="22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77,896,431</w:t>
            </w:r>
          </w:p>
        </w:tc>
        <w:tc>
          <w:tcPr>
            <w:tcW w:w="140" w:type="dxa"/>
            <w:vAlign w:val="bottom"/>
            <w:shd w:val="clear" w:color="auto" w:fill="CCECFF"/>
          </w:tcPr>
          <w:p>
            <w:pPr>
              <w:spacing w:after="0"/>
              <w:rPr>
                <w:sz w:val="14"/>
                <w:szCs w:val="14"/>
                <w:color w:val="auto"/>
              </w:rPr>
            </w:pP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listing of PSLF’s individual investments as of September 30, 2021: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0"/>
              </w:rPr>
              <w:t>Current</w:t>
            </w:r>
          </w:p>
        </w:tc>
        <w:tc>
          <w:tcPr>
            <w:tcW w:w="7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b w:val="1"/>
                <w:bCs w:val="1"/>
                <w:color w:val="auto"/>
              </w:rPr>
              <w:t>Issuer Name</w:t>
            </w: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Maturity</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Industry</w:t>
            </w:r>
          </w:p>
        </w:tc>
        <w:tc>
          <w:tcPr>
            <w:tcW w:w="8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6"/>
              </w:rPr>
              <w:t>Coupon</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206"/>
              <w:spacing w:after="0"/>
              <w:rPr>
                <w:sz w:val="20"/>
                <w:szCs w:val="20"/>
                <w:color w:val="auto"/>
              </w:rPr>
            </w:pPr>
            <w:r>
              <w:rPr>
                <w:rFonts w:ascii="Arial" w:cs="Arial" w:eastAsia="Arial" w:hAnsi="Arial"/>
                <w:sz w:val="11"/>
                <w:szCs w:val="11"/>
                <w:b w:val="1"/>
                <w:bCs w:val="1"/>
                <w:color w:val="auto"/>
              </w:rPr>
              <w:t>Par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8"/>
              </w:rPr>
              <w:t xml:space="preserve">Fair Value </w:t>
            </w:r>
            <w:r>
              <w:rPr>
                <w:rFonts w:ascii="Arial" w:cs="Arial" w:eastAsia="Arial" w:hAnsi="Arial"/>
                <w:sz w:val="9"/>
                <w:szCs w:val="9"/>
                <w:b w:val="1"/>
                <w:bCs w:val="1"/>
                <w:color w:val="auto"/>
                <w:w w:val="98"/>
              </w:rPr>
              <w:t>(2)</w:t>
            </w:r>
          </w:p>
        </w:tc>
        <w:tc>
          <w:tcPr>
            <w:tcW w:w="0" w:type="dxa"/>
            <w:vAlign w:val="bottom"/>
          </w:tcPr>
          <w:p>
            <w:pPr>
              <w:spacing w:after="0"/>
              <w:rPr>
                <w:sz w:val="1"/>
                <w:szCs w:val="1"/>
                <w:color w:val="auto"/>
              </w:rPr>
            </w:pPr>
          </w:p>
        </w:tc>
      </w:tr>
      <w:tr>
        <w:trPr>
          <w:trHeight w:val="128"/>
        </w:trPr>
        <w:tc>
          <w:tcPr>
            <w:tcW w:w="306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rPr>
              <w:t>First Lien Secured Debt - 570.7%</w:t>
            </w:r>
          </w:p>
        </w:tc>
        <w:tc>
          <w:tcPr>
            <w:tcW w:w="120" w:type="dxa"/>
            <w:vAlign w:val="bottom"/>
            <w:tcBorders>
              <w:top w:val="single" w:sz="8" w:color="CCECFF"/>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262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80" w:type="dxa"/>
            <w:vAlign w:val="bottom"/>
            <w:tcBorders>
              <w:top w:val="single" w:sz="8" w:color="CCECFF"/>
            </w:tcBorders>
            <w:shd w:val="clear" w:color="auto" w:fill="CCECFF"/>
          </w:tcPr>
          <w:p>
            <w:pPr>
              <w:spacing w:after="0"/>
              <w:rPr>
                <w:sz w:val="11"/>
                <w:szCs w:val="11"/>
                <w:color w:val="auto"/>
              </w:rPr>
            </w:pPr>
          </w:p>
        </w:tc>
        <w:tc>
          <w:tcPr>
            <w:tcW w:w="7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Ad.net Acquisition,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05/06/26</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Media</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7.00%</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3"/>
              </w:rPr>
              <w:t>3M L + 600</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4,987,500</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4,919,652</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4,912,688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Altamira Technologies,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07/24/25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8.00%</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3M L+700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921,231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911,674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863,654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American Insulated Glass,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12/21/23</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4"/>
              </w:rPr>
              <w:t>Building Materials</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6.50%</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3M L+550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14,625,244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14,480,504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14,478,992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Any Hour Services</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07/21/27</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Personal, Food and Miscellaneous Services</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6.75%</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1M L+525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6,500,000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6,378,125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6,370,000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Apex Service Partners,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07/31/25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Personal, Food and Miscellaneous Services</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6.25%</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1M L+550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6,569,222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6,517,624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6,503,530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Apex Service Partners, LLC Term Loan B</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07/31/25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Personal, Food and Miscellaneous Services</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6.55%</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ind w:left="38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3,346,690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3,313,038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3,313,223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Applied Technical Services,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12/29/26</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Environmental Services</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6.75%</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3M L+575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7,443,750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7,335,875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7,294,875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Bottom Line Systems,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02/13/23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6.25%</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1M L+550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13,729,432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13,673,678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13,729,432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Crash Champions,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08/05/25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Auto Sector</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6.00%</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1M L+525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5,985,000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5,873,298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5,865,300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DRS Holdings III,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11/03/25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7.25%</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1M L+625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13,428,053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13,335,008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13,334,057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ECL Entertainment,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03/31/28</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Hotels, Motels, Inns and Gaming</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8.25%</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3M L+750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4,603,846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4,559,898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4,707,433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ECM Industries,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12/23/25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2"/>
              </w:rPr>
              <w:t>Electronics</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5.50%</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3M L+450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2,826,993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2,804,979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2,770,453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Global Holdings InterCo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03/16/26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Banking, Finance, Insurance &amp; Real Estate</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7.00%</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3M L+600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7,462,500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7,360,276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7,425,188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Hancock Roofing and Construction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12/31/26</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Insurance</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6.00%</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3M L+500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5,955,000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5,819,284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5,895,450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Holdco Sands Intermediate,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12/19/25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7.50%</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3M L+600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12,070,714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11,934,092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12,010,361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HW Holdco,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12/10/24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5.50%</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3M L+450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14,587,500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14,499,086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14,441,625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IMIA Holdings, Inc.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04/09/27</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6.75%</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3M L+600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9,059,429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8,889,612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8,878,241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Integrity Marketing Acquisition,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08/27/25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Insurance</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6.50%</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3M L+550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7,868,080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7,803,025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7,828,740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Juniper Landscaping of Florida,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12/22/21</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Personal, Food and Miscellaneous Services</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6.50%</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3M L+550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9,420,290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9,420,290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9,420,290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K2 Pure Solutions NoCal, L.P.</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12/20/23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8.00%</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1M L+700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14,587,500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14,478,841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14,199,473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LAV Gear Holdings, Inc.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10/31/24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Leisure, Amusement, Motion Pictures, Entertainment</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8.50%</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3M L+750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2,119,558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2,106,623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1,986,661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Lightspeed Buyer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02/03/26</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6.75%</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1M L+550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12,471,593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12,273,343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12,471,593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Lombart Brothers, Inc.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04/13/23</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7.25%</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1M L+825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16,816,670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16,728,518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16,816,670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MAG DS Corp.</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04/01/27</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6.50%</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1M L+550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5,836,801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5,581,189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5,253,121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Mars Acquisition Holdings Corp.</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05/14/26</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Media</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6.50%</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1M L+575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8,000,000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7,851,584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7,920,000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MBS Holdings,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04/16/27</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6.75%</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3M L+550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7,481,250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7,337,946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7,331,625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MeritDirect,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05/23/24</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Media</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6.50%</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3M L+550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13,386,132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13,271,890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13,252,270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PlayPower,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05/08/26</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5.65%</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3M L+575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3,805,440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3,777,669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3,735,687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Radius Aerospace, Inc.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03/31/25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6.75%</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3M L+600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13,334,912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13,201,809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13,068,214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Rancho Health MSO,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12/18/25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6.75%</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3M L+550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5,231,625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5,140,072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5,231,625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Recteq,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01/29/26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7.00%</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3M L+450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9,950,000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9,774,928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9,850,500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Research Now Group, LLC and Dynata,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12/20/24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6.50%</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3M L+600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14,694,656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14,601,817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14,507,887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Riverpoint Medical,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06/20/25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5.50%</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1M L+550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3,245,909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3,216,526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3,205,984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Sales Benchmark Index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01/03/25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7.75%</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3M L+750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7,632,493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7,526,205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7,441,681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Sargent &amp; Greenleaf Inc.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12/20/24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Electronics</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7.00%</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3M L+575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5,232,159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5,180,794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5,232,159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Signature Systems Holding Company</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05/03/24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8.50%</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1M L+525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13,500,000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13,396,987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13,365,000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Solutionreach, Inc.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01/17/24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Communications</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6.75%</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1M L+600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11,881,773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11,758,141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11,881,773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STV Group Incorporated</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12/11/26</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Transportation</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5.33%</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1M L+450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12,098,653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12,002,839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12,038,160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TAC LifePort Purchaser,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03/01/26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7.00%</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1M L+525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4,967,133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4,891,093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4,965,530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TeleGuam Holdings,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11/20/25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5.50%</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3M L+525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4,593,270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4,557,883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4,547,337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Teneo Holdings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07/18/25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Financial Services</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6.25%</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1M L+575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2,996,753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2,883,779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2,980,511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TPC Canada Parent, Inc. and TPC US Parent,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11/24/25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Food</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6.25%</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1M L+625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5,593,148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5,537,216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5,425,353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TVC Enterprises,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03/26/26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Transportation</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6.75%</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3M L+550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12,773,152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12,642,764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12,773,152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TWS Acquisition Corporation</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06/16/25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Education</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7.25%</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3M L+450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9,647,753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9,514,502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9,647,753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Tyto Athene,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04/03/28</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6.25%</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1M L+675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9,950,000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9,853,217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9,950,000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UBEO,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04/03/24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Printing and Publishing</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5.50%</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1M L+500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4,710,212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4,676,033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4,686,661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Vision Purchaser Corporation</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06/10/25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Media</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7.75%</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14,248,804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14,055,791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14,035,072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Wildcat Buyerco,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02/27/26</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2"/>
              </w:rPr>
              <w:t>Electronics</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6.00%</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7,424,623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7,360,375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7,387,500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Borders>
              <w:bottom w:val="single" w:sz="8" w:color="CCECFF"/>
            </w:tcBorders>
          </w:tcPr>
          <w:p>
            <w:pPr>
              <w:spacing w:after="0"/>
              <w:rPr>
                <w:sz w:val="11"/>
                <w:szCs w:val="11"/>
                <w:color w:val="auto"/>
              </w:rPr>
            </w:pPr>
          </w:p>
        </w:tc>
        <w:tc>
          <w:tcPr>
            <w:tcW w:w="130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7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1"/>
              </w:rPr>
              <w:t>409,602,447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1"/>
              </w:rPr>
              <w:t>405,009,393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405,232,480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b w:val="1"/>
                <w:bCs w:val="1"/>
                <w:color w:val="auto"/>
              </w:rPr>
              <w:t>Cash and Cash Equivalents—18.9%</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11,013,454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11,013,454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color w:val="auto"/>
              </w:rPr>
              <w:t>US Bank Cash</w:t>
            </w:r>
          </w:p>
        </w:tc>
        <w:tc>
          <w:tcPr>
            <w:tcW w:w="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7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CCECFF"/>
            </w:tcBorders>
          </w:tcPr>
          <w:p>
            <w:pPr>
              <w:spacing w:after="0"/>
              <w:rPr>
                <w:sz w:val="11"/>
                <w:szCs w:val="11"/>
                <w:color w:val="auto"/>
              </w:rPr>
            </w:pPr>
          </w:p>
        </w:tc>
        <w:tc>
          <w:tcPr>
            <w:tcW w:w="6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11,013,454</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11,013,454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80" w:type="dxa"/>
            <w:vAlign w:val="bottom"/>
            <w:gridSpan w:val="3"/>
          </w:tcPr>
          <w:p>
            <w:pPr>
              <w:spacing w:after="0"/>
              <w:rPr>
                <w:sz w:val="20"/>
                <w:szCs w:val="20"/>
                <w:color w:val="auto"/>
              </w:rPr>
            </w:pPr>
            <w:r>
              <w:rPr>
                <w:rFonts w:ascii="Arial" w:cs="Arial" w:eastAsia="Arial" w:hAnsi="Arial"/>
                <w:sz w:val="11"/>
                <w:szCs w:val="11"/>
                <w:b w:val="1"/>
                <w:bCs w:val="1"/>
                <w:color w:val="auto"/>
              </w:rPr>
              <w:t>Total Investments and Cash Equivalents—592.7%</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w w:val="91"/>
              </w:rPr>
              <w:t>416,022,848</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w w:val="98"/>
              </w:rPr>
              <w:t>416,245,935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CFF"/>
            </w:tcBorders>
            <w:gridSpan w:val="3"/>
            <w:vMerge w:val="restart"/>
            <w:shd w:val="clear" w:color="auto" w:fill="CCECFF"/>
          </w:tcPr>
          <w:p>
            <w:pPr>
              <w:spacing w:after="0"/>
              <w:rPr>
                <w:sz w:val="20"/>
                <w:szCs w:val="20"/>
                <w:color w:val="auto"/>
              </w:rPr>
            </w:pPr>
            <w:r>
              <w:rPr>
                <w:rFonts w:ascii="Arial" w:cs="Arial" w:eastAsia="Arial" w:hAnsi="Arial"/>
                <w:sz w:val="11"/>
                <w:szCs w:val="11"/>
                <w:b w:val="1"/>
                <w:bCs w:val="1"/>
                <w:color w:val="auto"/>
              </w:rPr>
              <w:t>Liabilities in Excess of Other Assets—(492.7)%</w:t>
            </w:r>
          </w:p>
        </w:tc>
        <w:tc>
          <w:tcPr>
            <w:tcW w:w="64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262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58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76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60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180" w:type="dxa"/>
            <w:vAlign w:val="bottom"/>
            <w:gridSpan w:val="3"/>
            <w:vMerge w:val="continue"/>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26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w w:val="96"/>
              </w:rPr>
              <w:t>(348,213,498)</w:t>
            </w:r>
          </w:p>
        </w:tc>
        <w:tc>
          <w:tcPr>
            <w:tcW w:w="0" w:type="dxa"/>
            <w:vAlign w:val="bottom"/>
          </w:tcPr>
          <w:p>
            <w:pPr>
              <w:spacing w:after="0"/>
              <w:rPr>
                <w:sz w:val="1"/>
                <w:szCs w:val="1"/>
                <w:color w:val="auto"/>
              </w:rPr>
            </w:pPr>
          </w:p>
        </w:tc>
      </w:tr>
      <w:tr>
        <w:trPr>
          <w:trHeight w:val="128"/>
        </w:trPr>
        <w:tc>
          <w:tcPr>
            <w:tcW w:w="3180" w:type="dxa"/>
            <w:vAlign w:val="bottom"/>
            <w:gridSpan w:val="3"/>
          </w:tcPr>
          <w:p>
            <w:pPr>
              <w:spacing w:after="0"/>
              <w:rPr>
                <w:sz w:val="20"/>
                <w:szCs w:val="20"/>
                <w:color w:val="auto"/>
              </w:rPr>
            </w:pPr>
            <w:r>
              <w:rPr>
                <w:rFonts w:ascii="Arial" w:cs="Arial" w:eastAsia="Arial" w:hAnsi="Arial"/>
                <w:sz w:val="11"/>
                <w:szCs w:val="11"/>
                <w:b w:val="1"/>
                <w:bCs w:val="1"/>
                <w:color w:val="auto"/>
              </w:rPr>
              <w:t>Members' Equity—100.0%</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68,032,437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380" w:right="60" w:hanging="372"/>
        <w:spacing w:after="0" w:line="212" w:lineRule="auto"/>
        <w:tabs>
          <w:tab w:leader="none" w:pos="380" w:val="left"/>
        </w:tabs>
        <w:numPr>
          <w:ilvl w:val="0"/>
          <w:numId w:val="60"/>
        </w:numPr>
        <w:rPr>
          <w:rFonts w:ascii="Arial" w:cs="Arial" w:eastAsia="Arial" w:hAnsi="Arial"/>
          <w:sz w:val="19"/>
          <w:szCs w:val="19"/>
          <w:b w:val="1"/>
          <w:bCs w:val="1"/>
          <w:color w:val="auto"/>
          <w:vertAlign w:val="superscript"/>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1" w:lineRule="exact"/>
        <w:rPr>
          <w:rFonts w:ascii="Arial" w:cs="Arial" w:eastAsia="Arial" w:hAnsi="Arial"/>
          <w:sz w:val="19"/>
          <w:szCs w:val="19"/>
          <w:b w:val="1"/>
          <w:bCs w:val="1"/>
          <w:color w:val="auto"/>
          <w:vertAlign w:val="superscript"/>
        </w:rPr>
      </w:pPr>
    </w:p>
    <w:p>
      <w:pPr>
        <w:ind w:left="380" w:hanging="372"/>
        <w:spacing w:after="0" w:line="183" w:lineRule="auto"/>
        <w:tabs>
          <w:tab w:leader="none" w:pos="380" w:val="left"/>
        </w:tabs>
        <w:numPr>
          <w:ilvl w:val="0"/>
          <w:numId w:val="60"/>
        </w:numPr>
        <w:rPr>
          <w:rFonts w:ascii="Arial" w:cs="Arial" w:eastAsia="Arial" w:hAnsi="Arial"/>
          <w:sz w:val="20"/>
          <w:szCs w:val="20"/>
          <w:b w:val="1"/>
          <w:bCs w:val="1"/>
          <w:color w:val="auto"/>
          <w:vertAlign w:val="superscript"/>
        </w:rPr>
      </w:pPr>
      <w:r>
        <w:rPr>
          <w:rFonts w:ascii="Arial" w:cs="Arial" w:eastAsia="Arial" w:hAnsi="Arial"/>
          <w:sz w:val="12"/>
          <w:szCs w:val="12"/>
          <w:color w:val="auto"/>
        </w:rPr>
        <w:t>Valued based on PSLF’s accounting policy.</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1" w:name="page52"/>
    <w:bookmarkEnd w:id="51"/>
    <w:p>
      <w:pPr>
        <w:ind w:left="440"/>
        <w:spacing w:after="0"/>
        <w:rPr>
          <w:sz w:val="20"/>
          <w:szCs w:val="20"/>
          <w:color w:val="auto"/>
        </w:rPr>
      </w:pPr>
      <w:r>
        <w:rPr>
          <w:rFonts w:ascii="Arial" w:cs="Arial" w:eastAsia="Arial" w:hAnsi="Arial"/>
          <w:sz w:val="14"/>
          <w:szCs w:val="14"/>
          <w:color w:val="auto"/>
        </w:rPr>
        <w:t>Below is a listing of PSLF’s individual investments as of: September 30,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6"/>
              </w:rPr>
              <w:t>Basis Point</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right"/>
              <w:ind w:right="400"/>
              <w:spacing w:after="0" w:line="122" w:lineRule="exact"/>
              <w:rPr>
                <w:sz w:val="20"/>
                <w:szCs w:val="20"/>
                <w:color w:val="auto"/>
              </w:rPr>
            </w:pPr>
            <w:r>
              <w:rPr>
                <w:rFonts w:ascii="Arial" w:cs="Arial" w:eastAsia="Arial" w:hAnsi="Arial"/>
                <w:sz w:val="11"/>
                <w:szCs w:val="11"/>
                <w:b w:val="1"/>
                <w:bCs w:val="1"/>
                <w:color w:val="auto"/>
              </w:rPr>
              <w:t>Current</w:t>
            </w:r>
          </w:p>
        </w:tc>
        <w:tc>
          <w:tcPr>
            <w:tcW w:w="10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b w:val="1"/>
                <w:bCs w:val="1"/>
                <w:color w:val="auto"/>
              </w:rPr>
              <w:t>Issuer Name</w:t>
            </w: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Maturity</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Industry</w:t>
            </w:r>
          </w:p>
        </w:tc>
        <w:tc>
          <w:tcPr>
            <w:tcW w:w="86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Coupon</w:t>
            </w: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680" w:type="dxa"/>
            <w:vAlign w:val="bottom"/>
          </w:tcPr>
          <w:p>
            <w:pPr>
              <w:jc w:val="right"/>
              <w:ind w:right="206"/>
              <w:spacing w:after="0"/>
              <w:rPr>
                <w:sz w:val="20"/>
                <w:szCs w:val="20"/>
                <w:color w:val="auto"/>
              </w:rPr>
            </w:pPr>
            <w:r>
              <w:rPr>
                <w:rFonts w:ascii="Arial" w:cs="Arial" w:eastAsia="Arial" w:hAnsi="Arial"/>
                <w:sz w:val="11"/>
                <w:szCs w:val="11"/>
                <w:b w:val="1"/>
                <w:bCs w:val="1"/>
                <w:color w:val="auto"/>
              </w:rPr>
              <w:t>Par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8"/>
              </w:rPr>
              <w:t xml:space="preserve">Fair Value </w:t>
            </w:r>
            <w:r>
              <w:rPr>
                <w:rFonts w:ascii="Arial" w:cs="Arial" w:eastAsia="Arial" w:hAnsi="Arial"/>
                <w:sz w:val="9"/>
                <w:szCs w:val="9"/>
                <w:b w:val="1"/>
                <w:bCs w:val="1"/>
                <w:color w:val="auto"/>
                <w:w w:val="98"/>
              </w:rPr>
              <w:t>(2)</w:t>
            </w:r>
          </w:p>
        </w:tc>
        <w:tc>
          <w:tcPr>
            <w:tcW w:w="0" w:type="dxa"/>
            <w:vAlign w:val="bottom"/>
          </w:tcPr>
          <w:p>
            <w:pPr>
              <w:spacing w:after="0"/>
              <w:rPr>
                <w:sz w:val="1"/>
                <w:szCs w:val="1"/>
                <w:color w:val="auto"/>
              </w:rPr>
            </w:pPr>
          </w:p>
        </w:tc>
      </w:tr>
      <w:tr>
        <w:trPr>
          <w:trHeight w:val="128"/>
        </w:trPr>
        <w:tc>
          <w:tcPr>
            <w:tcW w:w="306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rPr>
              <w:t>First Lien Secured Debt—701.6%</w:t>
            </w:r>
          </w:p>
        </w:tc>
        <w:tc>
          <w:tcPr>
            <w:tcW w:w="120" w:type="dxa"/>
            <w:vAlign w:val="bottom"/>
            <w:tcBorders>
              <w:top w:val="single" w:sz="8" w:color="CCECFF"/>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262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80" w:type="dxa"/>
            <w:vAlign w:val="bottom"/>
            <w:tcBorders>
              <w:top w:val="single" w:sz="8" w:color="CCECFF"/>
            </w:tcBorders>
            <w:shd w:val="clear" w:color="auto" w:fill="CCECFF"/>
          </w:tcPr>
          <w:p>
            <w:pPr>
              <w:spacing w:after="0"/>
              <w:rPr>
                <w:sz w:val="11"/>
                <w:szCs w:val="11"/>
                <w:color w:val="auto"/>
              </w:rPr>
            </w:pPr>
          </w:p>
        </w:tc>
        <w:tc>
          <w:tcPr>
            <w:tcW w:w="88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Advantage Sales &amp; Marketing</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07/23/2021</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Grocery</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4.25%</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L+325</w:t>
            </w:r>
          </w:p>
        </w:tc>
        <w:tc>
          <w:tcPr>
            <w:tcW w:w="680" w:type="dxa"/>
            <w:vAlign w:val="bottom"/>
          </w:tcPr>
          <w:p>
            <w:pPr>
              <w:jc w:val="right"/>
              <w:spacing w:after="0"/>
              <w:rPr>
                <w:sz w:val="20"/>
                <w:szCs w:val="20"/>
                <w:color w:val="auto"/>
              </w:rPr>
            </w:pPr>
            <w:r>
              <w:rPr>
                <w:rFonts w:ascii="Arial" w:cs="Arial" w:eastAsia="Arial" w:hAnsi="Arial"/>
                <w:sz w:val="11"/>
                <w:szCs w:val="11"/>
                <w:color w:val="auto"/>
              </w:rPr>
              <w:t>8,627,315</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8,418,699</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8,456,926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Altamira Technologies,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07/24/2025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L+600</w:t>
            </w:r>
          </w:p>
        </w:tc>
        <w:tc>
          <w:tcPr>
            <w:tcW w:w="680" w:type="dxa"/>
            <w:vAlign w:val="bottom"/>
            <w:shd w:val="clear" w:color="auto" w:fill="CCECFF"/>
          </w:tcPr>
          <w:p>
            <w:pPr>
              <w:jc w:val="right"/>
              <w:ind w:right="66"/>
              <w:spacing w:after="0"/>
              <w:rPr>
                <w:sz w:val="20"/>
                <w:szCs w:val="20"/>
                <w:color w:val="auto"/>
              </w:rPr>
            </w:pPr>
            <w:r>
              <w:rPr>
                <w:rFonts w:ascii="Arial" w:cs="Arial" w:eastAsia="Arial" w:hAnsi="Arial"/>
                <w:sz w:val="11"/>
                <w:szCs w:val="11"/>
                <w:color w:val="auto"/>
              </w:rPr>
              <w:t>971,231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ind w:right="66"/>
              <w:spacing w:after="0"/>
              <w:rPr>
                <w:sz w:val="20"/>
                <w:szCs w:val="20"/>
                <w:color w:val="auto"/>
              </w:rPr>
            </w:pPr>
            <w:r>
              <w:rPr>
                <w:rFonts w:ascii="Arial" w:cs="Arial" w:eastAsia="Arial" w:hAnsi="Arial"/>
                <w:sz w:val="11"/>
                <w:szCs w:val="11"/>
                <w:color w:val="auto"/>
              </w:rPr>
              <w:t>958,950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937,238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American Insulated Glass,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12/21/2023</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4"/>
              </w:rPr>
              <w:t>Building Materials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14,775,105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14,571,097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14,479,603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Apex Service Partners,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07/31/2025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Personal, Food and Miscellaneous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L+525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6,607,449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6,546,594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6,409,225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Bazaarvoice, Inc.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02/01/2024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Printing and Publishing</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L+575</w:t>
            </w:r>
          </w:p>
        </w:tc>
        <w:tc>
          <w:tcPr>
            <w:tcW w:w="680" w:type="dxa"/>
            <w:vAlign w:val="bottom"/>
          </w:tcPr>
          <w:p>
            <w:pPr>
              <w:jc w:val="right"/>
              <w:spacing w:after="0"/>
              <w:rPr>
                <w:sz w:val="20"/>
                <w:szCs w:val="20"/>
                <w:color w:val="auto"/>
              </w:rPr>
            </w:pPr>
            <w:r>
              <w:rPr>
                <w:rFonts w:ascii="Arial" w:cs="Arial" w:eastAsia="Arial" w:hAnsi="Arial"/>
                <w:sz w:val="11"/>
                <w:szCs w:val="11"/>
                <w:color w:val="auto"/>
              </w:rPr>
              <w:t>14,628,085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14,509,210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14,408,664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Bottom Line Systems,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02/13/2023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14,895,515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14,683,499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Cano Health,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06/02/2025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L+750</w:t>
            </w:r>
          </w:p>
        </w:tc>
        <w:tc>
          <w:tcPr>
            <w:tcW w:w="680" w:type="dxa"/>
            <w:vAlign w:val="bottom"/>
          </w:tcPr>
          <w:p>
            <w:pPr>
              <w:jc w:val="right"/>
              <w:spacing w:after="0"/>
              <w:rPr>
                <w:sz w:val="20"/>
                <w:szCs w:val="20"/>
                <w:color w:val="auto"/>
              </w:rPr>
            </w:pPr>
            <w:r>
              <w:rPr>
                <w:rFonts w:ascii="Arial" w:cs="Arial" w:eastAsia="Arial" w:hAnsi="Arial"/>
                <w:sz w:val="11"/>
                <w:szCs w:val="11"/>
                <w:color w:val="auto"/>
              </w:rPr>
              <w:t>18,274,854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18,174,687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18,411,916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Datalot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01/24/2025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Insurance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L+525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7,116,895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6,991,975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7,125,435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DRS Holdings III, Inc.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11/03/2025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L+575</w:t>
            </w:r>
          </w:p>
        </w:tc>
        <w:tc>
          <w:tcPr>
            <w:tcW w:w="680" w:type="dxa"/>
            <w:vAlign w:val="bottom"/>
          </w:tcPr>
          <w:p>
            <w:pPr>
              <w:jc w:val="right"/>
              <w:spacing w:after="0"/>
              <w:rPr>
                <w:sz w:val="20"/>
                <w:szCs w:val="20"/>
                <w:color w:val="auto"/>
              </w:rPr>
            </w:pPr>
            <w:r>
              <w:rPr>
                <w:rFonts w:ascii="Arial" w:cs="Arial" w:eastAsia="Arial" w:hAnsi="Arial"/>
                <w:sz w:val="11"/>
                <w:szCs w:val="11"/>
                <w:color w:val="auto"/>
              </w:rPr>
              <w:t>13,564,726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13,448,313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13,316,490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ECM Industries,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12/23/2025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2"/>
              </w:rPr>
              <w:t>Electronics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2,873,184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2,846,226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2,858,818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Holdco Sands Intermediate,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12/19/2025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L+600</w:t>
            </w:r>
          </w:p>
        </w:tc>
        <w:tc>
          <w:tcPr>
            <w:tcW w:w="680" w:type="dxa"/>
            <w:vAlign w:val="bottom"/>
          </w:tcPr>
          <w:p>
            <w:pPr>
              <w:jc w:val="right"/>
              <w:spacing w:after="0"/>
              <w:rPr>
                <w:sz w:val="20"/>
                <w:szCs w:val="20"/>
                <w:color w:val="auto"/>
              </w:rPr>
            </w:pPr>
            <w:r>
              <w:rPr>
                <w:rFonts w:ascii="Arial" w:cs="Arial" w:eastAsia="Arial" w:hAnsi="Arial"/>
                <w:sz w:val="11"/>
                <w:szCs w:val="11"/>
                <w:color w:val="auto"/>
              </w:rPr>
              <w:t>12,193,571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12,028,384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11,888,732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HW Holdco,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12/10/2024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14,737,500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14,619,623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14,295,375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Integrity Marketing Acquisition,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08/27/2025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Insurance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447,833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444,755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443,354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K2 Pure Solutions NoCal, L.P.</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12/20/2023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L+700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14,737,500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14,583,983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14,413,275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Kentucky Downs,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03/07/2025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Hotels, Motels, Inns and Gaming</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9.50%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L+850</w:t>
            </w:r>
          </w:p>
        </w:tc>
        <w:tc>
          <w:tcPr>
            <w:tcW w:w="680" w:type="dxa"/>
            <w:vAlign w:val="bottom"/>
          </w:tcPr>
          <w:p>
            <w:pPr>
              <w:jc w:val="right"/>
              <w:spacing w:after="0"/>
              <w:rPr>
                <w:sz w:val="20"/>
                <w:szCs w:val="20"/>
                <w:color w:val="auto"/>
              </w:rPr>
            </w:pPr>
            <w:r>
              <w:rPr>
                <w:rFonts w:ascii="Arial" w:cs="Arial" w:eastAsia="Arial" w:hAnsi="Arial"/>
                <w:sz w:val="11"/>
                <w:szCs w:val="11"/>
                <w:color w:val="auto"/>
              </w:rPr>
              <w:t>10,153,350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9,978,792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10,001,050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LAV Gear Holdings,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10/31/2024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Leisure, Amusement, Motion Pictures, Entertainment</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8.50%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L+750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2,015,428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1,998,623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1,856,411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Lightspeed Buyer Inc.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02/03/2026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L+525</w:t>
            </w:r>
          </w:p>
        </w:tc>
        <w:tc>
          <w:tcPr>
            <w:tcW w:w="680" w:type="dxa"/>
            <w:vAlign w:val="bottom"/>
          </w:tcPr>
          <w:p>
            <w:pPr>
              <w:jc w:val="right"/>
              <w:spacing w:after="0"/>
              <w:rPr>
                <w:sz w:val="20"/>
                <w:szCs w:val="20"/>
                <w:color w:val="auto"/>
              </w:rPr>
            </w:pPr>
            <w:r>
              <w:rPr>
                <w:rFonts w:ascii="Arial" w:cs="Arial" w:eastAsia="Arial" w:hAnsi="Arial"/>
                <w:sz w:val="11"/>
                <w:szCs w:val="11"/>
                <w:color w:val="auto"/>
              </w:rPr>
              <w:t>12,598,209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12,365,207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12,440,731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Lombart Brothers,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04/13/2023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L+625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16,914,403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16,770,520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15,882,625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MAG DS Corp.</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04/01/2027</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L+550</w:t>
            </w:r>
          </w:p>
        </w:tc>
        <w:tc>
          <w:tcPr>
            <w:tcW w:w="680" w:type="dxa"/>
            <w:vAlign w:val="bottom"/>
          </w:tcPr>
          <w:p>
            <w:pPr>
              <w:jc w:val="right"/>
              <w:spacing w:after="0"/>
              <w:rPr>
                <w:sz w:val="20"/>
                <w:szCs w:val="20"/>
                <w:color w:val="auto"/>
              </w:rPr>
            </w:pPr>
            <w:r>
              <w:rPr>
                <w:rFonts w:ascii="Arial" w:cs="Arial" w:eastAsia="Arial" w:hAnsi="Arial"/>
                <w:sz w:val="11"/>
                <w:szCs w:val="11"/>
                <w:color w:val="auto"/>
              </w:rPr>
              <w:t>6,000,000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5,700,000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5,707,500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MeritDirect,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05/23/2024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14,076,563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13,914,921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13,407,926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PlayPower, Inc.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05/08/2026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5.72%</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4,025,520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3,990,631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3,824,244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Radius Aerospace,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03/31/2025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13,779,429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13,608,176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13,503,840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80" w:type="dxa"/>
            <w:vAlign w:val="bottom"/>
            <w:gridSpan w:val="3"/>
          </w:tcPr>
          <w:p>
            <w:pPr>
              <w:spacing w:after="0" w:line="125" w:lineRule="exact"/>
              <w:rPr>
                <w:sz w:val="20"/>
                <w:szCs w:val="20"/>
                <w:color w:val="auto"/>
              </w:rPr>
            </w:pPr>
            <w:r>
              <w:rPr>
                <w:rFonts w:ascii="Arial" w:cs="Arial" w:eastAsia="Arial" w:hAnsi="Arial"/>
                <w:sz w:val="11"/>
                <w:szCs w:val="11"/>
                <w:color w:val="auto"/>
              </w:rPr>
              <w:t>Research Now Group, Inc. and Survey</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180" w:type="dxa"/>
            <w:vAlign w:val="bottom"/>
            <w:gridSpan w:val="3"/>
          </w:tcPr>
          <w:p>
            <w:pPr>
              <w:ind w:left="80"/>
              <w:spacing w:after="0"/>
              <w:rPr>
                <w:sz w:val="20"/>
                <w:szCs w:val="20"/>
                <w:color w:val="auto"/>
              </w:rPr>
            </w:pPr>
            <w:r>
              <w:rPr>
                <w:rFonts w:ascii="Arial" w:cs="Arial" w:eastAsia="Arial" w:hAnsi="Arial"/>
                <w:sz w:val="11"/>
                <w:szCs w:val="11"/>
                <w:color w:val="auto"/>
              </w:rPr>
              <w:t>Sampling International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12/20/2024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14,847,328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14,728,854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14,023,302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Riverpoint Medical,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06/20/2025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1,975,000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1,958,417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1,905,678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Sales Benchmark Index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01/03/2025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7.75%</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L+600</w:t>
            </w:r>
          </w:p>
        </w:tc>
        <w:tc>
          <w:tcPr>
            <w:tcW w:w="680" w:type="dxa"/>
            <w:vAlign w:val="bottom"/>
          </w:tcPr>
          <w:p>
            <w:pPr>
              <w:jc w:val="right"/>
              <w:spacing w:after="0"/>
              <w:rPr>
                <w:sz w:val="20"/>
                <w:szCs w:val="20"/>
                <w:color w:val="auto"/>
              </w:rPr>
            </w:pPr>
            <w:r>
              <w:rPr>
                <w:rFonts w:ascii="Arial" w:cs="Arial" w:eastAsia="Arial" w:hAnsi="Arial"/>
                <w:sz w:val="11"/>
                <w:szCs w:val="11"/>
                <w:color w:val="auto"/>
              </w:rPr>
              <w:t>7,887,195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7,748,712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7,697,903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Sargent &amp; Greenleaf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12/20/2024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2"/>
              </w:rPr>
              <w:t>Electronics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5,448,483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5,378,893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5,350,411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Signature Systems Holding Company</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05/03/2024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L+650</w:t>
            </w:r>
          </w:p>
        </w:tc>
        <w:tc>
          <w:tcPr>
            <w:tcW w:w="680" w:type="dxa"/>
            <w:vAlign w:val="bottom"/>
          </w:tcPr>
          <w:p>
            <w:pPr>
              <w:jc w:val="right"/>
              <w:spacing w:after="0"/>
              <w:rPr>
                <w:sz w:val="20"/>
                <w:szCs w:val="20"/>
                <w:color w:val="auto"/>
              </w:rPr>
            </w:pPr>
            <w:r>
              <w:rPr>
                <w:rFonts w:ascii="Arial" w:cs="Arial" w:eastAsia="Arial" w:hAnsi="Arial"/>
                <w:sz w:val="11"/>
                <w:szCs w:val="11"/>
                <w:color w:val="auto"/>
              </w:rPr>
              <w:t>14,250,000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14,096,623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13,786,875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Solutionreach,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01/17/2024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Communications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12,531,123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12,351,398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12,393,282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STV Group Incorporated</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12/11/2026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Transportation</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5.40%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L+525</w:t>
            </w:r>
          </w:p>
        </w:tc>
        <w:tc>
          <w:tcPr>
            <w:tcW w:w="680" w:type="dxa"/>
            <w:vAlign w:val="bottom"/>
          </w:tcPr>
          <w:p>
            <w:pPr>
              <w:jc w:val="right"/>
              <w:spacing w:after="0"/>
              <w:rPr>
                <w:sz w:val="20"/>
                <w:szCs w:val="20"/>
                <w:color w:val="auto"/>
              </w:rPr>
            </w:pPr>
            <w:r>
              <w:rPr>
                <w:rFonts w:ascii="Arial" w:cs="Arial" w:eastAsia="Arial" w:hAnsi="Arial"/>
                <w:sz w:val="11"/>
                <w:szCs w:val="11"/>
                <w:color w:val="auto"/>
              </w:rPr>
              <w:t>12,351,980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12,238,771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12,228,460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TeleGuam Holdings,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11/20/2025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5,080,832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5,034,725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4,928,407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Teneo Holdings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07/18/2025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Financial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L+525</w:t>
            </w:r>
          </w:p>
        </w:tc>
        <w:tc>
          <w:tcPr>
            <w:tcW w:w="680" w:type="dxa"/>
            <w:vAlign w:val="bottom"/>
          </w:tcPr>
          <w:p>
            <w:pPr>
              <w:jc w:val="right"/>
              <w:spacing w:after="0"/>
              <w:rPr>
                <w:sz w:val="20"/>
                <w:szCs w:val="20"/>
                <w:color w:val="auto"/>
              </w:rPr>
            </w:pPr>
            <w:r>
              <w:rPr>
                <w:rFonts w:ascii="Arial" w:cs="Arial" w:eastAsia="Arial" w:hAnsi="Arial"/>
                <w:sz w:val="11"/>
                <w:szCs w:val="11"/>
                <w:color w:val="auto"/>
              </w:rPr>
              <w:t>1,980,000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1,874,970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1,905,750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TPC Canada Parent, Inc. and TPC US Parent,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11/24/2025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Food</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L+525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5,650,076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5,593,575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5,480,573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TVC Enterprises,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01/18/2024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Transportation</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L+550</w:t>
            </w:r>
          </w:p>
        </w:tc>
        <w:tc>
          <w:tcPr>
            <w:tcW w:w="680" w:type="dxa"/>
            <w:vAlign w:val="bottom"/>
          </w:tcPr>
          <w:p>
            <w:pPr>
              <w:jc w:val="right"/>
              <w:spacing w:after="0"/>
              <w:rPr>
                <w:sz w:val="20"/>
                <w:szCs w:val="20"/>
                <w:color w:val="auto"/>
              </w:rPr>
            </w:pPr>
            <w:r>
              <w:rPr>
                <w:rFonts w:ascii="Arial" w:cs="Arial" w:eastAsia="Arial" w:hAnsi="Arial"/>
                <w:sz w:val="11"/>
                <w:szCs w:val="11"/>
                <w:color w:val="auto"/>
              </w:rPr>
              <w:t>14,547,897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14,343,185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14,438,788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TWS Acquisition Corporation</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06/16/2025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Education</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L+625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8,644,186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8,469,082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8,471,302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UBEO,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04/03/2024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Printing and Publishing</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L+450</w:t>
            </w:r>
          </w:p>
        </w:tc>
        <w:tc>
          <w:tcPr>
            <w:tcW w:w="680" w:type="dxa"/>
            <w:vAlign w:val="bottom"/>
          </w:tcPr>
          <w:p>
            <w:pPr>
              <w:jc w:val="right"/>
              <w:spacing w:after="0"/>
              <w:rPr>
                <w:sz w:val="20"/>
                <w:szCs w:val="20"/>
                <w:color w:val="auto"/>
              </w:rPr>
            </w:pPr>
            <w:r>
              <w:rPr>
                <w:rFonts w:ascii="Arial" w:cs="Arial" w:eastAsia="Arial" w:hAnsi="Arial"/>
                <w:sz w:val="11"/>
                <w:szCs w:val="11"/>
                <w:color w:val="auto"/>
              </w:rPr>
              <w:t>4,738,102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4,700,032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4,453,816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Vision Purchaser Corporation</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06/10/2025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L+625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14,358,203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14,112,113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13,496,711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color w:val="auto"/>
              </w:rPr>
              <w:t>Whitney, Bradley &amp; Brown, Inc.</w:t>
            </w:r>
          </w:p>
        </w:tc>
        <w:tc>
          <w:tcPr>
            <w:tcW w:w="640" w:type="dxa"/>
            <w:vAlign w:val="bottom"/>
            <w:tcBorders>
              <w:bottom w:val="single" w:sz="8" w:color="CCECFF"/>
            </w:tcBorders>
          </w:tcPr>
          <w:p>
            <w:pPr>
              <w:jc w:val="center"/>
              <w:spacing w:after="0"/>
              <w:rPr>
                <w:sz w:val="20"/>
                <w:szCs w:val="20"/>
                <w:color w:val="auto"/>
              </w:rPr>
            </w:pPr>
            <w:r>
              <w:rPr>
                <w:rFonts w:ascii="Arial" w:cs="Arial" w:eastAsia="Arial" w:hAnsi="Arial"/>
                <w:sz w:val="11"/>
                <w:szCs w:val="11"/>
                <w:color w:val="auto"/>
                <w:w w:val="87"/>
              </w:rPr>
              <w:t>10/18/2022</w:t>
            </w:r>
          </w:p>
        </w:tc>
        <w:tc>
          <w:tcPr>
            <w:tcW w:w="120" w:type="dxa"/>
            <w:vAlign w:val="bottom"/>
            <w:tcBorders>
              <w:bottom w:val="single" w:sz="8" w:color="CCECFF"/>
            </w:tcBorders>
          </w:tcPr>
          <w:p>
            <w:pPr>
              <w:spacing w:after="0"/>
              <w:rPr>
                <w:sz w:val="11"/>
                <w:szCs w:val="11"/>
                <w:color w:val="auto"/>
              </w:rPr>
            </w:pPr>
          </w:p>
        </w:tc>
        <w:tc>
          <w:tcPr>
            <w:tcW w:w="27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1"/>
                <w:szCs w:val="11"/>
                <w:color w:val="auto"/>
              </w:rPr>
              <w:t>8.50%</w:t>
            </w:r>
          </w:p>
        </w:tc>
        <w:tc>
          <w:tcPr>
            <w:tcW w:w="1000" w:type="dxa"/>
            <w:vAlign w:val="bottom"/>
            <w:tcBorders>
              <w:bottom w:val="single" w:sz="8" w:color="CCECFF"/>
            </w:tcBorders>
            <w:gridSpan w:val="2"/>
          </w:tcPr>
          <w:p>
            <w:pPr>
              <w:ind w:left="400"/>
              <w:spacing w:after="0"/>
              <w:rPr>
                <w:sz w:val="20"/>
                <w:szCs w:val="20"/>
                <w:color w:val="auto"/>
              </w:rPr>
            </w:pPr>
            <w:r>
              <w:rPr>
                <w:rFonts w:ascii="Arial" w:cs="Arial" w:eastAsia="Arial" w:hAnsi="Arial"/>
                <w:sz w:val="11"/>
                <w:szCs w:val="11"/>
                <w:color w:val="auto"/>
              </w:rPr>
              <w:t>1M L+750</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14,194,162</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14,029,177</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14,052,223</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1"/>
              </w:rPr>
              <w:t>358,023,408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353,366,358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b w:val="1"/>
                <w:bCs w:val="1"/>
                <w:color w:val="auto"/>
              </w:rPr>
              <w:t>Cash and Cash Equivalents—26.9%</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7,353,307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7,353,307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color w:val="auto"/>
              </w:rPr>
              <w:t>US Bank Cash</w:t>
            </w:r>
          </w:p>
        </w:tc>
        <w:tc>
          <w:tcPr>
            <w:tcW w:w="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183,412</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183,412</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7,536,719</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7,536,719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80" w:type="dxa"/>
            <w:vAlign w:val="bottom"/>
            <w:gridSpan w:val="3"/>
          </w:tcPr>
          <w:p>
            <w:pPr>
              <w:spacing w:after="0"/>
              <w:rPr>
                <w:sz w:val="20"/>
                <w:szCs w:val="20"/>
                <w:color w:val="auto"/>
              </w:rPr>
            </w:pPr>
            <w:r>
              <w:rPr>
                <w:rFonts w:ascii="Arial" w:cs="Arial" w:eastAsia="Arial" w:hAnsi="Arial"/>
                <w:sz w:val="11"/>
                <w:szCs w:val="11"/>
                <w:b w:val="1"/>
                <w:bCs w:val="1"/>
                <w:color w:val="auto"/>
              </w:rPr>
              <w:t>Total Investments and Cash Equivalents—1,141.9%</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w w:val="91"/>
              </w:rPr>
              <w:t>365,560,127</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w w:val="98"/>
              </w:rPr>
              <w:t>360,903,077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CFF"/>
            </w:tcBorders>
            <w:gridSpan w:val="3"/>
            <w:vMerge w:val="restart"/>
            <w:shd w:val="clear" w:color="auto" w:fill="CCECFF"/>
          </w:tcPr>
          <w:p>
            <w:pPr>
              <w:spacing w:after="0"/>
              <w:rPr>
                <w:sz w:val="20"/>
                <w:szCs w:val="20"/>
                <w:color w:val="auto"/>
              </w:rPr>
            </w:pPr>
            <w:r>
              <w:rPr>
                <w:rFonts w:ascii="Arial" w:cs="Arial" w:eastAsia="Arial" w:hAnsi="Arial"/>
                <w:sz w:val="11"/>
                <w:szCs w:val="11"/>
                <w:b w:val="1"/>
                <w:bCs w:val="1"/>
                <w:color w:val="auto"/>
              </w:rPr>
              <w:t>Liabilities in Excess of Other Assets—(1,041.9)%</w:t>
            </w:r>
          </w:p>
        </w:tc>
        <w:tc>
          <w:tcPr>
            <w:tcW w:w="64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262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58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88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68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80" w:type="dxa"/>
            <w:vAlign w:val="bottom"/>
            <w:gridSpan w:val="3"/>
            <w:vMerge w:val="continue"/>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26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w w:val="96"/>
              </w:rPr>
              <w:t>(310,538,386)</w:t>
            </w:r>
          </w:p>
        </w:tc>
        <w:tc>
          <w:tcPr>
            <w:tcW w:w="0" w:type="dxa"/>
            <w:vAlign w:val="bottom"/>
          </w:tcPr>
          <w:p>
            <w:pPr>
              <w:spacing w:after="0"/>
              <w:rPr>
                <w:sz w:val="1"/>
                <w:szCs w:val="1"/>
                <w:color w:val="auto"/>
              </w:rPr>
            </w:pPr>
          </w:p>
        </w:tc>
      </w:tr>
      <w:tr>
        <w:trPr>
          <w:trHeight w:val="129"/>
        </w:trPr>
        <w:tc>
          <w:tcPr>
            <w:tcW w:w="3180" w:type="dxa"/>
            <w:vAlign w:val="bottom"/>
            <w:gridSpan w:val="3"/>
          </w:tcPr>
          <w:p>
            <w:pPr>
              <w:spacing w:after="0"/>
              <w:rPr>
                <w:sz w:val="20"/>
                <w:szCs w:val="20"/>
                <w:color w:val="auto"/>
              </w:rPr>
            </w:pPr>
            <w:r>
              <w:rPr>
                <w:rFonts w:ascii="Arial" w:cs="Arial" w:eastAsia="Arial" w:hAnsi="Arial"/>
                <w:sz w:val="11"/>
                <w:szCs w:val="11"/>
                <w:b w:val="1"/>
                <w:bCs w:val="1"/>
                <w:color w:val="auto"/>
              </w:rPr>
              <w:t>Members' Equity—100.0%</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50,364,691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176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380" w:right="20" w:hanging="372"/>
        <w:spacing w:after="0" w:line="276" w:lineRule="auto"/>
        <w:tabs>
          <w:tab w:leader="none" w:pos="380" w:val="left"/>
        </w:tabs>
        <w:numPr>
          <w:ilvl w:val="0"/>
          <w:numId w:val="61"/>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9" w:lineRule="exact"/>
        <w:rPr>
          <w:rFonts w:ascii="Arial" w:cs="Arial" w:eastAsia="Arial" w:hAnsi="Arial"/>
          <w:sz w:val="11"/>
          <w:szCs w:val="11"/>
          <w:color w:val="auto"/>
        </w:rPr>
      </w:pPr>
    </w:p>
    <w:p>
      <w:pPr>
        <w:ind w:left="380" w:hanging="372"/>
        <w:spacing w:after="0"/>
        <w:tabs>
          <w:tab w:leader="none" w:pos="3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Valued based on PSLF’s accounting policy.</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82"/>
        </w:trPr>
        <w:tc>
          <w:tcPr>
            <w:tcW w:w="7560" w:type="dxa"/>
            <w:vAlign w:val="bottom"/>
            <w:gridSpan w:val="2"/>
          </w:tcPr>
          <w:p>
            <w:pPr>
              <w:ind w:left="440"/>
              <w:spacing w:after="0"/>
              <w:rPr>
                <w:sz w:val="20"/>
                <w:szCs w:val="20"/>
                <w:color w:val="auto"/>
              </w:rPr>
            </w:pPr>
            <w:r>
              <w:rPr>
                <w:rFonts w:ascii="Arial" w:cs="Arial" w:eastAsia="Arial" w:hAnsi="Arial"/>
                <w:sz w:val="14"/>
                <w:szCs w:val="14"/>
                <w:color w:val="auto"/>
              </w:rPr>
              <w:t>Below is the financial information for PSLF:</w:t>
            </w: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5800" w:type="dxa"/>
            <w:vAlign w:val="bottom"/>
          </w:tcPr>
          <w:p>
            <w:pPr>
              <w:ind w:left="2720"/>
              <w:spacing w:after="0"/>
              <w:rPr>
                <w:sz w:val="20"/>
                <w:szCs w:val="20"/>
                <w:color w:val="auto"/>
              </w:rPr>
            </w:pPr>
            <w:r>
              <w:rPr>
                <w:rFonts w:ascii="Arial" w:cs="Arial" w:eastAsia="Arial" w:hAnsi="Arial"/>
                <w:sz w:val="14"/>
                <w:szCs w:val="14"/>
                <w:b w:val="1"/>
                <w:bCs w:val="1"/>
                <w:color w:val="auto"/>
              </w:rPr>
              <w:t>Statements of Assets and Liabilities</w:t>
            </w:r>
          </w:p>
        </w:tc>
        <w:tc>
          <w:tcPr>
            <w:tcW w:w="140" w:type="dxa"/>
            <w:vAlign w:val="bottom"/>
          </w:tcPr>
          <w:p>
            <w:pPr>
              <w:spacing w:after="0"/>
              <w:rPr>
                <w:sz w:val="17"/>
                <w:szCs w:val="17"/>
                <w:color w:val="auto"/>
              </w:rPr>
            </w:pPr>
          </w:p>
        </w:tc>
        <w:tc>
          <w:tcPr>
            <w:tcW w:w="1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September 30, 2021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47"/>
        </w:trPr>
        <w:tc>
          <w:tcPr>
            <w:tcW w:w="7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560" w:type="dxa"/>
            <w:vAlign w:val="bottom"/>
            <w:gridSpan w:val="2"/>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CFF"/>
          </w:tcPr>
          <w:p>
            <w:pPr>
              <w:spacing w:after="0"/>
              <w:rPr>
                <w:sz w:val="20"/>
                <w:szCs w:val="20"/>
                <w:color w:val="auto"/>
              </w:rPr>
            </w:pPr>
            <w:r>
              <w:rPr>
                <w:rFonts w:ascii="Arial" w:cs="Arial" w:eastAsia="Arial" w:hAnsi="Arial"/>
                <w:sz w:val="16"/>
                <w:szCs w:val="16"/>
                <w:color w:val="auto"/>
              </w:rPr>
              <w:t>Investments (cost—$405,009,393 and $358,023,408, respectively)</w:t>
            </w: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405,232,480</w:t>
            </w:r>
          </w:p>
        </w:tc>
        <w:tc>
          <w:tcPr>
            <w:tcW w:w="300" w:type="dxa"/>
            <w:vAlign w:val="bottom"/>
            <w:shd w:val="clear" w:color="auto" w:fill="CCECFF"/>
          </w:tcPr>
          <w:p>
            <w:pPr>
              <w:spacing w:after="0"/>
              <w:rPr>
                <w:sz w:val="18"/>
                <w:szCs w:val="18"/>
                <w:color w:val="auto"/>
              </w:rPr>
            </w:pPr>
          </w:p>
        </w:tc>
        <w:tc>
          <w:tcPr>
            <w:tcW w:w="140" w:type="dxa"/>
            <w:vAlign w:val="bottom"/>
            <w:gridSpan w:val="2"/>
            <w:shd w:val="clear" w:color="auto" w:fill="CCECFF"/>
          </w:tcPr>
          <w:p>
            <w:pPr>
              <w:jc w:val="right"/>
              <w:ind w:right="9"/>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353,366,358</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6"/>
                <w:szCs w:val="16"/>
                <w:color w:val="auto"/>
              </w:rPr>
              <w:t>Cash and cash equivalents (cost—$11,013,454 and $7,536,719, respectively)</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11,013,454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7,536,719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5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140" w:type="dxa"/>
            <w:vAlign w:val="bottom"/>
            <w:tcBorders>
              <w:bottom w:val="single" w:sz="8" w:color="auto"/>
            </w:tcBorders>
            <w:shd w:val="clear" w:color="auto" w:fill="CCECFF"/>
          </w:tcPr>
          <w:p>
            <w:pPr>
              <w:spacing w:after="0"/>
              <w:rPr>
                <w:sz w:val="14"/>
                <w:szCs w:val="14"/>
                <w:color w:val="auto"/>
              </w:rPr>
            </w:pPr>
          </w:p>
        </w:tc>
        <w:tc>
          <w:tcPr>
            <w:tcW w:w="15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1,175,230</w:t>
            </w:r>
          </w:p>
        </w:tc>
        <w:tc>
          <w:tcPr>
            <w:tcW w:w="3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5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877,008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560" w:type="dxa"/>
            <w:vAlign w:val="bottom"/>
            <w:tcBorders>
              <w:bottom w:val="single" w:sz="8" w:color="CCECFF"/>
            </w:tcBorders>
            <w:gridSpan w:val="2"/>
          </w:tcPr>
          <w:p>
            <w:pPr>
              <w:ind w:left="740"/>
              <w:spacing w:after="0" w:line="155" w:lineRule="exact"/>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417,421,164</w:t>
            </w:r>
          </w:p>
        </w:tc>
        <w:tc>
          <w:tcPr>
            <w:tcW w:w="30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361,780,085</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56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140" w:type="dxa"/>
            <w:vAlign w:val="bottom"/>
            <w:shd w:val="clear" w:color="auto" w:fill="CCECFF"/>
          </w:tcPr>
          <w:p>
            <w:pPr>
              <w:spacing w:after="0"/>
              <w:rPr>
                <w:sz w:val="13"/>
                <w:szCs w:val="13"/>
                <w:color w:val="auto"/>
              </w:rPr>
            </w:pPr>
          </w:p>
        </w:tc>
        <w:tc>
          <w:tcPr>
            <w:tcW w:w="150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5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560" w:type="dxa"/>
            <w:vAlign w:val="bottom"/>
            <w:gridSpan w:val="2"/>
          </w:tcPr>
          <w:p>
            <w:pPr>
              <w:spacing w:after="0"/>
              <w:rPr>
                <w:sz w:val="20"/>
                <w:szCs w:val="20"/>
                <w:color w:val="auto"/>
              </w:rPr>
            </w:pPr>
            <w:r>
              <w:rPr>
                <w:rFonts w:ascii="Arial" w:cs="Arial" w:eastAsia="Arial" w:hAnsi="Arial"/>
                <w:sz w:val="14"/>
                <w:szCs w:val="14"/>
                <w:color w:val="auto"/>
              </w:rPr>
              <w:t>Distribution payable</w:t>
            </w: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2,800,000</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1,393,716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Payable for investments purchased</w:t>
            </w:r>
          </w:p>
        </w:tc>
        <w:tc>
          <w:tcPr>
            <w:tcW w:w="14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12,792,969</w:t>
            </w:r>
          </w:p>
        </w:tc>
        <w:tc>
          <w:tcPr>
            <w:tcW w:w="3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5,700,000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gridSpan w:val="2"/>
          </w:tcPr>
          <w:p>
            <w:pPr>
              <w:spacing w:after="0"/>
              <w:rPr>
                <w:sz w:val="20"/>
                <w:szCs w:val="20"/>
                <w:color w:val="auto"/>
              </w:rPr>
            </w:pPr>
            <w:r>
              <w:rPr>
                <w:rFonts w:ascii="Arial" w:cs="Arial" w:eastAsia="Arial" w:hAnsi="Arial"/>
                <w:sz w:val="14"/>
                <w:szCs w:val="14"/>
                <w:color w:val="auto"/>
              </w:rPr>
              <w:t>Credit facility payable</w:t>
            </w: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224,000,000</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213,500,000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Notes payable to members</w:t>
            </w:r>
          </w:p>
        </w:tc>
        <w:tc>
          <w:tcPr>
            <w:tcW w:w="14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106,040,612</w:t>
            </w:r>
          </w:p>
        </w:tc>
        <w:tc>
          <w:tcPr>
            <w:tcW w:w="3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87,500,000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gridSpan w:val="2"/>
          </w:tcPr>
          <w:p>
            <w:pPr>
              <w:spacing w:after="0"/>
              <w:rPr>
                <w:sz w:val="20"/>
                <w:szCs w:val="20"/>
                <w:color w:val="auto"/>
              </w:rPr>
            </w:pPr>
            <w:r>
              <w:rPr>
                <w:rFonts w:ascii="Arial" w:cs="Arial" w:eastAsia="Arial" w:hAnsi="Arial"/>
                <w:sz w:val="14"/>
                <w:szCs w:val="14"/>
                <w:color w:val="auto"/>
              </w:rPr>
              <w:t>Interest payable on credit facility</w:t>
            </w: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1,499,406</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1,649,852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Interest payable on members notes</w:t>
            </w:r>
          </w:p>
        </w:tc>
        <w:tc>
          <w:tcPr>
            <w:tcW w:w="14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1,643,629</w:t>
            </w:r>
          </w:p>
        </w:tc>
        <w:tc>
          <w:tcPr>
            <w:tcW w:w="3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1,356,250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Accrued other expenses</w:t>
            </w: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612,111</w:t>
            </w:r>
          </w:p>
        </w:tc>
        <w:tc>
          <w:tcPr>
            <w:tcW w:w="30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315,576</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560" w:type="dxa"/>
            <w:vAlign w:val="bottom"/>
            <w:gridSpan w:val="2"/>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w:t>
            </w:r>
          </w:p>
        </w:tc>
        <w:tc>
          <w:tcPr>
            <w:tcW w:w="140" w:type="dxa"/>
            <w:vAlign w:val="bottom"/>
            <w:tcBorders>
              <w:bottom w:val="single" w:sz="8" w:color="auto"/>
            </w:tcBorders>
            <w:shd w:val="clear" w:color="auto" w:fill="CCECFF"/>
          </w:tcPr>
          <w:p>
            <w:pPr>
              <w:spacing w:after="0"/>
              <w:rPr>
                <w:sz w:val="13"/>
                <w:szCs w:val="13"/>
                <w:color w:val="auto"/>
              </w:rPr>
            </w:pPr>
          </w:p>
        </w:tc>
        <w:tc>
          <w:tcPr>
            <w:tcW w:w="15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349,388,727</w:t>
            </w:r>
          </w:p>
        </w:tc>
        <w:tc>
          <w:tcPr>
            <w:tcW w:w="3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5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311,415,394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560" w:type="dxa"/>
            <w:vAlign w:val="bottom"/>
            <w:tcBorders>
              <w:bottom w:val="single" w:sz="8" w:color="CCECFF"/>
            </w:tcBorders>
            <w:gridSpan w:val="2"/>
          </w:tcPr>
          <w:p>
            <w:pPr>
              <w:spacing w:after="0" w:line="155" w:lineRule="exact"/>
              <w:rPr>
                <w:sz w:val="20"/>
                <w:szCs w:val="20"/>
                <w:color w:val="auto"/>
              </w:rPr>
            </w:pPr>
            <w:r>
              <w:rPr>
                <w:rFonts w:ascii="Arial" w:cs="Arial" w:eastAsia="Arial" w:hAnsi="Arial"/>
                <w:sz w:val="14"/>
                <w:szCs w:val="14"/>
                <w:color w:val="auto"/>
              </w:rPr>
              <w:t xml:space="preserve">Commitments and contingencies </w:t>
            </w:r>
            <w:r>
              <w:rPr>
                <w:rFonts w:ascii="Arial" w:cs="Arial" w:eastAsia="Arial" w:hAnsi="Arial"/>
                <w:sz w:val="12"/>
                <w:szCs w:val="12"/>
                <w:color w:val="auto"/>
              </w:rPr>
              <w:t>(1)</w:t>
            </w:r>
          </w:p>
        </w:tc>
        <w:tc>
          <w:tcPr>
            <w:tcW w:w="1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560" w:type="dxa"/>
            <w:vAlign w:val="bottom"/>
            <w:gridSpan w:val="2"/>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Members' equity</w:t>
            </w:r>
          </w:p>
        </w:tc>
        <w:tc>
          <w:tcPr>
            <w:tcW w:w="140" w:type="dxa"/>
            <w:vAlign w:val="bottom"/>
            <w:tcBorders>
              <w:bottom w:val="single" w:sz="8" w:color="auto"/>
            </w:tcBorders>
            <w:shd w:val="clear" w:color="auto" w:fill="CCECFF"/>
          </w:tcPr>
          <w:p>
            <w:pPr>
              <w:spacing w:after="0"/>
              <w:rPr>
                <w:sz w:val="13"/>
                <w:szCs w:val="13"/>
                <w:color w:val="auto"/>
              </w:rPr>
            </w:pPr>
          </w:p>
        </w:tc>
        <w:tc>
          <w:tcPr>
            <w:tcW w:w="15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68,032,437</w:t>
            </w:r>
          </w:p>
        </w:tc>
        <w:tc>
          <w:tcPr>
            <w:tcW w:w="3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5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50,364,691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560" w:type="dxa"/>
            <w:vAlign w:val="bottom"/>
            <w:gridSpan w:val="2"/>
          </w:tcPr>
          <w:p>
            <w:pPr>
              <w:ind w:left="740"/>
              <w:spacing w:after="0" w:line="155" w:lineRule="exact"/>
              <w:rPr>
                <w:sz w:val="20"/>
                <w:szCs w:val="20"/>
                <w:color w:val="auto"/>
              </w:rPr>
            </w:pPr>
            <w:r>
              <w:rPr>
                <w:rFonts w:ascii="Arial" w:cs="Arial" w:eastAsia="Arial" w:hAnsi="Arial"/>
                <w:sz w:val="14"/>
                <w:szCs w:val="14"/>
                <w:b w:val="1"/>
                <w:bCs w:val="1"/>
                <w:color w:val="auto"/>
              </w:rPr>
              <w:t>Total liabilities and members' equity</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417,421,164</w:t>
            </w:r>
          </w:p>
        </w:tc>
        <w:tc>
          <w:tcPr>
            <w:tcW w:w="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361,780,085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1760" w:type="dxa"/>
            <w:vAlign w:val="bottom"/>
            <w:tcBorders>
              <w:bottom w:val="single" w:sz="8" w:color="auto"/>
            </w:tcBorders>
          </w:tcPr>
          <w:p>
            <w:pPr>
              <w:spacing w:after="0"/>
              <w:rPr>
                <w:sz w:val="3"/>
                <w:szCs w:val="3"/>
                <w:color w:val="auto"/>
              </w:rPr>
            </w:pPr>
          </w:p>
        </w:tc>
        <w:tc>
          <w:tcPr>
            <w:tcW w:w="5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80" w:hanging="372"/>
        <w:spacing w:after="0" w:line="190" w:lineRule="auto"/>
        <w:tabs>
          <w:tab w:leader="none" w:pos="380" w:val="left"/>
        </w:tabs>
        <w:numPr>
          <w:ilvl w:val="0"/>
          <w:numId w:val="62"/>
        </w:numPr>
        <w:rPr>
          <w:rFonts w:ascii="Arial" w:cs="Arial" w:eastAsia="Arial" w:hAnsi="Arial"/>
          <w:sz w:val="20"/>
          <w:szCs w:val="20"/>
          <w:b w:val="1"/>
          <w:bCs w:val="1"/>
          <w:color w:val="auto"/>
          <w:vertAlign w:val="superscript"/>
        </w:rPr>
      </w:pPr>
      <w:r>
        <w:rPr>
          <w:rFonts w:ascii="Arial" w:cs="Arial" w:eastAsia="Arial" w:hAnsi="Arial"/>
          <w:sz w:val="12"/>
          <w:szCs w:val="12"/>
          <w:color w:val="auto"/>
        </w:rPr>
        <w:t>For the years ended of September 30, 2021 and 2020, PSLF did not have any unfunded commitments to fund investments.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800" w:type="dxa"/>
            <w:vAlign w:val="bottom"/>
            <w:gridSpan w:val="2"/>
          </w:tcPr>
          <w:p>
            <w:pPr>
              <w:jc w:val="right"/>
              <w:ind w:right="1448"/>
              <w:spacing w:after="0"/>
              <w:rPr>
                <w:sz w:val="20"/>
                <w:szCs w:val="20"/>
                <w:color w:val="auto"/>
              </w:rPr>
            </w:pPr>
            <w:r>
              <w:rPr>
                <w:rFonts w:ascii="Arial" w:cs="Arial" w:eastAsia="Arial" w:hAnsi="Arial"/>
                <w:sz w:val="14"/>
                <w:szCs w:val="14"/>
                <w:b w:val="1"/>
                <w:bCs w:val="1"/>
                <w:color w:val="auto"/>
              </w:rPr>
              <w:t xml:space="preserve">Statements of Operations </w:t>
            </w:r>
            <w:r>
              <w:rPr>
                <w:rFonts w:ascii="Arial" w:cs="Arial" w:eastAsia="Arial" w:hAnsi="Arial"/>
                <w:sz w:val="12"/>
                <w:szCs w:val="12"/>
                <w:b w:val="1"/>
                <w:bCs w:val="1"/>
                <w:color w:val="auto"/>
              </w:rPr>
              <w:t>(1)</w:t>
            </w:r>
          </w:p>
        </w:tc>
        <w:tc>
          <w:tcPr>
            <w:tcW w:w="16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3"/>
              </w:rPr>
              <w:t>Period Ended</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Period Ended</w:t>
            </w:r>
          </w:p>
        </w:tc>
        <w:tc>
          <w:tcPr>
            <w:tcW w:w="0" w:type="dxa"/>
            <w:vAlign w:val="bottom"/>
          </w:tcPr>
          <w:p>
            <w:pPr>
              <w:spacing w:after="0"/>
              <w:rPr>
                <w:sz w:val="1"/>
                <w:szCs w:val="1"/>
                <w:color w:val="auto"/>
              </w:rPr>
            </w:pPr>
          </w:p>
        </w:tc>
      </w:tr>
      <w:tr>
        <w:trPr>
          <w:trHeight w:val="124"/>
        </w:trPr>
        <w:tc>
          <w:tcPr>
            <w:tcW w:w="17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55"/>
        </w:trPr>
        <w:tc>
          <w:tcPr>
            <w:tcW w:w="1760" w:type="dxa"/>
            <w:vAlign w:val="bottom"/>
            <w:tcBorders>
              <w:bottom w:val="single" w:sz="8" w:color="CCECFF"/>
            </w:tcBorders>
          </w:tcPr>
          <w:p>
            <w:pPr>
              <w:spacing w:after="0"/>
              <w:rPr>
                <w:sz w:val="13"/>
                <w:szCs w:val="13"/>
                <w:color w:val="auto"/>
              </w:rPr>
            </w:pPr>
          </w:p>
        </w:tc>
        <w:tc>
          <w:tcPr>
            <w:tcW w:w="2380" w:type="dxa"/>
            <w:vAlign w:val="bottom"/>
            <w:tcBorders>
              <w:bottom w:val="single" w:sz="8" w:color="CCECFF"/>
            </w:tcBorders>
          </w:tcPr>
          <w:p>
            <w:pPr>
              <w:spacing w:after="0"/>
              <w:rPr>
                <w:sz w:val="13"/>
                <w:szCs w:val="13"/>
                <w:color w:val="auto"/>
              </w:rPr>
            </w:pPr>
          </w:p>
        </w:tc>
        <w:tc>
          <w:tcPr>
            <w:tcW w:w="3600" w:type="dxa"/>
            <w:vAlign w:val="bottom"/>
            <w:tcBorders>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center"/>
              <w:ind w:right="148"/>
              <w:spacing w:after="0" w:line="155" w:lineRule="exact"/>
              <w:rPr>
                <w:sz w:val="20"/>
                <w:szCs w:val="20"/>
                <w:color w:val="auto"/>
              </w:rPr>
            </w:pPr>
            <w:r>
              <w:rPr>
                <w:rFonts w:ascii="Arial" w:cs="Arial" w:eastAsia="Arial" w:hAnsi="Arial"/>
                <w:sz w:val="14"/>
                <w:szCs w:val="14"/>
                <w:b w:val="1"/>
                <w:bCs w:val="1"/>
                <w:color w:val="auto"/>
                <w:w w:val="96"/>
              </w:rPr>
              <w:t>2021</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center"/>
              <w:ind w:right="148"/>
              <w:spacing w:after="0" w:line="155"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4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36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3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3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40" w:type="dxa"/>
            <w:vAlign w:val="bottom"/>
            <w:gridSpan w:val="2"/>
          </w:tcPr>
          <w:p>
            <w:pPr>
              <w:ind w:left="260"/>
              <w:spacing w:after="0"/>
              <w:rPr>
                <w:sz w:val="20"/>
                <w:szCs w:val="20"/>
                <w:color w:val="auto"/>
              </w:rPr>
            </w:pPr>
            <w:r>
              <w:rPr>
                <w:rFonts w:ascii="Arial" w:cs="Arial" w:eastAsia="Arial" w:hAnsi="Arial"/>
                <w:sz w:val="14"/>
                <w:szCs w:val="14"/>
                <w:color w:val="auto"/>
              </w:rPr>
              <w:t>Interest</w:t>
            </w:r>
          </w:p>
        </w:tc>
        <w:tc>
          <w:tcPr>
            <w:tcW w:w="38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27,489,180</w:t>
            </w:r>
          </w:p>
        </w:tc>
        <w:tc>
          <w:tcPr>
            <w:tcW w:w="280" w:type="dxa"/>
            <w:vAlign w:val="bottom"/>
          </w:tcPr>
          <w:p>
            <w:pPr>
              <w:spacing w:after="0"/>
              <w:rPr>
                <w:sz w:val="14"/>
                <w:szCs w:val="14"/>
                <w:color w:val="auto"/>
              </w:rPr>
            </w:pPr>
          </w:p>
        </w:tc>
        <w:tc>
          <w:tcPr>
            <w:tcW w:w="200" w:type="dxa"/>
            <w:vAlign w:val="bottom"/>
            <w:gridSpan w:val="2"/>
          </w:tcPr>
          <w:p>
            <w:pPr>
              <w:jc w:val="right"/>
              <w:ind w:right="69"/>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4,504,788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360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13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1,802,790</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13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2,444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40" w:type="dxa"/>
            <w:vAlign w:val="bottom"/>
            <w:tcBorders>
              <w:bottom w:val="single" w:sz="8" w:color="CCECFF"/>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360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29,291,970</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4,507,232</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4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36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3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3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40" w:type="dxa"/>
            <w:vAlign w:val="bottom"/>
            <w:gridSpan w:val="2"/>
          </w:tcPr>
          <w:p>
            <w:pPr>
              <w:ind w:left="260"/>
              <w:spacing w:after="0"/>
              <w:rPr>
                <w:sz w:val="20"/>
                <w:szCs w:val="20"/>
                <w:color w:val="auto"/>
              </w:rPr>
            </w:pPr>
            <w:r>
              <w:rPr>
                <w:rFonts w:ascii="Arial" w:cs="Arial" w:eastAsia="Arial" w:hAnsi="Arial"/>
                <w:sz w:val="14"/>
                <w:szCs w:val="14"/>
                <w:color w:val="auto"/>
              </w:rPr>
              <w:t>Interest and expenses on credit facility</w:t>
            </w:r>
          </w:p>
        </w:tc>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6,283,544</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1,039,327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Interest expense on members notes</w:t>
            </w:r>
          </w:p>
        </w:tc>
        <w:tc>
          <w:tcPr>
            <w:tcW w:w="36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9,532,516</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1,356,250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gridSpan w:val="2"/>
          </w:tcPr>
          <w:p>
            <w:pPr>
              <w:ind w:left="260"/>
              <w:spacing w:after="0"/>
              <w:rPr>
                <w:sz w:val="20"/>
                <w:szCs w:val="20"/>
                <w:color w:val="auto"/>
              </w:rPr>
            </w:pPr>
            <w:r>
              <w:rPr>
                <w:rFonts w:ascii="Arial" w:cs="Arial" w:eastAsia="Arial" w:hAnsi="Arial"/>
                <w:sz w:val="14"/>
                <w:szCs w:val="14"/>
                <w:color w:val="auto"/>
              </w:rPr>
              <w:t>Administrative services expenses</w:t>
            </w:r>
          </w:p>
        </w:tc>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1,171,860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195,310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 xml:space="preserve">Other general and administrative expenses </w:t>
            </w:r>
            <w:r>
              <w:rPr>
                <w:rFonts w:ascii="Arial" w:cs="Arial" w:eastAsia="Arial" w:hAnsi="Arial"/>
                <w:sz w:val="12"/>
                <w:szCs w:val="12"/>
                <w:color w:val="auto"/>
              </w:rPr>
              <w:t>(2)</w:t>
            </w:r>
          </w:p>
        </w:tc>
        <w:tc>
          <w:tcPr>
            <w:tcW w:w="360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13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446,588</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13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120,266</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40" w:type="dxa"/>
            <w:vAlign w:val="bottom"/>
            <w:tcBorders>
              <w:bottom w:val="single" w:sz="8" w:color="CCECFF"/>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360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17,434,508</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2,711,153</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40" w:type="dxa"/>
            <w:vAlign w:val="bottom"/>
            <w:gridSpan w:val="2"/>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360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13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11,857,462</w:t>
            </w: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13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1,796,079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Realized and unrealized gain on investments:</w:t>
            </w:r>
          </w:p>
        </w:tc>
        <w:tc>
          <w:tcPr>
            <w:tcW w:w="3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Net realized gain on investments</w:t>
            </w:r>
          </w:p>
        </w:tc>
        <w:tc>
          <w:tcPr>
            <w:tcW w:w="36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544,547</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254,653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Net change in unrealized appreciation on investments</w:t>
            </w:r>
          </w:p>
        </w:tc>
        <w:tc>
          <w:tcPr>
            <w:tcW w:w="360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4,880,137</w:t>
            </w:r>
          </w:p>
        </w:tc>
        <w:tc>
          <w:tcPr>
            <w:tcW w:w="28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2,173,436</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4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realized and unrealized gain from investments</w:t>
            </w:r>
          </w:p>
        </w:tc>
        <w:tc>
          <w:tcPr>
            <w:tcW w:w="360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13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5,424,684</w:t>
            </w: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13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2,428,089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increase in members' equity resulting from operations</w:t>
            </w:r>
          </w:p>
        </w:tc>
        <w:tc>
          <w:tcPr>
            <w:tcW w:w="360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17,282,146</w:t>
            </w:r>
          </w:p>
        </w:tc>
        <w:tc>
          <w:tcPr>
            <w:tcW w:w="2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4,224,168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380" w:hanging="372"/>
        <w:spacing w:after="0" w:line="185" w:lineRule="auto"/>
        <w:tabs>
          <w:tab w:leader="none" w:pos="380" w:val="left"/>
        </w:tabs>
        <w:numPr>
          <w:ilvl w:val="0"/>
          <w:numId w:val="63"/>
        </w:numPr>
        <w:rPr>
          <w:rFonts w:ascii="Arial" w:cs="Arial" w:eastAsia="Arial" w:hAnsi="Arial"/>
          <w:sz w:val="19"/>
          <w:szCs w:val="19"/>
          <w:b w:val="1"/>
          <w:bCs w:val="1"/>
          <w:color w:val="auto"/>
          <w:vertAlign w:val="superscript"/>
        </w:rPr>
      </w:pPr>
      <w:r>
        <w:rPr>
          <w:rFonts w:ascii="Arial" w:cs="Arial" w:eastAsia="Arial" w:hAnsi="Arial"/>
          <w:sz w:val="11"/>
          <w:szCs w:val="11"/>
          <w:color w:val="auto"/>
        </w:rPr>
        <w:t>PSLF commenced operations on July 31, 2020.</w:t>
      </w:r>
    </w:p>
    <w:p>
      <w:pPr>
        <w:spacing w:after="0" w:line="37" w:lineRule="exact"/>
        <w:rPr>
          <w:rFonts w:ascii="Arial" w:cs="Arial" w:eastAsia="Arial" w:hAnsi="Arial"/>
          <w:sz w:val="19"/>
          <w:szCs w:val="19"/>
          <w:b w:val="1"/>
          <w:bCs w:val="1"/>
          <w:color w:val="auto"/>
          <w:vertAlign w:val="superscript"/>
        </w:rPr>
      </w:pPr>
    </w:p>
    <w:p>
      <w:pPr>
        <w:ind w:left="380" w:hanging="372"/>
        <w:spacing w:after="0" w:line="180" w:lineRule="auto"/>
        <w:tabs>
          <w:tab w:leader="none" w:pos="380" w:val="left"/>
        </w:tabs>
        <w:numPr>
          <w:ilvl w:val="0"/>
          <w:numId w:val="63"/>
        </w:numPr>
        <w:rPr>
          <w:rFonts w:ascii="Arial" w:cs="Arial" w:eastAsia="Arial" w:hAnsi="Arial"/>
          <w:sz w:val="16"/>
          <w:szCs w:val="16"/>
          <w:b w:val="1"/>
          <w:bCs w:val="1"/>
          <w:color w:val="auto"/>
          <w:vertAlign w:val="superscript"/>
        </w:rPr>
      </w:pPr>
      <w:r>
        <w:rPr>
          <w:rFonts w:ascii="Arial" w:cs="Arial" w:eastAsia="Arial" w:hAnsi="Arial"/>
          <w:sz w:val="10"/>
          <w:szCs w:val="10"/>
          <w:color w:val="auto"/>
        </w:rPr>
        <w:t>No management or incentive fees are payable by PSLF.</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Developments</w:t>
      </w:r>
    </w:p>
    <w:p>
      <w:pPr>
        <w:spacing w:after="0" w:line="136" w:lineRule="exact"/>
        <w:rPr>
          <w:sz w:val="20"/>
          <w:szCs w:val="20"/>
          <w:color w:val="auto"/>
        </w:rPr>
      </w:pPr>
    </w:p>
    <w:p>
      <w:pPr>
        <w:ind w:right="60" w:firstLine="456"/>
        <w:spacing w:after="0" w:line="244" w:lineRule="auto"/>
        <w:rPr>
          <w:sz w:val="20"/>
          <w:szCs w:val="20"/>
          <w:color w:val="auto"/>
        </w:rPr>
      </w:pPr>
      <w:r>
        <w:rPr>
          <w:rFonts w:ascii="Arial" w:cs="Arial" w:eastAsia="Arial" w:hAnsi="Arial"/>
          <w:sz w:val="13"/>
          <w:szCs w:val="13"/>
          <w:color w:val="auto"/>
        </w:rPr>
        <w:t>Subsequent to September 30, 2021, we entered into an underwriting agreement, or the Underwriting Agreement, dated October 14, 2021, by and among the Company, the Investment Adviser, the Administrator and Raymond James &amp; Associates, Inc., Keefe, Bruyette &amp; Woods, Inc. and Truist Securities, Inc., as representatives of the several underwriters named on Schedule A to the Underwriting Agreement, in connection with the issuance and sale of $165.0 million aggregate principal amount of our 4.0% Notes due 2026, or the 2026-2 Notes. On October 21, 2021, we closed the transaction and issued $165.0 million in aggregate principal amount of our 2026-2 Notes at a public offering price per note of 99.436%. Interest on the 2026-2 Notes is paid semi-annually on May 1 and November 1 of each year, at a rate of 4.0% per year, commencing May 1, 2022. The 2026-2 Notes mature on November 1, 2026 and may be redeemed in whole or in part at our option subject to a make-whole premium if redeemed more than three months prior to maturity. The 2026-2 Notes are general, unsecured obligations and rank equal in right of payment with all of our existing and future senior unsecured indebtedness. The 2026-2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2026-2 Notes on any securities exchange or automated dealer quotation system.</w:t>
      </w:r>
    </w:p>
    <w:p>
      <w:pPr>
        <w:spacing w:after="0" w:line="117" w:lineRule="exact"/>
        <w:rPr>
          <w:sz w:val="20"/>
          <w:szCs w:val="20"/>
          <w:color w:val="auto"/>
        </w:rPr>
      </w:pPr>
    </w:p>
    <w:p>
      <w:pPr>
        <w:ind w:right="220" w:firstLine="456"/>
        <w:spacing w:after="0" w:line="238" w:lineRule="auto"/>
        <w:rPr>
          <w:sz w:val="20"/>
          <w:szCs w:val="20"/>
          <w:color w:val="auto"/>
        </w:rPr>
      </w:pPr>
      <w:r>
        <w:rPr>
          <w:rFonts w:ascii="Arial" w:cs="Arial" w:eastAsia="Arial" w:hAnsi="Arial"/>
          <w:sz w:val="14"/>
          <w:szCs w:val="14"/>
          <w:color w:val="auto"/>
        </w:rPr>
        <w:t>On October 14, 2021, we announced that we will redeem $86,250,000 in principal amount of the 2024 Notes in full on November 13, 2021. We redeemed in full the 2024 Notes with a principal amount of $86.3 million on November 13, 2021. The 2024 Notes were redeemed at a redemption price of $25 per 2024 Note, plus accrued and unpaid interest payments otherwise payable for the then-current quarterly interest period accrued to, but excluding, November 13, 2021.</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Subsequent to quarter end, PNNT had new funded investment of $97.8 million, net of sales and repayments.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136"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53" w:name="page54"/>
    <w:bookmarkEnd w:id="53"/>
    <w:p>
      <w:pPr>
        <w:ind w:right="120" w:firstLine="438"/>
        <w:spacing w:after="0" w:line="231"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103" w:lineRule="exact"/>
        <w:rPr>
          <w:sz w:val="20"/>
          <w:szCs w:val="20"/>
          <w:color w:val="auto"/>
        </w:rPr>
      </w:pPr>
    </w:p>
    <w:p>
      <w:pPr>
        <w:ind w:right="140" w:firstLine="438"/>
        <w:spacing w:after="0" w:line="255" w:lineRule="auto"/>
        <w:rPr>
          <w:sz w:val="20"/>
          <w:szCs w:val="20"/>
          <w:color w:val="auto"/>
        </w:rPr>
      </w:pPr>
      <w:r>
        <w:rPr>
          <w:rFonts w:ascii="Arial" w:cs="Arial" w:eastAsia="Arial" w:hAnsi="Arial"/>
          <w:sz w:val="13"/>
          <w:szCs w:val="13"/>
          <w:color w:val="auto"/>
        </w:rPr>
        <w:t>During the years ended September 30, 2021 and 2020, we declared distributions of $0.48 per share and $0.60 per share, respectively, for total distributions of $32.2 million and $40.2 million.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intend to continue to make quarterly distributions to our stockholders. Our quarterly distributions, if any, are determined by our board of directors.</w:t>
      </w:r>
    </w:p>
    <w:p>
      <w:pPr>
        <w:spacing w:after="0" w:line="136" w:lineRule="exact"/>
        <w:rPr>
          <w:sz w:val="20"/>
          <w:szCs w:val="20"/>
          <w:color w:val="auto"/>
        </w:rPr>
      </w:pPr>
    </w:p>
    <w:p>
      <w:pPr>
        <w:ind w:right="260" w:firstLine="438"/>
        <w:spacing w:after="0" w:line="253"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93"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36" w:lineRule="exact"/>
        <w:rPr>
          <w:sz w:val="20"/>
          <w:szCs w:val="20"/>
          <w:color w:val="auto"/>
        </w:rPr>
      </w:pPr>
    </w:p>
    <w:p>
      <w:pPr>
        <w:ind w:right="180" w:firstLine="438"/>
        <w:spacing w:after="0" w:line="255" w:lineRule="auto"/>
        <w:rPr>
          <w:sz w:val="20"/>
          <w:szCs w:val="20"/>
          <w:color w:val="auto"/>
        </w:rPr>
      </w:pPr>
      <w:r>
        <w:rPr>
          <w:rFonts w:ascii="Arial" w:cs="Arial" w:eastAsia="Arial" w:hAnsi="Arial"/>
          <w:sz w:val="13"/>
          <w:szCs w:val="13"/>
          <w:color w:val="auto"/>
        </w:rPr>
        <w:t>In March 2020, the FASB issued Accounting Standards Update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Company is evaluating the potential impact that the adoption of this guidance will have on the Company’s financial statements.</w:t>
      </w:r>
    </w:p>
    <w:p>
      <w:pPr>
        <w:spacing w:after="0" w:line="103"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27"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September 30, 2021, our debt portfolio consisted of 92% variable-rate investments and 8% fixed-rate investments. The variable-rate loans are usually based on a LIBOR (or an alternative risk-free floating interest rate index)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16" w:lineRule="exact"/>
        <w:rPr>
          <w:sz w:val="20"/>
          <w:szCs w:val="20"/>
          <w:color w:val="auto"/>
        </w:rPr>
      </w:pPr>
    </w:p>
    <w:p>
      <w:pPr>
        <w:ind w:right="80" w:firstLine="438"/>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tbl>
      <w:tblPr>
        <w:tblLayout w:type="fixed"/>
        <w:tblInd w:w="0" w:type="dxa"/>
        <w:tblCellMar>
          <w:top w:w="0" w:type="dxa"/>
          <w:left w:w="0" w:type="dxa"/>
          <w:bottom w:w="0" w:type="dxa"/>
          <w:right w:w="0" w:type="dxa"/>
        </w:tblCellMar>
      </w:tblPr>
      <w:tr>
        <w:trPr>
          <w:trHeight w:val="156"/>
        </w:trPr>
        <w:tc>
          <w:tcPr>
            <w:tcW w:w="3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20" w:type="dxa"/>
            <w:vAlign w:val="bottom"/>
          </w:tcPr>
          <w:p>
            <w:pPr>
              <w:jc w:val="center"/>
              <w:ind w:left="588"/>
              <w:spacing w:after="0" w:line="156" w:lineRule="exact"/>
              <w:rPr>
                <w:sz w:val="20"/>
                <w:szCs w:val="20"/>
                <w:color w:val="auto"/>
              </w:rPr>
            </w:pPr>
            <w:r>
              <w:rPr>
                <w:rFonts w:ascii="Arial" w:cs="Arial" w:eastAsia="Arial" w:hAnsi="Arial"/>
                <w:sz w:val="14"/>
                <w:szCs w:val="14"/>
                <w:b w:val="1"/>
                <w:bCs w:val="1"/>
                <w:color w:val="auto"/>
                <w:w w:val="93"/>
              </w:rPr>
              <w:t>Change in Interest Income,</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120" w:type="dxa"/>
            <w:vAlign w:val="bottom"/>
            <w:gridSpan w:val="2"/>
          </w:tcPr>
          <w:p>
            <w:pPr>
              <w:jc w:val="center"/>
              <w:ind w:right="620"/>
              <w:spacing w:after="0" w:line="156" w:lineRule="exact"/>
              <w:rPr>
                <w:sz w:val="20"/>
                <w:szCs w:val="20"/>
                <w:color w:val="auto"/>
              </w:rPr>
            </w:pPr>
            <w:r>
              <w:rPr>
                <w:rFonts w:ascii="Arial" w:cs="Arial" w:eastAsia="Arial" w:hAnsi="Arial"/>
                <w:sz w:val="14"/>
                <w:szCs w:val="14"/>
                <w:b w:val="1"/>
                <w:bCs w:val="1"/>
                <w:color w:val="auto"/>
                <w:w w:val="92"/>
              </w:rPr>
              <w:t>Change in Interest Income,</w:t>
            </w:r>
          </w:p>
        </w:tc>
        <w:tc>
          <w:tcPr>
            <w:tcW w:w="0" w:type="dxa"/>
            <w:vAlign w:val="bottom"/>
          </w:tcPr>
          <w:p>
            <w:pPr>
              <w:spacing w:after="0"/>
              <w:rPr>
                <w:sz w:val="1"/>
                <w:szCs w:val="1"/>
                <w:color w:val="auto"/>
              </w:rPr>
            </w:pPr>
          </w:p>
        </w:tc>
      </w:tr>
      <w:tr>
        <w:trPr>
          <w:trHeight w:val="149"/>
        </w:trPr>
        <w:tc>
          <w:tcPr>
            <w:tcW w:w="3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Change in Interest Rates</w:t>
            </w:r>
          </w:p>
        </w:tc>
        <w:tc>
          <w:tcPr>
            <w:tcW w:w="220" w:type="dxa"/>
            <w:vAlign w:val="bottom"/>
          </w:tcPr>
          <w:p>
            <w:pPr>
              <w:spacing w:after="0"/>
              <w:rPr>
                <w:sz w:val="12"/>
                <w:szCs w:val="12"/>
                <w:color w:val="auto"/>
              </w:rPr>
            </w:pPr>
          </w:p>
        </w:tc>
        <w:tc>
          <w:tcPr>
            <w:tcW w:w="2820" w:type="dxa"/>
            <w:vAlign w:val="bottom"/>
          </w:tcPr>
          <w:p>
            <w:pPr>
              <w:jc w:val="center"/>
              <w:ind w:left="588"/>
              <w:spacing w:after="0" w:line="149" w:lineRule="exact"/>
              <w:rPr>
                <w:sz w:val="20"/>
                <w:szCs w:val="20"/>
                <w:color w:val="auto"/>
              </w:rPr>
            </w:pPr>
            <w:r>
              <w:rPr>
                <w:rFonts w:ascii="Arial" w:cs="Arial" w:eastAsia="Arial" w:hAnsi="Arial"/>
                <w:sz w:val="14"/>
                <w:szCs w:val="14"/>
                <w:b w:val="1"/>
                <w:bCs w:val="1"/>
                <w:color w:val="auto"/>
                <w:w w:val="92"/>
              </w:rPr>
              <w:t>Net of Interest Expense</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Net of Interest</w:t>
            </w: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tcPr>
          <w:p>
            <w:pPr>
              <w:jc w:val="center"/>
              <w:ind w:left="588"/>
              <w:spacing w:after="0"/>
              <w:rPr>
                <w:sz w:val="20"/>
                <w:szCs w:val="20"/>
                <w:color w:val="auto"/>
              </w:rPr>
            </w:pPr>
            <w:r>
              <w:rPr>
                <w:rFonts w:ascii="Arial" w:cs="Arial" w:eastAsia="Arial" w:hAnsi="Arial"/>
                <w:sz w:val="14"/>
                <w:szCs w:val="14"/>
                <w:b w:val="1"/>
                <w:bCs w:val="1"/>
                <w:color w:val="auto"/>
                <w:w w:val="91"/>
              </w:rPr>
              <w:t>(in thousands)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Expense Per Share</w:t>
            </w:r>
          </w:p>
        </w:tc>
        <w:tc>
          <w:tcPr>
            <w:tcW w:w="0" w:type="dxa"/>
            <w:vAlign w:val="bottom"/>
          </w:tcPr>
          <w:p>
            <w:pPr>
              <w:spacing w:after="0"/>
              <w:rPr>
                <w:sz w:val="1"/>
                <w:szCs w:val="1"/>
                <w:color w:val="auto"/>
              </w:rPr>
            </w:pPr>
          </w:p>
        </w:tc>
      </w:tr>
      <w:tr>
        <w:trPr>
          <w:trHeight w:val="155"/>
        </w:trPr>
        <w:tc>
          <w:tcPr>
            <w:tcW w:w="36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6"/>
              </w:rPr>
              <w:t>Down 1%</w:t>
            </w:r>
          </w:p>
        </w:tc>
        <w:tc>
          <w:tcPr>
            <w:tcW w:w="220" w:type="dxa"/>
            <w:vAlign w:val="bottom"/>
            <w:tcBorders>
              <w:top w:val="single" w:sz="8" w:color="CCECFF"/>
            </w:tcBorders>
            <w:shd w:val="clear" w:color="auto" w:fill="CCECFF"/>
          </w:tcPr>
          <w:p>
            <w:pPr>
              <w:spacing w:after="0"/>
              <w:rPr>
                <w:sz w:val="13"/>
                <w:szCs w:val="13"/>
                <w:color w:val="auto"/>
              </w:rPr>
            </w:pPr>
          </w:p>
        </w:tc>
        <w:tc>
          <w:tcPr>
            <w:tcW w:w="2820" w:type="dxa"/>
            <w:vAlign w:val="bottom"/>
            <w:tcBorders>
              <w:top w:val="single" w:sz="8" w:color="auto"/>
            </w:tcBorders>
            <w:shd w:val="clear" w:color="auto" w:fill="CCECFF"/>
          </w:tcPr>
          <w:p>
            <w:pPr>
              <w:jc w:val="right"/>
              <w:ind w:right="266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349</w:t>
            </w:r>
          </w:p>
        </w:tc>
        <w:tc>
          <w:tcPr>
            <w:tcW w:w="2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69"/>
              <w:spacing w:after="0"/>
              <w:rPr>
                <w:sz w:val="20"/>
                <w:szCs w:val="20"/>
                <w:color w:val="auto"/>
              </w:rPr>
            </w:pPr>
            <w:r>
              <w:rPr>
                <w:rFonts w:ascii="Arial" w:cs="Arial" w:eastAsia="Arial" w:hAnsi="Arial"/>
                <w:sz w:val="10"/>
                <w:szCs w:val="10"/>
                <w:color w:val="auto"/>
                <w:w w:val="71"/>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0.01</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1%</w:t>
            </w:r>
          </w:p>
        </w:tc>
        <w:tc>
          <w:tcPr>
            <w:tcW w:w="2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(2,345)</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right"/>
              <w:ind w:right="80"/>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2%</w:t>
            </w:r>
          </w:p>
        </w:tc>
        <w:tc>
          <w:tcPr>
            <w:tcW w:w="220" w:type="dxa"/>
            <w:vAlign w:val="bottom"/>
            <w:shd w:val="clear" w:color="auto" w:fill="CCECFF"/>
          </w:tcPr>
          <w:p>
            <w:pPr>
              <w:spacing w:after="0"/>
              <w:rPr>
                <w:sz w:val="14"/>
                <w:szCs w:val="14"/>
                <w:color w:val="auto"/>
              </w:rPr>
            </w:pPr>
          </w:p>
        </w:tc>
        <w:tc>
          <w:tcPr>
            <w:tcW w:w="282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2,426</w:t>
            </w:r>
          </w:p>
        </w:tc>
        <w:tc>
          <w:tcPr>
            <w:tcW w:w="2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480" w:type="dxa"/>
            <w:vAlign w:val="bottom"/>
            <w:shd w:val="clear" w:color="auto" w:fill="CCECFF"/>
          </w:tcPr>
          <w:p>
            <w:pPr>
              <w:spacing w:after="0"/>
              <w:rPr>
                <w:sz w:val="14"/>
                <w:szCs w:val="14"/>
                <w:color w:val="auto"/>
              </w:rPr>
            </w:pP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3%</w:t>
            </w:r>
          </w:p>
        </w:tc>
        <w:tc>
          <w:tcPr>
            <w:tcW w:w="2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7,198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0" w:type="dxa"/>
            <w:vAlign w:val="bottom"/>
          </w:tcPr>
          <w:p>
            <w:pPr>
              <w:jc w:val="right"/>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4%</w:t>
            </w:r>
          </w:p>
        </w:tc>
        <w:tc>
          <w:tcPr>
            <w:tcW w:w="3040" w:type="dxa"/>
            <w:vAlign w:val="bottom"/>
            <w:gridSpan w:val="2"/>
            <w:shd w:val="clear" w:color="auto" w:fill="CCECFF"/>
          </w:tcPr>
          <w:p>
            <w:pPr>
              <w:jc w:val="right"/>
              <w:ind w:right="26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11,969</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15" w:lineRule="exact"/>
        <w:rPr>
          <w:sz w:val="20"/>
          <w:szCs w:val="20"/>
          <w:color w:val="auto"/>
        </w:rPr>
      </w:pPr>
    </w:p>
    <w:p>
      <w:pPr>
        <w:jc w:val="both"/>
        <w:ind w:right="160" w:firstLine="438"/>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02" w:lineRule="exact"/>
        <w:rPr>
          <w:sz w:val="20"/>
          <w:szCs w:val="20"/>
          <w:color w:val="auto"/>
        </w:rPr>
      </w:pPr>
    </w:p>
    <w:p>
      <w:pPr>
        <w:ind w:right="60" w:firstLine="438"/>
        <w:spacing w:after="0" w:line="255" w:lineRule="auto"/>
        <w:rPr>
          <w:sz w:val="20"/>
          <w:szCs w:val="20"/>
          <w:color w:val="auto"/>
        </w:rPr>
      </w:pPr>
      <w:r>
        <w:rPr>
          <w:rFonts w:ascii="Arial" w:cs="Arial" w:eastAsia="Arial" w:hAnsi="Arial"/>
          <w:sz w:val="13"/>
          <w:szCs w:val="13"/>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86"/>
        </w:trPr>
        <w:tc>
          <w:tcPr>
            <w:tcW w:w="760" w:type="dxa"/>
            <w:vAlign w:val="bottom"/>
          </w:tcPr>
          <w:p>
            <w:pPr>
              <w:spacing w:after="0"/>
              <w:rPr>
                <w:sz w:val="20"/>
                <w:szCs w:val="20"/>
                <w:color w:val="auto"/>
              </w:rPr>
            </w:pPr>
            <w:r>
              <w:rPr>
                <w:rFonts w:ascii="Arial" w:cs="Arial" w:eastAsia="Arial" w:hAnsi="Arial"/>
                <w:sz w:val="14"/>
                <w:szCs w:val="14"/>
                <w:b w:val="1"/>
                <w:bCs w:val="1"/>
                <w:color w:val="auto"/>
              </w:rPr>
              <w:t>Item 8.</w:t>
            </w:r>
          </w:p>
        </w:tc>
        <w:tc>
          <w:tcPr>
            <w:tcW w:w="7740" w:type="dxa"/>
            <w:vAlign w:val="bottom"/>
            <w:gridSpan w:val="10"/>
          </w:tcPr>
          <w:p>
            <w:pPr>
              <w:ind w:left="320"/>
              <w:spacing w:after="0"/>
              <w:rPr>
                <w:sz w:val="20"/>
                <w:szCs w:val="20"/>
                <w:color w:val="auto"/>
              </w:rPr>
            </w:pPr>
            <w:r>
              <w:rPr>
                <w:rFonts w:ascii="Arial" w:cs="Arial" w:eastAsia="Arial" w:hAnsi="Arial"/>
                <w:sz w:val="14"/>
                <w:szCs w:val="14"/>
                <w:b w:val="1"/>
                <w:bCs w:val="1"/>
                <w:color w:val="auto"/>
              </w:rPr>
              <w:t>Consolidated Financial Statements and Supplementary Data</w:t>
            </w:r>
          </w:p>
        </w:tc>
        <w:tc>
          <w:tcPr>
            <w:tcW w:w="2760" w:type="dxa"/>
            <w:vAlign w:val="bottom"/>
          </w:tcPr>
          <w:p>
            <w:pPr>
              <w:spacing w:after="0"/>
              <w:rPr>
                <w:sz w:val="16"/>
                <w:szCs w:val="16"/>
                <w:color w:val="auto"/>
              </w:rPr>
            </w:pPr>
          </w:p>
        </w:tc>
      </w:tr>
      <w:tr>
        <w:trPr>
          <w:trHeight w:val="317"/>
        </w:trPr>
        <w:tc>
          <w:tcPr>
            <w:tcW w:w="7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760" w:type="dxa"/>
            <w:vAlign w:val="bottom"/>
          </w:tcPr>
          <w:p>
            <w:pPr>
              <w:jc w:val="right"/>
              <w:ind w:right="68"/>
              <w:spacing w:after="0"/>
              <w:rPr>
                <w:sz w:val="20"/>
                <w:szCs w:val="20"/>
                <w:color w:val="auto"/>
              </w:rPr>
            </w:pPr>
            <w:r>
              <w:rPr>
                <w:rFonts w:ascii="Arial" w:cs="Arial" w:eastAsia="Arial" w:hAnsi="Arial"/>
                <w:sz w:val="14"/>
                <w:szCs w:val="14"/>
                <w:b w:val="1"/>
                <w:bCs w:val="1"/>
                <w:color w:val="auto"/>
              </w:rPr>
              <w:t>Page</w:t>
            </w:r>
          </w:p>
        </w:tc>
      </w:tr>
      <w:tr>
        <w:trPr>
          <w:trHeight w:val="154"/>
        </w:trPr>
        <w:tc>
          <w:tcPr>
            <w:tcW w:w="3900" w:type="dxa"/>
            <w:vAlign w:val="bottom"/>
            <w:tcBorders>
              <w:bottom w:val="single" w:sz="8" w:color="0000EE"/>
            </w:tcBorders>
            <w:gridSpan w:val="4"/>
          </w:tcPr>
          <w:p>
            <w:pPr>
              <w:spacing w:after="0" w:line="154" w:lineRule="exact"/>
              <w:rPr>
                <w:rFonts w:ascii="Arial" w:cs="Arial" w:eastAsia="Arial" w:hAnsi="Arial"/>
                <w:sz w:val="14"/>
                <w:szCs w:val="14"/>
                <w:color w:val="0000EE"/>
                <w:w w:val="94"/>
              </w:rPr>
            </w:pPr>
            <w:hyperlink w:anchor="page56">
              <w:r>
                <w:rPr>
                  <w:rFonts w:ascii="Arial" w:cs="Arial" w:eastAsia="Arial" w:hAnsi="Arial"/>
                  <w:sz w:val="14"/>
                  <w:szCs w:val="14"/>
                  <w:color w:val="0000EE"/>
                  <w:w w:val="94"/>
                </w:rPr>
                <w:t>Management’s Report on Internal Control over Financial Reporting</w:t>
              </w:r>
            </w:hyperlink>
          </w:p>
        </w:tc>
        <w:tc>
          <w:tcPr>
            <w:tcW w:w="4600" w:type="dxa"/>
            <w:vAlign w:val="bottom"/>
            <w:gridSpan w:val="7"/>
          </w:tcPr>
          <w:p>
            <w:pPr>
              <w:spacing w:after="0"/>
              <w:rPr>
                <w:sz w:val="13"/>
                <w:szCs w:val="13"/>
                <w:color w:val="auto"/>
              </w:rPr>
            </w:pPr>
          </w:p>
        </w:tc>
        <w:tc>
          <w:tcPr>
            <w:tcW w:w="2760" w:type="dxa"/>
            <w:vAlign w:val="bottom"/>
          </w:tcPr>
          <w:p>
            <w:pPr>
              <w:jc w:val="right"/>
              <w:spacing w:after="0" w:line="154" w:lineRule="exact"/>
              <w:rPr>
                <w:sz w:val="20"/>
                <w:szCs w:val="20"/>
                <w:color w:val="auto"/>
              </w:rPr>
            </w:pPr>
            <w:r>
              <w:rPr>
                <w:rFonts w:ascii="Arial" w:cs="Arial" w:eastAsia="Arial" w:hAnsi="Arial"/>
                <w:sz w:val="14"/>
                <w:szCs w:val="14"/>
                <w:color w:val="auto"/>
              </w:rPr>
              <w:t>56</w:t>
            </w:r>
          </w:p>
        </w:tc>
      </w:tr>
      <w:tr>
        <w:trPr>
          <w:trHeight w:val="331"/>
        </w:trPr>
        <w:tc>
          <w:tcPr>
            <w:tcW w:w="3380" w:type="dxa"/>
            <w:vAlign w:val="bottom"/>
            <w:tcBorders>
              <w:bottom w:val="single" w:sz="8" w:color="0000EE"/>
            </w:tcBorders>
            <w:gridSpan w:val="3"/>
          </w:tcPr>
          <w:p>
            <w:pPr>
              <w:spacing w:after="0"/>
              <w:rPr>
                <w:rFonts w:ascii="Arial" w:cs="Arial" w:eastAsia="Arial" w:hAnsi="Arial"/>
                <w:sz w:val="14"/>
                <w:szCs w:val="14"/>
                <w:color w:val="0000EE"/>
                <w:w w:val="93"/>
              </w:rPr>
            </w:pPr>
            <w:hyperlink w:anchor="page57">
              <w:r>
                <w:rPr>
                  <w:rFonts w:ascii="Arial" w:cs="Arial" w:eastAsia="Arial" w:hAnsi="Arial"/>
                  <w:sz w:val="14"/>
                  <w:szCs w:val="14"/>
                  <w:color w:val="0000EE"/>
                  <w:w w:val="93"/>
                </w:rPr>
                <w:t>Report of Independent Registered Public Accounting Firm</w:t>
              </w:r>
            </w:hyperlink>
          </w:p>
        </w:tc>
        <w:tc>
          <w:tcPr>
            <w:tcW w:w="5120" w:type="dxa"/>
            <w:vAlign w:val="bottom"/>
            <w:gridSpan w:val="8"/>
          </w:tcPr>
          <w:p>
            <w:pPr>
              <w:spacing w:after="0"/>
              <w:rPr>
                <w:sz w:val="24"/>
                <w:szCs w:val="24"/>
                <w:color w:val="auto"/>
              </w:rPr>
            </w:pPr>
          </w:p>
        </w:tc>
        <w:tc>
          <w:tcPr>
            <w:tcW w:w="276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331"/>
        </w:trPr>
        <w:tc>
          <w:tcPr>
            <w:tcW w:w="8500" w:type="dxa"/>
            <w:vAlign w:val="bottom"/>
            <w:gridSpan w:val="11"/>
          </w:tcPr>
          <w:p>
            <w:pPr>
              <w:spacing w:after="0"/>
              <w:rPr>
                <w:rFonts w:ascii="Arial" w:cs="Arial" w:eastAsia="Arial" w:hAnsi="Arial"/>
                <w:sz w:val="14"/>
                <w:szCs w:val="14"/>
                <w:color w:val="0000EE"/>
              </w:rPr>
            </w:pPr>
            <w:hyperlink w:anchor="page58">
              <w:r>
                <w:rPr>
                  <w:rFonts w:ascii="Arial" w:cs="Arial" w:eastAsia="Arial" w:hAnsi="Arial"/>
                  <w:sz w:val="14"/>
                  <w:szCs w:val="14"/>
                  <w:color w:val="0000EE"/>
                </w:rPr>
                <w:t>Report of Independent Registered Public Accounting Firm on Internal Control Over Financial Reporting</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331"/>
        </w:trPr>
        <w:tc>
          <w:tcPr>
            <w:tcW w:w="4940" w:type="dxa"/>
            <w:vAlign w:val="bottom"/>
            <w:tcBorders>
              <w:top w:val="single" w:sz="8" w:color="0000EE"/>
              <w:bottom w:val="single" w:sz="8" w:color="0000EE"/>
            </w:tcBorders>
            <w:gridSpan w:val="6"/>
          </w:tcPr>
          <w:p>
            <w:pPr>
              <w:spacing w:after="0"/>
              <w:rPr>
                <w:rFonts w:ascii="Arial" w:cs="Arial" w:eastAsia="Arial" w:hAnsi="Arial"/>
                <w:sz w:val="14"/>
                <w:szCs w:val="14"/>
                <w:color w:val="0000EE"/>
                <w:w w:val="92"/>
              </w:rPr>
            </w:pPr>
            <w:hyperlink w:anchor="page59">
              <w:r>
                <w:rPr>
                  <w:rFonts w:ascii="Arial" w:cs="Arial" w:eastAsia="Arial" w:hAnsi="Arial"/>
                  <w:sz w:val="14"/>
                  <w:szCs w:val="14"/>
                  <w:color w:val="0000EE"/>
                  <w:w w:val="92"/>
                </w:rPr>
                <w:t>Consolidated Statements of Assets and Liabilities as of September 30, 2021 and 2020</w:t>
              </w:r>
            </w:hyperlink>
          </w:p>
        </w:tc>
        <w:tc>
          <w:tcPr>
            <w:tcW w:w="1080" w:type="dxa"/>
            <w:vAlign w:val="bottom"/>
            <w:tcBorders>
              <w:top w:val="single" w:sz="8" w:color="0000EE"/>
            </w:tcBorders>
            <w:gridSpan w:val="3"/>
          </w:tcPr>
          <w:p>
            <w:pPr>
              <w:spacing w:after="0"/>
              <w:rPr>
                <w:sz w:val="24"/>
                <w:szCs w:val="24"/>
                <w:color w:val="auto"/>
              </w:rPr>
            </w:pPr>
          </w:p>
        </w:tc>
        <w:tc>
          <w:tcPr>
            <w:tcW w:w="2480" w:type="dxa"/>
            <w:vAlign w:val="bottom"/>
            <w:gridSpan w:val="2"/>
          </w:tcPr>
          <w:p>
            <w:pPr>
              <w:spacing w:after="0"/>
              <w:rPr>
                <w:sz w:val="24"/>
                <w:szCs w:val="24"/>
                <w:color w:val="auto"/>
              </w:rPr>
            </w:pPr>
          </w:p>
        </w:tc>
        <w:tc>
          <w:tcPr>
            <w:tcW w:w="276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331"/>
        </w:trPr>
        <w:tc>
          <w:tcPr>
            <w:tcW w:w="8500" w:type="dxa"/>
            <w:vAlign w:val="bottom"/>
            <w:gridSpan w:val="11"/>
          </w:tcPr>
          <w:p>
            <w:pPr>
              <w:spacing w:after="0"/>
              <w:rPr>
                <w:rFonts w:ascii="Arial" w:cs="Arial" w:eastAsia="Arial" w:hAnsi="Arial"/>
                <w:sz w:val="14"/>
                <w:szCs w:val="14"/>
                <w:color w:val="0000EE"/>
              </w:rPr>
            </w:pPr>
            <w:hyperlink w:anchor="page60">
              <w:r>
                <w:rPr>
                  <w:rFonts w:ascii="Arial" w:cs="Arial" w:eastAsia="Arial" w:hAnsi="Arial"/>
                  <w:sz w:val="14"/>
                  <w:szCs w:val="14"/>
                  <w:color w:val="0000EE"/>
                </w:rPr>
                <w:t>Consolidated Statements of Operations for the years ended September 30, 2021, 2020 and 2019</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0"/>
        </w:trPr>
        <w:tc>
          <w:tcPr>
            <w:tcW w:w="2740" w:type="dxa"/>
            <w:vAlign w:val="bottom"/>
            <w:gridSpan w:val="2"/>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331"/>
        </w:trPr>
        <w:tc>
          <w:tcPr>
            <w:tcW w:w="6180" w:type="dxa"/>
            <w:vAlign w:val="bottom"/>
            <w:tcBorders>
              <w:bottom w:val="single" w:sz="8" w:color="0000EE"/>
            </w:tcBorders>
            <w:gridSpan w:val="10"/>
          </w:tcPr>
          <w:p>
            <w:pPr>
              <w:spacing w:after="0"/>
              <w:rPr>
                <w:rFonts w:ascii="Arial" w:cs="Arial" w:eastAsia="Arial" w:hAnsi="Arial"/>
                <w:sz w:val="14"/>
                <w:szCs w:val="14"/>
                <w:color w:val="0000EE"/>
                <w:w w:val="91"/>
              </w:rPr>
            </w:pPr>
            <w:hyperlink w:anchor="page61">
              <w:r>
                <w:rPr>
                  <w:rFonts w:ascii="Arial" w:cs="Arial" w:eastAsia="Arial" w:hAnsi="Arial"/>
                  <w:sz w:val="14"/>
                  <w:szCs w:val="14"/>
                  <w:color w:val="0000EE"/>
                  <w:w w:val="91"/>
                </w:rPr>
                <w:t>Consolidated Statements of Changes in Net Assets for the years ended September 30, 2021, 2020 and 2019</w:t>
              </w:r>
            </w:hyperlink>
          </w:p>
        </w:tc>
        <w:tc>
          <w:tcPr>
            <w:tcW w:w="2320" w:type="dxa"/>
            <w:vAlign w:val="bottom"/>
          </w:tcPr>
          <w:p>
            <w:pPr>
              <w:spacing w:after="0"/>
              <w:rPr>
                <w:sz w:val="24"/>
                <w:szCs w:val="24"/>
                <w:color w:val="auto"/>
              </w:rPr>
            </w:pPr>
          </w:p>
        </w:tc>
        <w:tc>
          <w:tcPr>
            <w:tcW w:w="276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331"/>
        </w:trPr>
        <w:tc>
          <w:tcPr>
            <w:tcW w:w="5560" w:type="dxa"/>
            <w:vAlign w:val="bottom"/>
            <w:tcBorders>
              <w:bottom w:val="single" w:sz="8" w:color="0000EE"/>
            </w:tcBorders>
            <w:gridSpan w:val="8"/>
          </w:tcPr>
          <w:p>
            <w:pPr>
              <w:spacing w:after="0"/>
              <w:rPr>
                <w:rFonts w:ascii="Arial" w:cs="Arial" w:eastAsia="Arial" w:hAnsi="Arial"/>
                <w:sz w:val="14"/>
                <w:szCs w:val="14"/>
                <w:color w:val="0000EE"/>
                <w:w w:val="91"/>
              </w:rPr>
            </w:pPr>
            <w:hyperlink w:anchor="page62">
              <w:r>
                <w:rPr>
                  <w:rFonts w:ascii="Arial" w:cs="Arial" w:eastAsia="Arial" w:hAnsi="Arial"/>
                  <w:sz w:val="14"/>
                  <w:szCs w:val="14"/>
                  <w:color w:val="0000EE"/>
                  <w:w w:val="91"/>
                </w:rPr>
                <w:t>Consolidated Statements of Cash Flows for the years ended September 30, 2021, 2020 and 2019</w:t>
              </w:r>
            </w:hyperlink>
          </w:p>
        </w:tc>
        <w:tc>
          <w:tcPr>
            <w:tcW w:w="2940" w:type="dxa"/>
            <w:vAlign w:val="bottom"/>
            <w:gridSpan w:val="3"/>
          </w:tcPr>
          <w:p>
            <w:pPr>
              <w:spacing w:after="0"/>
              <w:rPr>
                <w:sz w:val="24"/>
                <w:szCs w:val="24"/>
                <w:color w:val="auto"/>
              </w:rPr>
            </w:pPr>
          </w:p>
        </w:tc>
        <w:tc>
          <w:tcPr>
            <w:tcW w:w="276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331"/>
        </w:trPr>
        <w:tc>
          <w:tcPr>
            <w:tcW w:w="8500" w:type="dxa"/>
            <w:vAlign w:val="bottom"/>
            <w:gridSpan w:val="11"/>
          </w:tcPr>
          <w:p>
            <w:pPr>
              <w:spacing w:after="0"/>
              <w:rPr>
                <w:rFonts w:ascii="Arial" w:cs="Arial" w:eastAsia="Arial" w:hAnsi="Arial"/>
                <w:sz w:val="14"/>
                <w:szCs w:val="14"/>
                <w:color w:val="0000EE"/>
              </w:rPr>
            </w:pPr>
            <w:hyperlink w:anchor="page63">
              <w:r>
                <w:rPr>
                  <w:rFonts w:ascii="Arial" w:cs="Arial" w:eastAsia="Arial" w:hAnsi="Arial"/>
                  <w:sz w:val="14"/>
                  <w:szCs w:val="14"/>
                  <w:color w:val="0000EE"/>
                </w:rPr>
                <w:t>Consolidated Schedules of Investments as of September 30, 2021 and 2020</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331"/>
        </w:trPr>
        <w:tc>
          <w:tcPr>
            <w:tcW w:w="2740" w:type="dxa"/>
            <w:vAlign w:val="bottom"/>
            <w:tcBorders>
              <w:top w:val="single" w:sz="8" w:color="0000EE"/>
              <w:bottom w:val="single" w:sz="8" w:color="0000EE"/>
            </w:tcBorders>
            <w:gridSpan w:val="2"/>
          </w:tcPr>
          <w:p>
            <w:pPr>
              <w:spacing w:after="0"/>
              <w:rPr>
                <w:rFonts w:ascii="Arial" w:cs="Arial" w:eastAsia="Arial" w:hAnsi="Arial"/>
                <w:sz w:val="14"/>
                <w:szCs w:val="14"/>
                <w:color w:val="0000EE"/>
                <w:w w:val="91"/>
              </w:rPr>
            </w:pPr>
            <w:hyperlink w:anchor="page71">
              <w:r>
                <w:rPr>
                  <w:rFonts w:ascii="Arial" w:cs="Arial" w:eastAsia="Arial" w:hAnsi="Arial"/>
                  <w:sz w:val="14"/>
                  <w:szCs w:val="14"/>
                  <w:color w:val="0000EE"/>
                  <w:w w:val="91"/>
                </w:rPr>
                <w:t>Notes to the Consolidated Financial Statements</w:t>
              </w:r>
            </w:hyperlink>
          </w:p>
        </w:tc>
        <w:tc>
          <w:tcPr>
            <w:tcW w:w="1600" w:type="dxa"/>
            <w:vAlign w:val="bottom"/>
            <w:tcBorders>
              <w:top w:val="single" w:sz="8" w:color="0000EE"/>
            </w:tcBorders>
            <w:gridSpan w:val="3"/>
          </w:tcPr>
          <w:p>
            <w:pPr>
              <w:spacing w:after="0"/>
              <w:rPr>
                <w:sz w:val="24"/>
                <w:szCs w:val="24"/>
                <w:color w:val="auto"/>
              </w:rPr>
            </w:pPr>
          </w:p>
        </w:tc>
        <w:tc>
          <w:tcPr>
            <w:tcW w:w="4160" w:type="dxa"/>
            <w:vAlign w:val="bottom"/>
            <w:gridSpan w:val="6"/>
          </w:tcPr>
          <w:p>
            <w:pPr>
              <w:spacing w:after="0"/>
              <w:rPr>
                <w:sz w:val="24"/>
                <w:szCs w:val="24"/>
                <w:color w:val="auto"/>
              </w:rPr>
            </w:pPr>
          </w:p>
        </w:tc>
        <w:tc>
          <w:tcPr>
            <w:tcW w:w="276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521"/>
        </w:trPr>
        <w:tc>
          <w:tcPr>
            <w:tcW w:w="760" w:type="dxa"/>
            <w:vAlign w:val="bottom"/>
          </w:tcPr>
          <w:p>
            <w:pPr>
              <w:spacing w:after="0"/>
              <w:rPr>
                <w:sz w:val="24"/>
                <w:szCs w:val="24"/>
                <w:color w:val="auto"/>
              </w:rPr>
            </w:pPr>
          </w:p>
        </w:tc>
        <w:tc>
          <w:tcPr>
            <w:tcW w:w="5260" w:type="dxa"/>
            <w:vAlign w:val="bottom"/>
            <w:gridSpan w:val="8"/>
          </w:tcPr>
          <w:p>
            <w:pPr>
              <w:jc w:val="right"/>
              <w:ind w:right="320"/>
              <w:spacing w:after="0"/>
              <w:rPr>
                <w:sz w:val="20"/>
                <w:szCs w:val="20"/>
                <w:color w:val="auto"/>
              </w:rPr>
            </w:pPr>
            <w:r>
              <w:rPr>
                <w:rFonts w:ascii="Arial" w:cs="Arial" w:eastAsia="Arial" w:hAnsi="Arial"/>
                <w:sz w:val="14"/>
                <w:szCs w:val="14"/>
                <w:color w:val="auto"/>
              </w:rPr>
              <w:t>55</w:t>
            </w:r>
          </w:p>
        </w:tc>
        <w:tc>
          <w:tcPr>
            <w:tcW w:w="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100"/>
        </w:trPr>
        <w:tc>
          <w:tcPr>
            <w:tcW w:w="760" w:type="dxa"/>
            <w:vAlign w:val="bottom"/>
            <w:tcBorders>
              <w:bottom w:val="single" w:sz="8" w:color="9A9A9A"/>
            </w:tcBorders>
          </w:tcPr>
          <w:p>
            <w:pPr>
              <w:spacing w:after="0"/>
              <w:rPr>
                <w:sz w:val="8"/>
                <w:szCs w:val="8"/>
                <w:color w:val="auto"/>
              </w:rPr>
            </w:pPr>
          </w:p>
        </w:tc>
        <w:tc>
          <w:tcPr>
            <w:tcW w:w="19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320" w:type="dxa"/>
            <w:vAlign w:val="bottom"/>
            <w:tcBorders>
              <w:bottom w:val="single" w:sz="8" w:color="9A9A9A"/>
            </w:tcBorders>
          </w:tcPr>
          <w:p>
            <w:pPr>
              <w:spacing w:after="0"/>
              <w:rPr>
                <w:sz w:val="8"/>
                <w:szCs w:val="8"/>
                <w:color w:val="auto"/>
              </w:rPr>
            </w:pPr>
          </w:p>
        </w:tc>
        <w:tc>
          <w:tcPr>
            <w:tcW w:w="27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55" w:name="page56"/>
    <w:bookmarkEnd w:id="55"/>
    <w:p>
      <w:pPr>
        <w:jc w:val="center"/>
        <w:ind w:right="-59"/>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140"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The management of PennantPark Investment Corporation (except where the context suggests otherwise, the terms “we,” “us,” “our” and “PennantPark Investment” refer to PennantPark Investment Corporation and its Subsidiaries) is responsible for establishing and maintaining adequate internal control over financial reporting, as such term is defined in Exchange Act Rule 13a-15(f), and for performing an assessment of the effectiveness of internal control over financial reporting as of September 30, 2021. Our internal control system is a process designed to provide reasonable assurance to our management and board of directors regarding the preparation and fair presentation of published financial statements.</w:t>
      </w:r>
    </w:p>
    <w:p>
      <w:pPr>
        <w:spacing w:after="0" w:line="94"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PennantPark Investment’s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107"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5"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 xml:space="preserve">Management assessed the effectiveness of PennantPark Investment’s internal control over financial reporting as of September 30, 2021. In making this assessment, we used the criteria set forth by the Committee of Sponsoring Organizations of the Treadway Commission in 2013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Based on the assessment management believes that, as of September 30, 2021, our internal control over financial reporting is effective based on those criteria.</w:t>
      </w:r>
    </w:p>
    <w:p>
      <w:pPr>
        <w:spacing w:after="0" w:line="102"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PennantPark Investment’s independent registered public accounting firm has issued an audit report on the effectiveness of our internal control over financial reporting as of September 30, 2021. This report appears on page 57.</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56" w:name="page57"/>
    <w:bookmarkEnd w:id="56"/>
    <w:p>
      <w:pPr>
        <w:jc w:val="center"/>
        <w:ind w:right="-7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the Board of Directors of</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4" w:lineRule="exact"/>
        <w:rPr>
          <w:sz w:val="20"/>
          <w:szCs w:val="20"/>
          <w:color w:val="auto"/>
        </w:rPr>
      </w:pPr>
    </w:p>
    <w:p>
      <w:pPr>
        <w:ind w:right="140"/>
        <w:spacing w:after="0" w:line="246" w:lineRule="auto"/>
        <w:rPr>
          <w:sz w:val="20"/>
          <w:szCs w:val="20"/>
          <w:color w:val="auto"/>
        </w:rPr>
      </w:pPr>
      <w:r>
        <w:rPr>
          <w:rFonts w:ascii="Arial" w:cs="Arial" w:eastAsia="Arial" w:hAnsi="Arial"/>
          <w:sz w:val="13"/>
          <w:szCs w:val="13"/>
          <w:color w:val="auto"/>
        </w:rPr>
        <w:t>We have audited the accompanying consolidated statements of assets and liabilities of PennantPark Investment Corporation and its Subsidiaries (the Company), including the consolidated schedules of investments, as of September 30, 2021 and 2020, the related consolidated statements of operations, changes in net assets, and cash flows for each of the three years in the period ended September 30, 2021, and the related notes to the consolidated financial statements (collectively, the financial statements). In our opinion, the financial statements present fairly, in all material respects, the financial position of the Company as of September 30, 2021 and 2020, and the results of its operations, changes in net assets, and cash flows for each of the three years in the period ended September 30, 2021, in conformity with accounting principles generally accepted in the United States of America.</w:t>
      </w:r>
    </w:p>
    <w:p>
      <w:pPr>
        <w:spacing w:after="0" w:line="113" w:lineRule="exact"/>
        <w:rPr>
          <w:sz w:val="20"/>
          <w:szCs w:val="20"/>
          <w:color w:val="auto"/>
        </w:rPr>
      </w:pPr>
    </w:p>
    <w:p>
      <w:pPr>
        <w:ind w:right="20"/>
        <w:spacing w:after="0" w:line="264" w:lineRule="auto"/>
        <w:rPr>
          <w:sz w:val="20"/>
          <w:szCs w:val="20"/>
          <w:color w:val="auto"/>
        </w:rPr>
      </w:pPr>
      <w:r>
        <w:rPr>
          <w:rFonts w:ascii="Arial" w:cs="Arial" w:eastAsia="Arial" w:hAnsi="Arial"/>
          <w:sz w:val="13"/>
          <w:szCs w:val="13"/>
          <w:color w:val="auto"/>
        </w:rPr>
        <w:t>We have also audited, in accordance with the standards of the Public Company Accounting Oversight Board (United States) (PCAOB), the Company's internal control over financial reporting as of September 30, 2021, based on criteria established in Internal Control — Integrated Framework issued by the Committee of Sponsoring Organizations of the Treadway Commission in 2013, and our report dated November 17, 2021, expressed an unqualified opinion on the effectiveness of the Company’s internal control over financial reporting.</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4" w:lineRule="exact"/>
        <w:rPr>
          <w:sz w:val="20"/>
          <w:szCs w:val="20"/>
          <w:color w:val="auto"/>
        </w:rPr>
      </w:pPr>
    </w:p>
    <w:p>
      <w:pPr>
        <w:ind w:right="80"/>
        <w:spacing w:after="0" w:line="232"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15" w:lineRule="exact"/>
        <w:rPr>
          <w:sz w:val="20"/>
          <w:szCs w:val="20"/>
          <w:color w:val="auto"/>
        </w:rPr>
      </w:pPr>
    </w:p>
    <w:p>
      <w:pPr>
        <w:ind w:right="40"/>
        <w:spacing w:after="0" w:line="253"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w:t>
      </w:r>
    </w:p>
    <w:p>
      <w:pPr>
        <w:spacing w:after="0" w:line="106"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procedures included confirmation of securities owned as of September 30, 2021 and 2020, by correspondence with the custodians and brokers or by other appropriate auditing procedures where replies from brokers were not received.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Audit Matters</w:t>
      </w:r>
    </w:p>
    <w:p>
      <w:pPr>
        <w:spacing w:after="0" w:line="4" w:lineRule="exact"/>
        <w:rPr>
          <w:sz w:val="20"/>
          <w:szCs w:val="20"/>
          <w:color w:val="auto"/>
        </w:rPr>
      </w:pPr>
    </w:p>
    <w:p>
      <w:pPr>
        <w:ind w:right="100"/>
        <w:spacing w:after="0" w:line="229" w:lineRule="auto"/>
        <w:rPr>
          <w:sz w:val="20"/>
          <w:szCs w:val="20"/>
          <w:color w:val="auto"/>
        </w:rPr>
      </w:pPr>
      <w:r>
        <w:rPr>
          <w:rFonts w:ascii="Arial" w:cs="Arial" w:eastAsia="Arial" w:hAnsi="Arial"/>
          <w:sz w:val="14"/>
          <w:szCs w:val="14"/>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Level 3 Fair Value Measurements</w:t>
      </w:r>
    </w:p>
    <w:p>
      <w:pPr>
        <w:spacing w:after="0" w:line="4" w:lineRule="exact"/>
        <w:rPr>
          <w:sz w:val="20"/>
          <w:szCs w:val="20"/>
          <w:color w:val="auto"/>
        </w:rPr>
      </w:pPr>
    </w:p>
    <w:p>
      <w:pPr>
        <w:ind w:right="20"/>
        <w:spacing w:after="0" w:line="246" w:lineRule="auto"/>
        <w:rPr>
          <w:sz w:val="20"/>
          <w:szCs w:val="20"/>
          <w:color w:val="auto"/>
        </w:rPr>
      </w:pPr>
      <w:r>
        <w:rPr>
          <w:rFonts w:ascii="Arial" w:cs="Arial" w:eastAsia="Arial" w:hAnsi="Arial"/>
          <w:sz w:val="13"/>
          <w:szCs w:val="13"/>
          <w:color w:val="auto"/>
        </w:rPr>
        <w:t>The fair value of the Company’s investments valued using Level 3 fair value measurements was approximately $1.21 billion as of September 30, 2021. The fair value of the Company’s financial instruments classified as liabilities valued using Level 3 fair value measurements was approximately $314.8 million as of September 30, 2021. As discussed in Notes 2 and 5 to the consolidated financial statements, the Company’s investment portfolio generally consists of illiquid securities, including debt and equity investments, which were acquired directly from the issuer. Such investments include first lien secured debt, second lien secured debt, subordinated debt and equity investments. Additionally, the Company has elected to apply the fair value option to certain financial instruments classified as liabilities. The inputs into the determination of fair value may require significant management judgment or estimation.</w:t>
      </w:r>
    </w:p>
    <w:p>
      <w:pPr>
        <w:spacing w:after="0" w:line="113" w:lineRule="exact"/>
        <w:rPr>
          <w:sz w:val="20"/>
          <w:szCs w:val="20"/>
          <w:color w:val="auto"/>
        </w:rPr>
      </w:pPr>
    </w:p>
    <w:p>
      <w:pPr>
        <w:jc w:val="both"/>
        <w:ind w:right="300"/>
        <w:spacing w:after="0" w:line="238" w:lineRule="auto"/>
        <w:rPr>
          <w:sz w:val="20"/>
          <w:szCs w:val="20"/>
          <w:color w:val="auto"/>
        </w:rPr>
      </w:pPr>
      <w:r>
        <w:rPr>
          <w:rFonts w:ascii="Arial" w:cs="Arial" w:eastAsia="Arial" w:hAnsi="Arial"/>
          <w:sz w:val="14"/>
          <w:szCs w:val="14"/>
          <w:color w:val="auto"/>
        </w:rPr>
        <w:t>We identified Level 3 fair value measurements as a critical audit matter due to the subjective nature of the judgments necessary for management to select valuation techniques and the use of significant unobservable inputs to estimate the fair value. Auditing the reasonableness of management’s selection of valuation technique and the related unobservable inputs required a high degree of auditor judgment and increased audit effort, including the use of a valuation specialist.</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The primary procedures we performed to address this critical audit matter included the following, among others:</w:t>
      </w:r>
    </w:p>
    <w:p>
      <w:pPr>
        <w:spacing w:after="0" w:line="136" w:lineRule="exact"/>
        <w:rPr>
          <w:sz w:val="20"/>
          <w:szCs w:val="20"/>
          <w:color w:val="auto"/>
        </w:rPr>
      </w:pPr>
    </w:p>
    <w:p>
      <w:pPr>
        <w:ind w:left="620" w:right="360" w:hanging="72"/>
        <w:spacing w:after="0" w:line="230" w:lineRule="auto"/>
        <w:tabs>
          <w:tab w:leader="none" w:pos="6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We obtained an understanding of the relevant controls related to management’s valuation of Level 3 fair value measurements, including those related to valuation techniques and significant unobservable inputs and tested such controls for design and operating effectiveness.</w:t>
      </w:r>
    </w:p>
    <w:p>
      <w:pPr>
        <w:ind w:left="620" w:right="280" w:hanging="72"/>
        <w:spacing w:after="0" w:line="238" w:lineRule="auto"/>
        <w:tabs>
          <w:tab w:leader="none" w:pos="620" w:val="left"/>
        </w:tabs>
        <w:numPr>
          <w:ilvl w:val="0"/>
          <w:numId w:val="64"/>
        </w:numPr>
        <w:rPr>
          <w:rFonts w:ascii="Arial" w:cs="Arial" w:eastAsia="Arial" w:hAnsi="Arial"/>
          <w:sz w:val="13"/>
          <w:szCs w:val="13"/>
          <w:color w:val="auto"/>
        </w:rPr>
      </w:pPr>
      <w:r>
        <w:rPr>
          <w:rFonts w:ascii="Arial" w:cs="Arial" w:eastAsia="Arial" w:hAnsi="Arial"/>
          <w:sz w:val="13"/>
          <w:szCs w:val="13"/>
          <w:color w:val="auto"/>
        </w:rPr>
        <w:t>With the assistance of our valuation specialists, we evaluated the appropriateness of the selected valuation techniques, and any changes to selected valuation techniques from prior periods, used for Level 3 fair value measurements. We also tested the related significant unobservable inputs by comparing these inputs to external sources.</w:t>
      </w:r>
    </w:p>
    <w:p>
      <w:pPr>
        <w:ind w:left="620" w:right="40" w:hanging="72"/>
        <w:spacing w:after="0" w:line="237" w:lineRule="auto"/>
        <w:tabs>
          <w:tab w:leader="none" w:pos="6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We evaluated management’s historical ability to estimate fair value through comparison of previous estimates to the transaction price of available transactions occurring subsequent to the previous valuation date.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2013.</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17, 2021</w:t>
      </w: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the Board of Directors of</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Internal Control Over Financial Reporting</w:t>
      </w:r>
    </w:p>
    <w:p>
      <w:pPr>
        <w:spacing w:after="0" w:line="140"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 xml:space="preserve">We have audited PennantPark Investment Corporation and its Subsidiaries' (collectively referred to as the “Company”) internal control over financial reporting as of September 30, 2021,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issued by the Committee of Sponsoring Organizations of the Treadway Commission in 2013. In our opinion, the Company maintained, in all material respects, effective internal control over financial reporting as of September 30, 2021, based on criteria established in </w:t>
      </w:r>
      <w:r>
        <w:rPr>
          <w:rFonts w:ascii="Arial" w:cs="Arial" w:eastAsia="Arial" w:hAnsi="Arial"/>
          <w:sz w:val="14"/>
          <w:szCs w:val="14"/>
          <w:i w:val="1"/>
          <w:iCs w:val="1"/>
          <w:color w:val="auto"/>
        </w:rPr>
        <w:t>Internal Control — Integrated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Framework </w:t>
      </w:r>
      <w:r>
        <w:rPr>
          <w:rFonts w:ascii="Arial" w:cs="Arial" w:eastAsia="Arial" w:hAnsi="Arial"/>
          <w:sz w:val="14"/>
          <w:szCs w:val="14"/>
          <w:color w:val="auto"/>
        </w:rPr>
        <w:t>issued by the Committee of Sponsoring Organizations of the Treadway Commission in 2013.</w:t>
      </w:r>
    </w:p>
    <w:p>
      <w:pPr>
        <w:spacing w:after="0" w:line="117"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have also audited, in accordance with the standards of the Public Company Accounting Oversight Board (United States) (PCAOB), the consolidated statements of assets and liabilities, including the consolidated schedules of investments as of September 30, 2021 and 2020, the related consolidated statements of operations, changes in net assets and cash flows for each of the three years in the period ended September 30, 2021, and the related notes to the consolidated financial statements (collectively, the financial statements) of the Company and our report dated November 17, 2021 expressed an unqualified opinion.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40"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17"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and Limitations of Internal Control Over Financial Reporting</w:t>
      </w:r>
    </w:p>
    <w:p>
      <w:pPr>
        <w:spacing w:after="0" w:line="140" w:lineRule="exact"/>
        <w:rPr>
          <w:sz w:val="20"/>
          <w:szCs w:val="20"/>
          <w:color w:val="auto"/>
        </w:rPr>
      </w:pPr>
    </w:p>
    <w:p>
      <w:pPr>
        <w:ind w:right="20" w:firstLine="438"/>
        <w:spacing w:after="0" w:line="248"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ind w:right="80" w:firstLine="438"/>
        <w:spacing w:after="0" w:line="290"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58" w:name="page59"/>
    <w:bookmarkEnd w:id="58"/>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September 30, 2021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September 30, 2020</w:t>
            </w:r>
          </w:p>
        </w:tc>
        <w:tc>
          <w:tcPr>
            <w:tcW w:w="0" w:type="dxa"/>
            <w:vAlign w:val="bottom"/>
          </w:tcPr>
          <w:p>
            <w:pPr>
              <w:spacing w:after="0"/>
              <w:rPr>
                <w:sz w:val="1"/>
                <w:szCs w:val="1"/>
                <w:color w:val="auto"/>
              </w:rPr>
            </w:pPr>
          </w:p>
        </w:tc>
      </w:tr>
      <w:tr>
        <w:trPr>
          <w:trHeight w:val="156"/>
        </w:trPr>
        <w:tc>
          <w:tcPr>
            <w:tcW w:w="782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auto"/>
            </w:tcBorders>
            <w:shd w:val="clear" w:color="auto" w:fill="CCECFF"/>
          </w:tcPr>
          <w:p>
            <w:pPr>
              <w:spacing w:after="0"/>
              <w:rPr>
                <w:sz w:val="13"/>
                <w:szCs w:val="13"/>
                <w:color w:val="auto"/>
              </w:rPr>
            </w:pPr>
          </w:p>
        </w:tc>
        <w:tc>
          <w:tcPr>
            <w:tcW w:w="140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40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Investments at fair value</w:t>
            </w: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 (cost—$729,811,369 and $713,683,209, respectively)</w:t>
            </w:r>
          </w:p>
        </w:tc>
        <w:tc>
          <w:tcPr>
            <w:tcW w:w="10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820,500,111</w:t>
            </w:r>
          </w:p>
        </w:tc>
        <w:tc>
          <w:tcPr>
            <w:tcW w:w="280" w:type="dxa"/>
            <w:vAlign w:val="bottom"/>
            <w:shd w:val="clear" w:color="auto" w:fill="CCECFF"/>
          </w:tcPr>
          <w:p>
            <w:pPr>
              <w:spacing w:after="0"/>
              <w:rPr>
                <w:sz w:val="14"/>
                <w:szCs w:val="14"/>
                <w:color w:val="auto"/>
              </w:rPr>
            </w:pPr>
          </w:p>
        </w:tc>
        <w:tc>
          <w:tcPr>
            <w:tcW w:w="1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735,674,666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ind w:left="260"/>
              <w:spacing w:after="0"/>
              <w:rPr>
                <w:sz w:val="20"/>
                <w:szCs w:val="20"/>
                <w:color w:val="auto"/>
              </w:rPr>
            </w:pPr>
            <w:r>
              <w:rPr>
                <w:rFonts w:ascii="Arial" w:cs="Arial" w:eastAsia="Arial" w:hAnsi="Arial"/>
                <w:sz w:val="14"/>
                <w:szCs w:val="14"/>
                <w:color w:val="auto"/>
              </w:rPr>
              <w:t>Non-controlled, affiliated investments (cost—$78,723,320 and $77,628,920, respectively)</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50,161,391</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27,753,893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Controlled, affiliated investments (cost—$412,586,761 and $374,260,162, respectively)</w:t>
            </w:r>
          </w:p>
        </w:tc>
        <w:tc>
          <w:tcPr>
            <w:tcW w:w="10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384,628,332</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318,342,859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20" w:type="dxa"/>
            <w:vAlign w:val="bottom"/>
          </w:tcPr>
          <w:p>
            <w:pPr>
              <w:ind w:left="260"/>
              <w:spacing w:after="0" w:line="155" w:lineRule="exact"/>
              <w:rPr>
                <w:sz w:val="20"/>
                <w:szCs w:val="20"/>
                <w:color w:val="auto"/>
              </w:rPr>
            </w:pPr>
            <w:r>
              <w:rPr>
                <w:rFonts w:ascii="Arial" w:cs="Arial" w:eastAsia="Arial" w:hAnsi="Arial"/>
                <w:sz w:val="14"/>
                <w:szCs w:val="14"/>
                <w:color w:val="auto"/>
              </w:rPr>
              <w:t>Total of investments (cost—$1,221,121,450 and $1,165,572,291 , respectively)</w:t>
            </w:r>
          </w:p>
        </w:tc>
        <w:tc>
          <w:tcPr>
            <w:tcW w:w="100" w:type="dxa"/>
            <w:vAlign w:val="bottom"/>
          </w:tcPr>
          <w:p>
            <w:pPr>
              <w:spacing w:after="0"/>
              <w:rPr>
                <w:sz w:val="13"/>
                <w:szCs w:val="13"/>
                <w:color w:val="auto"/>
              </w:rPr>
            </w:pPr>
          </w:p>
        </w:tc>
        <w:tc>
          <w:tcPr>
            <w:tcW w:w="1400" w:type="dxa"/>
            <w:vAlign w:val="bottom"/>
          </w:tcPr>
          <w:p>
            <w:pPr>
              <w:jc w:val="right"/>
              <w:spacing w:after="0" w:line="155" w:lineRule="exact"/>
              <w:rPr>
                <w:sz w:val="20"/>
                <w:szCs w:val="20"/>
                <w:color w:val="auto"/>
              </w:rPr>
            </w:pPr>
            <w:r>
              <w:rPr>
                <w:rFonts w:ascii="Arial" w:cs="Arial" w:eastAsia="Arial" w:hAnsi="Arial"/>
                <w:sz w:val="14"/>
                <w:szCs w:val="14"/>
                <w:color w:val="auto"/>
              </w:rPr>
              <w:t>1,255,289,834</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line="155" w:lineRule="exact"/>
              <w:rPr>
                <w:sz w:val="20"/>
                <w:szCs w:val="20"/>
                <w:color w:val="auto"/>
              </w:rPr>
            </w:pPr>
            <w:r>
              <w:rPr>
                <w:rFonts w:ascii="Arial" w:cs="Arial" w:eastAsia="Arial" w:hAnsi="Arial"/>
                <w:sz w:val="14"/>
                <w:szCs w:val="14"/>
                <w:color w:val="auto"/>
              </w:rPr>
              <w:t>1,081,771,418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Cash and cash equivalents (cost—$20,382,959 and $25,801,087 , respectively)</w:t>
            </w: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20,357,016</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25,806,002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Interest receivable</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4,958,217</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5,005,715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Receivable for investments sold</w:t>
            </w: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12,792,969</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5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Distribution receivable</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1,694,000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1,393,716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Prepaid expenses and other assets</w:t>
            </w:r>
          </w:p>
        </w:tc>
        <w:tc>
          <w:tcPr>
            <w:tcW w:w="100" w:type="dxa"/>
            <w:vAlign w:val="bottom"/>
            <w:shd w:val="clear" w:color="auto" w:fill="CCECFF"/>
          </w:tcPr>
          <w:p>
            <w:pPr>
              <w:spacing w:after="0"/>
              <w:rPr>
                <w:sz w:val="14"/>
                <w:szCs w:val="14"/>
                <w:color w:val="auto"/>
              </w:rPr>
            </w:pPr>
          </w:p>
        </w:tc>
        <w:tc>
          <w:tcPr>
            <w:tcW w:w="16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376,030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20" w:type="dxa"/>
            <w:vAlign w:val="bottom"/>
            <w:tcBorders>
              <w:bottom w:val="single" w:sz="8" w:color="CCECFF"/>
            </w:tcBorders>
          </w:tcPr>
          <w:p>
            <w:pPr>
              <w:ind w:left="1000"/>
              <w:spacing w:after="0" w:line="155" w:lineRule="exact"/>
              <w:rPr>
                <w:sz w:val="20"/>
                <w:szCs w:val="20"/>
                <w:color w:val="auto"/>
              </w:rPr>
            </w:pPr>
            <w:r>
              <w:rPr>
                <w:rFonts w:ascii="Arial" w:cs="Arial" w:eastAsia="Arial" w:hAnsi="Arial"/>
                <w:sz w:val="14"/>
                <w:szCs w:val="14"/>
                <w:b w:val="1"/>
                <w:bCs w:val="1"/>
                <w:color w:val="auto"/>
              </w:rPr>
              <w:t>Total assets</w:t>
            </w:r>
          </w:p>
        </w:tc>
        <w:tc>
          <w:tcPr>
            <w:tcW w:w="10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1,295,092,036</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1,114,352,881</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100" w:type="dxa"/>
            <w:vAlign w:val="bottom"/>
            <w:shd w:val="clear" w:color="auto" w:fill="CCECFF"/>
          </w:tcPr>
          <w:p>
            <w:pPr>
              <w:spacing w:after="0"/>
              <w:rPr>
                <w:sz w:val="13"/>
                <w:szCs w:val="13"/>
                <w:color w:val="auto"/>
              </w:rPr>
            </w:pPr>
          </w:p>
        </w:tc>
        <w:tc>
          <w:tcPr>
            <w:tcW w:w="14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Distributions payable</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8,045,413</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8,045,413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Payable for investments purchased</w:t>
            </w: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8,407,287</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5,461,508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820" w:type="dxa"/>
            <w:vAlign w:val="bottom"/>
          </w:tcPr>
          <w:p>
            <w:pPr>
              <w:spacing w:after="0" w:line="143" w:lineRule="exact"/>
              <w:rPr>
                <w:sz w:val="20"/>
                <w:szCs w:val="20"/>
                <w:color w:val="auto"/>
              </w:rPr>
            </w:pPr>
            <w:r>
              <w:rPr>
                <w:rFonts w:ascii="Arial" w:cs="Arial" w:eastAsia="Arial" w:hAnsi="Arial"/>
                <w:sz w:val="14"/>
                <w:szCs w:val="14"/>
                <w:color w:val="auto"/>
              </w:rPr>
              <w:t>Truist Credit Facility payable, at fair value (cost—$316,544,900 and $388,252,000, respectively)</w:t>
            </w: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20" w:type="dxa"/>
            <w:vAlign w:val="bottom"/>
          </w:tcPr>
          <w:p>
            <w:pPr>
              <w:ind w:left="120"/>
              <w:spacing w:after="0"/>
              <w:rPr>
                <w:sz w:val="20"/>
                <w:szCs w:val="20"/>
                <w:color w:val="auto"/>
              </w:rPr>
            </w:pPr>
            <w:r>
              <w:rPr>
                <w:rFonts w:ascii="Arial" w:cs="Arial" w:eastAsia="Arial" w:hAnsi="Arial"/>
                <w:sz w:val="14"/>
                <w:szCs w:val="14"/>
                <w:color w:val="auto"/>
              </w:rPr>
              <w:t>(See Notes 5 and 11)</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314,813,145</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368,701,972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2024 Notes payable, net (par—$86,250,000 and $86,250,000, respectively) (See Notes 5 and 11)</w:t>
            </w: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84,503,061</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83,837,560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2026 Notes payable, net (par—$150,000,000 and zero, respectively) (See Notes 5 and 11)</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145,865,253</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SBA debentures payable, net (par—$63,500,000 and $118,500,000, respectively) (See Notes 5 and 11)</w:t>
            </w: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62,158,642</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115,772,677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Base management fee payable, net (See Note 3)</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4,580,227</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4,369,637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Incentive fee payable, net (See Note 3)</w:t>
            </w: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574,728</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5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Interest payable on debt</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4,942,513</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2,022,614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Accrued other expenses</w:t>
            </w:r>
          </w:p>
        </w:tc>
        <w:tc>
          <w:tcPr>
            <w:tcW w:w="10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1,057,660</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432,648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20" w:type="dxa"/>
            <w:vAlign w:val="bottom"/>
            <w:tcBorders>
              <w:bottom w:val="single" w:sz="8" w:color="CCECFF"/>
            </w:tcBorders>
          </w:tcPr>
          <w:p>
            <w:pPr>
              <w:ind w:left="1000"/>
              <w:spacing w:after="0" w:line="155" w:lineRule="exact"/>
              <w:rPr>
                <w:sz w:val="20"/>
                <w:szCs w:val="20"/>
                <w:color w:val="auto"/>
              </w:rPr>
            </w:pPr>
            <w:r>
              <w:rPr>
                <w:rFonts w:ascii="Arial" w:cs="Arial" w:eastAsia="Arial" w:hAnsi="Arial"/>
                <w:sz w:val="14"/>
                <w:szCs w:val="14"/>
                <w:b w:val="1"/>
                <w:bCs w:val="1"/>
                <w:color w:val="auto"/>
              </w:rPr>
              <w:t>Total liabilities</w:t>
            </w: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634,947,929</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588,644,029</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Commitments and contingencies (See Note 12)</w:t>
            </w:r>
          </w:p>
        </w:tc>
        <w:tc>
          <w:tcPr>
            <w:tcW w:w="100" w:type="dxa"/>
            <w:vAlign w:val="bottom"/>
            <w:shd w:val="clear" w:color="auto" w:fill="CCECFF"/>
          </w:tcPr>
          <w:p>
            <w:pPr>
              <w:spacing w:after="0"/>
              <w:rPr>
                <w:sz w:val="13"/>
                <w:szCs w:val="13"/>
                <w:color w:val="auto"/>
              </w:rPr>
            </w:pPr>
          </w:p>
        </w:tc>
        <w:tc>
          <w:tcPr>
            <w:tcW w:w="14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b w:val="1"/>
                <w:bCs w:val="1"/>
                <w:color w:val="auto"/>
              </w:rPr>
              <w:t>Net assets</w:t>
            </w: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82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rPr>
              <w:t>Common stock, 67,045,105 and 67,045,105 shares issued and outstanding, respectively</w:t>
            </w:r>
          </w:p>
        </w:tc>
        <w:tc>
          <w:tcPr>
            <w:tcW w:w="100" w:type="dxa"/>
            <w:vAlign w:val="bottom"/>
            <w:shd w:val="clear" w:color="auto" w:fill="CCECFF"/>
          </w:tcPr>
          <w:p>
            <w:pPr>
              <w:spacing w:after="0"/>
              <w:rPr>
                <w:sz w:val="12"/>
                <w:szCs w:val="12"/>
                <w:color w:val="auto"/>
              </w:rPr>
            </w:pPr>
          </w:p>
        </w:tc>
        <w:tc>
          <w:tcPr>
            <w:tcW w:w="14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20" w:type="dxa"/>
            <w:vAlign w:val="bottom"/>
            <w:shd w:val="clear" w:color="auto" w:fill="CCECFF"/>
          </w:tcPr>
          <w:p>
            <w:pPr>
              <w:ind w:left="120"/>
              <w:spacing w:after="0"/>
              <w:rPr>
                <w:sz w:val="20"/>
                <w:szCs w:val="20"/>
                <w:color w:val="auto"/>
              </w:rPr>
            </w:pPr>
            <w:r>
              <w:rPr>
                <w:rFonts w:ascii="Arial" w:cs="Arial" w:eastAsia="Arial" w:hAnsi="Arial"/>
                <w:sz w:val="14"/>
                <w:szCs w:val="14"/>
                <w:color w:val="auto"/>
              </w:rPr>
              <w:t>Par value $0.001 per share and 100,000,000 shares authorized</w:t>
            </w: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67,045</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67,045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Paid-in capital in excess of par value</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786,992,974</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787,625,031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Accumulated distributable loss</w:t>
            </w:r>
          </w:p>
        </w:tc>
        <w:tc>
          <w:tcPr>
            <w:tcW w:w="100" w:type="dxa"/>
            <w:vAlign w:val="bottom"/>
            <w:shd w:val="clear" w:color="auto" w:fill="CCECFF"/>
          </w:tcPr>
          <w:p>
            <w:pPr>
              <w:spacing w:after="0"/>
              <w:rPr>
                <w:sz w:val="14"/>
                <w:szCs w:val="14"/>
                <w:color w:val="auto"/>
              </w:rPr>
            </w:pPr>
          </w:p>
        </w:tc>
        <w:tc>
          <w:tcPr>
            <w:tcW w:w="16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(126,915,912)</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5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(261,983,224)</w:t>
            </w:r>
          </w:p>
        </w:tc>
        <w:tc>
          <w:tcPr>
            <w:tcW w:w="0" w:type="dxa"/>
            <w:vAlign w:val="bottom"/>
          </w:tcPr>
          <w:p>
            <w:pPr>
              <w:spacing w:after="0"/>
              <w:rPr>
                <w:sz w:val="1"/>
                <w:szCs w:val="1"/>
                <w:color w:val="auto"/>
              </w:rPr>
            </w:pPr>
          </w:p>
        </w:tc>
      </w:tr>
      <w:tr>
        <w:trPr>
          <w:trHeight w:val="156"/>
        </w:trPr>
        <w:tc>
          <w:tcPr>
            <w:tcW w:w="7820" w:type="dxa"/>
            <w:vAlign w:val="bottom"/>
            <w:tcBorders>
              <w:bottom w:val="single" w:sz="8" w:color="CCECFF"/>
            </w:tcBorders>
          </w:tcPr>
          <w:p>
            <w:pPr>
              <w:ind w:left="1000"/>
              <w:spacing w:after="0" w:line="155" w:lineRule="exact"/>
              <w:rPr>
                <w:sz w:val="20"/>
                <w:szCs w:val="20"/>
                <w:color w:val="auto"/>
              </w:rPr>
            </w:pPr>
            <w:r>
              <w:rPr>
                <w:rFonts w:ascii="Arial" w:cs="Arial" w:eastAsia="Arial" w:hAnsi="Arial"/>
                <w:sz w:val="14"/>
                <w:szCs w:val="14"/>
                <w:b w:val="1"/>
                <w:bCs w:val="1"/>
                <w:color w:val="auto"/>
              </w:rPr>
              <w:t>Total net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660,144,107</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525,708,852</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20" w:type="dxa"/>
            <w:vAlign w:val="bottom"/>
            <w:tcBorders>
              <w:bottom w:val="single" w:sz="8" w:color="CCECFF"/>
            </w:tcBorders>
            <w:shd w:val="clear" w:color="auto" w:fill="CCECFF"/>
          </w:tcPr>
          <w:p>
            <w:pPr>
              <w:ind w:left="100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1,295,092,036</w:t>
            </w:r>
          </w:p>
        </w:tc>
        <w:tc>
          <w:tcPr>
            <w:tcW w:w="280" w:type="dxa"/>
            <w:vAlign w:val="bottom"/>
            <w:tcBorders>
              <w:bottom w:val="single" w:sz="8" w:color="CCECFF"/>
            </w:tcBorders>
            <w:shd w:val="clear" w:color="auto" w:fill="CCECFF"/>
          </w:tcPr>
          <w:p>
            <w:pPr>
              <w:spacing w:after="0"/>
              <w:rPr>
                <w:sz w:val="13"/>
                <w:szCs w:val="13"/>
                <w:color w:val="auto"/>
              </w:rPr>
            </w:pPr>
          </w:p>
        </w:tc>
        <w:tc>
          <w:tcPr>
            <w:tcW w:w="2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1,114,352,881</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4"/>
                <w:szCs w:val="14"/>
                <w:b w:val="1"/>
                <w:bCs w:val="1"/>
                <w:color w:val="auto"/>
              </w:rPr>
              <w:t>Net asset value per share</w:t>
            </w: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20" w:type="dxa"/>
            <w:vAlign w:val="bottom"/>
            <w:vMerge w:val="continue"/>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9.85</w:t>
            </w:r>
          </w:p>
        </w:tc>
        <w:tc>
          <w:tcPr>
            <w:tcW w:w="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7.84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3"/>
              </w:rPr>
              <w:t>Years Ended September 30,</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20" w:type="dxa"/>
            <w:vAlign w:val="bottom"/>
            <w:tcBorders>
              <w:bottom w:val="single" w:sz="8" w:color="CCECFF"/>
            </w:tcBorders>
          </w:tcPr>
          <w:p>
            <w:pPr>
              <w:spacing w:after="0"/>
              <w:rPr>
                <w:sz w:val="13"/>
                <w:szCs w:val="13"/>
                <w:color w:val="auto"/>
              </w:rPr>
            </w:pPr>
          </w:p>
        </w:tc>
        <w:tc>
          <w:tcPr>
            <w:tcW w:w="68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1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6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2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96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46,018,282</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77,453,276</w:t>
            </w:r>
          </w:p>
        </w:tc>
        <w:tc>
          <w:tcPr>
            <w:tcW w:w="240" w:type="dxa"/>
            <w:vAlign w:val="bottom"/>
            <w:shd w:val="clear" w:color="auto" w:fill="CCECFF"/>
          </w:tcPr>
          <w:p>
            <w:pPr>
              <w:spacing w:after="0"/>
              <w:rPr>
                <w:sz w:val="14"/>
                <w:szCs w:val="14"/>
                <w:color w:val="auto"/>
              </w:rPr>
            </w:pPr>
          </w:p>
        </w:tc>
        <w:tc>
          <w:tcPr>
            <w:tcW w:w="280" w:type="dxa"/>
            <w:vAlign w:val="bottom"/>
            <w:gridSpan w:val="2"/>
            <w:shd w:val="clear" w:color="auto" w:fill="CCEC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88,060,418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tcPr>
          <w:p>
            <w:pPr>
              <w:ind w:left="260"/>
              <w:spacing w:after="0"/>
              <w:rPr>
                <w:sz w:val="20"/>
                <w:szCs w:val="20"/>
                <w:color w:val="auto"/>
              </w:rPr>
            </w:pPr>
            <w:r>
              <w:rPr>
                <w:rFonts w:ascii="Arial" w:cs="Arial" w:eastAsia="Arial" w:hAnsi="Arial"/>
                <w:sz w:val="14"/>
                <w:szCs w:val="14"/>
                <w:color w:val="auto"/>
              </w:rPr>
              <w:t>Payment-in-kind</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8,566,689</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7,233,317</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6,445,122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6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4,136,578</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4,821,510</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3,122,988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tcPr>
          <w:p>
            <w:pPr>
              <w:spacing w:after="0"/>
              <w:rPr>
                <w:sz w:val="20"/>
                <w:szCs w:val="20"/>
                <w:color w:val="auto"/>
              </w:rPr>
            </w:pPr>
            <w:r>
              <w:rPr>
                <w:rFonts w:ascii="Arial" w:cs="Arial" w:eastAsia="Arial" w:hAnsi="Arial"/>
                <w:sz w:val="14"/>
                <w:szCs w:val="14"/>
                <w:color w:val="auto"/>
              </w:rPr>
              <w:t>From non-controlled, affiliated investments:</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6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456,998</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120" w:type="dxa"/>
            <w:vAlign w:val="bottom"/>
          </w:tcPr>
          <w:p>
            <w:pPr>
              <w:spacing w:after="0"/>
              <w:rPr>
                <w:sz w:val="20"/>
                <w:szCs w:val="20"/>
                <w:color w:val="auto"/>
              </w:rPr>
            </w:pPr>
            <w:r>
              <w:rPr>
                <w:rFonts w:ascii="Arial" w:cs="Arial" w:eastAsia="Arial" w:hAnsi="Arial"/>
                <w:sz w:val="14"/>
                <w:szCs w:val="14"/>
                <w:color w:val="auto"/>
              </w:rPr>
              <w:t>From controlled, affiliated investments:</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6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9,824,994</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3,387,858</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9,381,881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tcPr>
          <w:p>
            <w:pPr>
              <w:ind w:left="260"/>
              <w:spacing w:after="0"/>
              <w:rPr>
                <w:sz w:val="20"/>
                <w:szCs w:val="20"/>
                <w:color w:val="auto"/>
              </w:rPr>
            </w:pPr>
            <w:r>
              <w:rPr>
                <w:rFonts w:ascii="Arial" w:cs="Arial" w:eastAsia="Arial" w:hAnsi="Arial"/>
                <w:sz w:val="14"/>
                <w:szCs w:val="14"/>
                <w:color w:val="auto"/>
              </w:rPr>
              <w:t>Payment-in-kind</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6,222,805</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7,328,846</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4,319,300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Dividend income</w:t>
            </w:r>
          </w:p>
        </w:tc>
        <w:tc>
          <w:tcPr>
            <w:tcW w:w="6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6,361,000</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120" w:type="dxa"/>
            <w:vAlign w:val="bottom"/>
          </w:tcPr>
          <w:p>
            <w:pPr>
              <w:ind w:left="260"/>
              <w:spacing w:after="0"/>
              <w:rPr>
                <w:sz w:val="20"/>
                <w:szCs w:val="20"/>
                <w:color w:val="auto"/>
              </w:rPr>
            </w:pPr>
            <w:r>
              <w:rPr>
                <w:rFonts w:ascii="Arial" w:cs="Arial" w:eastAsia="Arial" w:hAnsi="Arial"/>
                <w:sz w:val="14"/>
                <w:szCs w:val="14"/>
                <w:color w:val="auto"/>
              </w:rPr>
              <w:t>Other income</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776,945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12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68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9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81,587,346</w:t>
            </w:r>
          </w:p>
        </w:tc>
        <w:tc>
          <w:tcPr>
            <w:tcW w:w="26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100,224,807</w:t>
            </w:r>
          </w:p>
        </w:tc>
        <w:tc>
          <w:tcPr>
            <w:tcW w:w="24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spacing w:after="0"/>
              <w:rPr>
                <w:sz w:val="13"/>
                <w:szCs w:val="13"/>
                <w:color w:val="auto"/>
              </w:rPr>
            </w:pP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112,106,654</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2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Base management fee (See Note 3)</w:t>
            </w:r>
          </w:p>
        </w:tc>
        <w:tc>
          <w:tcPr>
            <w:tcW w:w="6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17,334,682</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18,636,039</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18,225,229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tcPr>
          <w:p>
            <w:pPr>
              <w:ind w:left="260"/>
              <w:spacing w:after="0"/>
              <w:rPr>
                <w:sz w:val="20"/>
                <w:szCs w:val="20"/>
                <w:color w:val="auto"/>
              </w:rPr>
            </w:pPr>
            <w:r>
              <w:rPr>
                <w:rFonts w:ascii="Arial" w:cs="Arial" w:eastAsia="Arial" w:hAnsi="Arial"/>
                <w:sz w:val="14"/>
                <w:szCs w:val="14"/>
                <w:color w:val="auto"/>
              </w:rPr>
              <w:t>Performance-based incentive fee (See Note 3)</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574,728</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4,579,660</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5,146,696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 and expenses on debt (See Note 11)</w:t>
            </w:r>
          </w:p>
        </w:tc>
        <w:tc>
          <w:tcPr>
            <w:tcW w:w="6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22,506,953</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32,167,755</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28,943,312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tcPr>
          <w:p>
            <w:pPr>
              <w:ind w:left="260"/>
              <w:spacing w:after="0"/>
              <w:rPr>
                <w:sz w:val="20"/>
                <w:szCs w:val="20"/>
                <w:color w:val="auto"/>
              </w:rPr>
            </w:pPr>
            <w:r>
              <w:rPr>
                <w:rFonts w:ascii="Arial" w:cs="Arial" w:eastAsia="Arial" w:hAnsi="Arial"/>
                <w:sz w:val="14"/>
                <w:szCs w:val="14"/>
                <w:color w:val="auto"/>
              </w:rPr>
              <w:t>Administrative services expenses (See Note 3)</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1,770,080</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2,075,080</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2,113,895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general and administrative expenses</w:t>
            </w:r>
          </w:p>
        </w:tc>
        <w:tc>
          <w:tcPr>
            <w:tcW w:w="68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2,323,923</w:t>
            </w:r>
          </w:p>
        </w:tc>
        <w:tc>
          <w:tcPr>
            <w:tcW w:w="26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2,573,920</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2,637,820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1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Expenses before Management Fees waiver, provision for taxes and financing costs</w:t>
            </w:r>
          </w:p>
        </w:tc>
        <w:tc>
          <w:tcPr>
            <w:tcW w:w="68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44,510,366</w:t>
            </w:r>
          </w:p>
        </w:tc>
        <w:tc>
          <w:tcPr>
            <w:tcW w:w="26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60,032,454</w:t>
            </w:r>
          </w:p>
        </w:tc>
        <w:tc>
          <w:tcPr>
            <w:tcW w:w="24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57,066,952</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2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color w:val="auto"/>
              </w:rPr>
              <w:t>Management Fees waiver (See Note 3)</w:t>
            </w:r>
          </w:p>
        </w:tc>
        <w:tc>
          <w:tcPr>
            <w:tcW w:w="6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(1,921,987)</w:t>
            </w: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0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20" w:type="dxa"/>
            <w:vAlign w:val="bottom"/>
          </w:tcPr>
          <w:p>
            <w:pPr>
              <w:ind w:left="260"/>
              <w:spacing w:after="0"/>
              <w:rPr>
                <w:sz w:val="20"/>
                <w:szCs w:val="20"/>
                <w:color w:val="auto"/>
              </w:rPr>
            </w:pPr>
            <w:r>
              <w:rPr>
                <w:rFonts w:ascii="Arial" w:cs="Arial" w:eastAsia="Arial" w:hAnsi="Arial"/>
                <w:sz w:val="14"/>
                <w:szCs w:val="14"/>
                <w:color w:val="auto"/>
              </w:rPr>
              <w:t>Provision for taxes</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600,000</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1,200,000</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Make-whole premium (See Notes 5 and 11)</w:t>
            </w:r>
          </w:p>
        </w:tc>
        <w:tc>
          <w:tcPr>
            <w:tcW w:w="6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2,162,526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tcPr>
          <w:p>
            <w:pPr>
              <w:ind w:left="260"/>
              <w:spacing w:after="0"/>
              <w:rPr>
                <w:sz w:val="20"/>
                <w:szCs w:val="20"/>
                <w:color w:val="auto"/>
              </w:rPr>
            </w:pPr>
            <w:r>
              <w:rPr>
                <w:rFonts w:ascii="Arial" w:cs="Arial" w:eastAsia="Arial" w:hAnsi="Arial"/>
                <w:sz w:val="14"/>
                <w:szCs w:val="14"/>
                <w:color w:val="auto"/>
              </w:rPr>
              <w:t>PSLF transaction costs (Note 4)</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2,184,128</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1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Credit facility amendment and debt issuance costs (See Notes 5 and 11)</w:t>
            </w:r>
          </w:p>
        </w:tc>
        <w:tc>
          <w:tcPr>
            <w:tcW w:w="6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7,080,205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1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expenses</w:t>
            </w:r>
          </w:p>
        </w:tc>
        <w:tc>
          <w:tcPr>
            <w:tcW w:w="68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45,110,366</w:t>
            </w:r>
          </w:p>
        </w:tc>
        <w:tc>
          <w:tcPr>
            <w:tcW w:w="26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61,494,595</w:t>
            </w:r>
          </w:p>
        </w:tc>
        <w:tc>
          <w:tcPr>
            <w:tcW w:w="24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67,509,683</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2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68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36,476,980</w:t>
            </w:r>
          </w:p>
        </w:tc>
        <w:tc>
          <w:tcPr>
            <w:tcW w:w="26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38,730,212</w:t>
            </w: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44,596,971</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120" w:type="dxa"/>
            <w:vAlign w:val="bottom"/>
          </w:tcPr>
          <w:p>
            <w:pPr>
              <w:spacing w:after="0" w:line="155" w:lineRule="exact"/>
              <w:rPr>
                <w:sz w:val="20"/>
                <w:szCs w:val="20"/>
                <w:color w:val="auto"/>
              </w:rPr>
            </w:pPr>
            <w:r>
              <w:rPr>
                <w:rFonts w:ascii="Arial" w:cs="Arial" w:eastAsia="Arial" w:hAnsi="Arial"/>
                <w:sz w:val="14"/>
                <w:szCs w:val="14"/>
                <w:b w:val="1"/>
                <w:bCs w:val="1"/>
                <w:color w:val="auto"/>
              </w:rPr>
              <w:t>Realized and change in unrealized gain (loss) on investments and debt:</w:t>
            </w: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CECFF"/>
          </w:tcPr>
          <w:p>
            <w:pPr>
              <w:spacing w:after="0"/>
              <w:rPr>
                <w:sz w:val="20"/>
                <w:szCs w:val="20"/>
                <w:color w:val="auto"/>
              </w:rPr>
            </w:pPr>
            <w:r>
              <w:rPr>
                <w:rFonts w:ascii="Arial" w:cs="Arial" w:eastAsia="Arial" w:hAnsi="Arial"/>
                <w:sz w:val="14"/>
                <w:szCs w:val="14"/>
                <w:color w:val="auto"/>
              </w:rPr>
              <w:t>Net realized gain (loss) on:</w:t>
            </w:r>
          </w:p>
        </w:tc>
        <w:tc>
          <w:tcPr>
            <w:tcW w:w="6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49,729,190</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(11,577,419)</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(51,940,526)</w:t>
            </w:r>
          </w:p>
        </w:tc>
        <w:tc>
          <w:tcPr>
            <w:tcW w:w="0" w:type="dxa"/>
            <w:vAlign w:val="bottom"/>
          </w:tcPr>
          <w:p>
            <w:pPr>
              <w:spacing w:after="0"/>
              <w:rPr>
                <w:sz w:val="1"/>
                <w:szCs w:val="1"/>
                <w:color w:val="auto"/>
              </w:rPr>
            </w:pPr>
          </w:p>
        </w:tc>
      </w:tr>
      <w:tr>
        <w:trPr>
          <w:trHeight w:val="162"/>
        </w:trPr>
        <w:tc>
          <w:tcPr>
            <w:tcW w:w="61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and controlled, affiliated investments</w:t>
            </w:r>
          </w:p>
        </w:tc>
        <w:tc>
          <w:tcPr>
            <w:tcW w:w="6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(19,708,359)</w:t>
            </w: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(56,575,132)</w:t>
            </w:r>
          </w:p>
        </w:tc>
        <w:tc>
          <w:tcPr>
            <w:tcW w:w="0" w:type="dxa"/>
            <w:vAlign w:val="bottom"/>
          </w:tcPr>
          <w:p>
            <w:pPr>
              <w:spacing w:after="0"/>
              <w:rPr>
                <w:sz w:val="1"/>
                <w:szCs w:val="1"/>
                <w:color w:val="auto"/>
              </w:rPr>
            </w:pPr>
          </w:p>
        </w:tc>
      </w:tr>
      <w:tr>
        <w:trPr>
          <w:trHeight w:val="162"/>
        </w:trPr>
        <w:tc>
          <w:tcPr>
            <w:tcW w:w="6120" w:type="dxa"/>
            <w:vAlign w:val="bottom"/>
          </w:tcPr>
          <w:p>
            <w:pPr>
              <w:ind w:left="260"/>
              <w:spacing w:after="0"/>
              <w:rPr>
                <w:sz w:val="20"/>
                <w:szCs w:val="20"/>
                <w:color w:val="auto"/>
              </w:rPr>
            </w:pPr>
            <w:r>
              <w:rPr>
                <w:rFonts w:ascii="Arial" w:cs="Arial" w:eastAsia="Arial" w:hAnsi="Arial"/>
                <w:sz w:val="14"/>
                <w:szCs w:val="14"/>
                <w:color w:val="auto"/>
              </w:rPr>
              <w:t>Deconsolidation loss (Note 4)</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(9,249,833)</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612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realized (loss) gain on investments</w:t>
            </w:r>
          </w:p>
        </w:tc>
        <w:tc>
          <w:tcPr>
            <w:tcW w:w="68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spacing w:after="0"/>
              <w:rPr>
                <w:sz w:val="13"/>
                <w:szCs w:val="13"/>
                <w:color w:val="auto"/>
              </w:rPr>
            </w:pP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30,020,831</w:t>
            </w:r>
          </w:p>
        </w:tc>
        <w:tc>
          <w:tcPr>
            <w:tcW w:w="26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(20,827,252)</w:t>
            </w:r>
          </w:p>
        </w:tc>
        <w:tc>
          <w:tcPr>
            <w:tcW w:w="24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(108,515,658)</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20" w:type="dxa"/>
            <w:vAlign w:val="bottom"/>
          </w:tcPr>
          <w:p>
            <w:pPr>
              <w:spacing w:after="0"/>
              <w:rPr>
                <w:sz w:val="20"/>
                <w:szCs w:val="20"/>
                <w:color w:val="auto"/>
              </w:rPr>
            </w:pPr>
            <w:r>
              <w:rPr>
                <w:rFonts w:ascii="Arial" w:cs="Arial" w:eastAsia="Arial" w:hAnsi="Arial"/>
                <w:sz w:val="14"/>
                <w:szCs w:val="14"/>
                <w:color w:val="auto"/>
              </w:rPr>
              <w:t>Net change in change in unrealized (depreciation) appreciation on:</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6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50,129,570</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7,686,665</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22,788,117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tcPr>
          <w:p>
            <w:pPr>
              <w:ind w:left="260"/>
              <w:spacing w:after="0"/>
              <w:rPr>
                <w:sz w:val="20"/>
                <w:szCs w:val="20"/>
                <w:color w:val="auto"/>
              </w:rPr>
            </w:pPr>
            <w:r>
              <w:rPr>
                <w:rFonts w:ascii="Arial" w:cs="Arial" w:eastAsia="Arial" w:hAnsi="Arial"/>
                <w:sz w:val="14"/>
                <w:szCs w:val="14"/>
                <w:color w:val="auto"/>
              </w:rPr>
              <w:t>Non-controlled and controlled, affiliated investments</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67,807,797</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(53,863,620)</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51,361,260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Debt (See Notes 5 and 11)</w:t>
            </w:r>
          </w:p>
        </w:tc>
        <w:tc>
          <w:tcPr>
            <w:tcW w:w="6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(17,818,273)</w:t>
            </w: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12,304,242</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5,694,116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1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change in unrealized (depreciation) appreciation on investments and debt</w:t>
            </w:r>
          </w:p>
        </w:tc>
        <w:tc>
          <w:tcPr>
            <w:tcW w:w="68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100,119,094</w:t>
            </w:r>
          </w:p>
        </w:tc>
        <w:tc>
          <w:tcPr>
            <w:tcW w:w="26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(33,872,713)</w:t>
            </w:r>
          </w:p>
        </w:tc>
        <w:tc>
          <w:tcPr>
            <w:tcW w:w="24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79,843,493</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1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realized and change in unrealized gain (loss) from investments and debt</w:t>
            </w:r>
          </w:p>
        </w:tc>
        <w:tc>
          <w:tcPr>
            <w:tcW w:w="68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130,139,925</w:t>
            </w:r>
          </w:p>
        </w:tc>
        <w:tc>
          <w:tcPr>
            <w:tcW w:w="26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(54,699,965)</w:t>
            </w: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(28,672,165)</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1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(decrease) increase in net assets resulting from operations</w:t>
            </w:r>
          </w:p>
        </w:tc>
        <w:tc>
          <w:tcPr>
            <w:tcW w:w="68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166,616,905</w:t>
            </w:r>
          </w:p>
        </w:tc>
        <w:tc>
          <w:tcPr>
            <w:tcW w:w="26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(15,969,753)</w:t>
            </w:r>
          </w:p>
        </w:tc>
        <w:tc>
          <w:tcPr>
            <w:tcW w:w="24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15,924,806</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2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Net (decrease) increase in net assets resulting from operations per common share (See Note 7)</w:t>
            </w:r>
          </w:p>
        </w:tc>
        <w:tc>
          <w:tcPr>
            <w:tcW w:w="68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2.49</w:t>
            </w:r>
          </w:p>
        </w:tc>
        <w:tc>
          <w:tcPr>
            <w:tcW w:w="26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(0.24)</w:t>
            </w:r>
          </w:p>
        </w:tc>
        <w:tc>
          <w:tcPr>
            <w:tcW w:w="240" w:type="dxa"/>
            <w:vAlign w:val="bottom"/>
            <w:tcBorders>
              <w:bottom w:val="single" w:sz="8" w:color="CCECFF"/>
            </w:tcBorders>
            <w:shd w:val="clear" w:color="auto" w:fill="CCECFF"/>
          </w:tcPr>
          <w:p>
            <w:pPr>
              <w:spacing w:after="0"/>
              <w:rPr>
                <w:sz w:val="13"/>
                <w:szCs w:val="13"/>
                <w:color w:val="auto"/>
              </w:rPr>
            </w:pPr>
          </w:p>
        </w:tc>
        <w:tc>
          <w:tcPr>
            <w:tcW w:w="20" w:type="dxa"/>
            <w:vAlign w:val="bottom"/>
            <w:tcBorders>
              <w:bottom w:val="single" w:sz="8" w:color="CCECFF"/>
            </w:tcBorders>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0.24</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4"/>
                <w:szCs w:val="14"/>
                <w:color w:val="auto"/>
              </w:rPr>
              <w:t>Net investment income per common share</w:t>
            </w:r>
          </w:p>
        </w:tc>
        <w:tc>
          <w:tcPr>
            <w:tcW w:w="9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0.54</w:t>
            </w:r>
          </w:p>
        </w:tc>
        <w:tc>
          <w:tcPr>
            <w:tcW w:w="26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0.58</w:t>
            </w: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NET ASSETS</w:t>
      </w:r>
    </w:p>
    <w:p>
      <w:pPr>
        <w:spacing w:after="0" w:line="201" w:lineRule="exact"/>
        <w:rPr>
          <w:sz w:val="20"/>
          <w:szCs w:val="20"/>
          <w:color w:val="auto"/>
        </w:rPr>
      </w:pPr>
    </w:p>
    <w:p>
      <w:pPr>
        <w:ind w:left="8100"/>
        <w:spacing w:after="0"/>
        <w:rPr>
          <w:sz w:val="20"/>
          <w:szCs w:val="20"/>
          <w:color w:val="auto"/>
        </w:rPr>
      </w:pPr>
      <w:r>
        <w:rPr>
          <w:rFonts w:ascii="Arial" w:cs="Arial" w:eastAsia="Arial" w:hAnsi="Arial"/>
          <w:sz w:val="14"/>
          <w:szCs w:val="14"/>
          <w:b w:val="1"/>
          <w:bCs w:val="1"/>
          <w:color w:val="auto"/>
        </w:rPr>
        <w:t>Years Ended 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480" w:type="dxa"/>
            <w:vAlign w:val="bottom"/>
            <w:tcBorders>
              <w:bottom w:val="single" w:sz="8" w:color="CCECFF"/>
            </w:tcBorders>
          </w:tcPr>
          <w:p>
            <w:pPr>
              <w:spacing w:after="0"/>
              <w:rPr>
                <w:sz w:val="13"/>
                <w:szCs w:val="13"/>
                <w:color w:val="auto"/>
              </w:rPr>
            </w:pPr>
          </w:p>
        </w:tc>
        <w:tc>
          <w:tcPr>
            <w:tcW w:w="132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CFF"/>
            </w:tcBorders>
          </w:tcPr>
          <w:p>
            <w:pPr>
              <w:spacing w:after="0"/>
              <w:rPr>
                <w:sz w:val="13"/>
                <w:szCs w:val="13"/>
                <w:color w:val="auto"/>
              </w:rPr>
            </w:pPr>
          </w:p>
        </w:tc>
      </w:tr>
      <w:tr>
        <w:trPr>
          <w:trHeight w:val="156"/>
        </w:trPr>
        <w:tc>
          <w:tcPr>
            <w:tcW w:w="54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13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5480" w:type="dxa"/>
            <w:vAlign w:val="bottom"/>
          </w:tcPr>
          <w:p>
            <w:pPr>
              <w:ind w:left="260"/>
              <w:spacing w:after="0"/>
              <w:rPr>
                <w:sz w:val="20"/>
                <w:szCs w:val="20"/>
                <w:color w:val="auto"/>
              </w:rPr>
            </w:pPr>
            <w:r>
              <w:rPr>
                <w:rFonts w:ascii="Arial" w:cs="Arial" w:eastAsia="Arial" w:hAnsi="Arial"/>
                <w:sz w:val="14"/>
                <w:szCs w:val="14"/>
                <w:color w:val="auto"/>
              </w:rPr>
              <w:t>Net investment income</w:t>
            </w:r>
          </w:p>
        </w:tc>
        <w:tc>
          <w:tcPr>
            <w:tcW w:w="16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36,476,980</w:t>
            </w:r>
          </w:p>
        </w:tc>
        <w:tc>
          <w:tcPr>
            <w:tcW w:w="26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38,730,212</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44,596,971</w:t>
            </w:r>
          </w:p>
        </w:tc>
        <w:tc>
          <w:tcPr>
            <w:tcW w:w="120" w:type="dxa"/>
            <w:vAlign w:val="bottom"/>
          </w:tcPr>
          <w:p>
            <w:pPr>
              <w:spacing w:after="0"/>
              <w:rPr>
                <w:sz w:val="14"/>
                <w:szCs w:val="14"/>
                <w:color w:val="auto"/>
              </w:rPr>
            </w:pPr>
          </w:p>
        </w:tc>
      </w:tr>
      <w:tr>
        <w:trPr>
          <w:trHeight w:val="162"/>
        </w:trPr>
        <w:tc>
          <w:tcPr>
            <w:tcW w:w="54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realized gain (loss) on investments</w:t>
            </w:r>
          </w:p>
        </w:tc>
        <w:tc>
          <w:tcPr>
            <w:tcW w:w="13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30,020,831</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(11,577,419)</w:t>
            </w:r>
          </w:p>
        </w:tc>
        <w:tc>
          <w:tcPr>
            <w:tcW w:w="1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(108,515,658)</w:t>
            </w:r>
          </w:p>
        </w:tc>
      </w:tr>
      <w:tr>
        <w:trPr>
          <w:trHeight w:val="162"/>
        </w:trPr>
        <w:tc>
          <w:tcPr>
            <w:tcW w:w="5480" w:type="dxa"/>
            <w:vAlign w:val="bottom"/>
          </w:tcPr>
          <w:p>
            <w:pPr>
              <w:ind w:left="260"/>
              <w:spacing w:after="0"/>
              <w:rPr>
                <w:sz w:val="20"/>
                <w:szCs w:val="20"/>
                <w:color w:val="auto"/>
              </w:rPr>
            </w:pPr>
            <w:r>
              <w:rPr>
                <w:rFonts w:ascii="Arial" w:cs="Arial" w:eastAsia="Arial" w:hAnsi="Arial"/>
                <w:sz w:val="14"/>
                <w:szCs w:val="14"/>
                <w:color w:val="auto"/>
              </w:rPr>
              <w:t>Net deconsolidation realized loss</w:t>
            </w: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(9,249,833)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54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change in unrealized appreciation (depreciation) on investments</w:t>
            </w:r>
          </w:p>
        </w:tc>
        <w:tc>
          <w:tcPr>
            <w:tcW w:w="13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117,937,367</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(46,176,955)</w:t>
            </w:r>
          </w:p>
        </w:tc>
        <w:tc>
          <w:tcPr>
            <w:tcW w:w="1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74,149,377</w:t>
            </w:r>
          </w:p>
        </w:tc>
        <w:tc>
          <w:tcPr>
            <w:tcW w:w="120" w:type="dxa"/>
            <w:vAlign w:val="bottom"/>
            <w:shd w:val="clear" w:color="auto" w:fill="CCECFF"/>
          </w:tcPr>
          <w:p>
            <w:pPr>
              <w:spacing w:after="0"/>
              <w:rPr>
                <w:sz w:val="14"/>
                <w:szCs w:val="14"/>
                <w:color w:val="auto"/>
              </w:rPr>
            </w:pPr>
          </w:p>
        </w:tc>
      </w:tr>
      <w:tr>
        <w:trPr>
          <w:trHeight w:val="162"/>
        </w:trPr>
        <w:tc>
          <w:tcPr>
            <w:tcW w:w="5480" w:type="dxa"/>
            <w:vAlign w:val="bottom"/>
          </w:tcPr>
          <w:p>
            <w:pPr>
              <w:ind w:left="260"/>
              <w:spacing w:after="0"/>
              <w:rPr>
                <w:sz w:val="20"/>
                <w:szCs w:val="20"/>
                <w:color w:val="auto"/>
              </w:rPr>
            </w:pPr>
            <w:r>
              <w:rPr>
                <w:rFonts w:ascii="Arial" w:cs="Arial" w:eastAsia="Arial" w:hAnsi="Arial"/>
                <w:sz w:val="14"/>
                <w:szCs w:val="14"/>
                <w:color w:val="auto"/>
              </w:rPr>
              <w:t>Net change in unrealized (appreciation) depreciation on debt</w:t>
            </w: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(17,818,273)</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12,304,242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5,694,116</w:t>
            </w:r>
          </w:p>
        </w:tc>
        <w:tc>
          <w:tcPr>
            <w:tcW w:w="120" w:type="dxa"/>
            <w:vAlign w:val="bottom"/>
          </w:tcPr>
          <w:p>
            <w:pPr>
              <w:spacing w:after="0"/>
              <w:rPr>
                <w:sz w:val="14"/>
                <w:szCs w:val="14"/>
                <w:color w:val="auto"/>
              </w:rPr>
            </w:pPr>
          </w:p>
        </w:tc>
      </w:tr>
      <w:tr>
        <w:trPr>
          <w:trHeight w:val="156"/>
        </w:trPr>
        <w:tc>
          <w:tcPr>
            <w:tcW w:w="548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132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9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166,616,905</w:t>
            </w:r>
          </w:p>
        </w:tc>
        <w:tc>
          <w:tcPr>
            <w:tcW w:w="26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(15,969,753)</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15,924,806</w:t>
            </w:r>
          </w:p>
        </w:tc>
        <w:tc>
          <w:tcPr>
            <w:tcW w:w="120" w:type="dxa"/>
            <w:vAlign w:val="bottom"/>
            <w:tcBorders>
              <w:top w:val="single" w:sz="8" w:color="CCECFF"/>
            </w:tcBorders>
            <w:shd w:val="clear" w:color="auto" w:fill="CCECFF"/>
          </w:tcPr>
          <w:p>
            <w:pPr>
              <w:spacing w:after="0"/>
              <w:rPr>
                <w:sz w:val="13"/>
                <w:szCs w:val="13"/>
                <w:color w:val="auto"/>
              </w:rPr>
            </w:pPr>
          </w:p>
        </w:tc>
      </w:tr>
      <w:tr>
        <w:trPr>
          <w:trHeight w:val="156"/>
        </w:trPr>
        <w:tc>
          <w:tcPr>
            <w:tcW w:w="5480" w:type="dxa"/>
            <w:vAlign w:val="bottom"/>
          </w:tcPr>
          <w:p>
            <w:pPr>
              <w:ind w:left="260"/>
              <w:spacing w:after="0" w:line="155" w:lineRule="exact"/>
              <w:rPr>
                <w:sz w:val="20"/>
                <w:szCs w:val="20"/>
                <w:color w:val="auto"/>
              </w:rPr>
            </w:pPr>
            <w:r>
              <w:rPr>
                <w:rFonts w:ascii="Arial" w:cs="Arial" w:eastAsia="Arial" w:hAnsi="Arial"/>
                <w:sz w:val="14"/>
                <w:szCs w:val="14"/>
                <w:b w:val="1"/>
                <w:bCs w:val="1"/>
                <w:color w:val="auto"/>
              </w:rPr>
              <w:t>Distributions to stockholders:</w:t>
            </w: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54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Distribution of net investment income</w:t>
            </w:r>
          </w:p>
        </w:tc>
        <w:tc>
          <w:tcPr>
            <w:tcW w:w="13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(32,181,650)</w:t>
            </w:r>
          </w:p>
        </w:tc>
        <w:tc>
          <w:tcPr>
            <w:tcW w:w="28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(40,227,063)</w:t>
            </w:r>
          </w:p>
        </w:tc>
        <w:tc>
          <w:tcPr>
            <w:tcW w:w="1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(48,449,313)</w:t>
            </w:r>
          </w:p>
        </w:tc>
      </w:tr>
      <w:tr>
        <w:trPr>
          <w:trHeight w:val="156"/>
        </w:trPr>
        <w:tc>
          <w:tcPr>
            <w:tcW w:w="548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distributions to stockholders</w:t>
            </w:r>
          </w:p>
        </w:tc>
        <w:tc>
          <w:tcPr>
            <w:tcW w:w="132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(32,181,650)</w:t>
            </w:r>
          </w:p>
        </w:tc>
        <w:tc>
          <w:tcPr>
            <w:tcW w:w="26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(40,227,063)</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(48,449,313)</w:t>
            </w:r>
          </w:p>
        </w:tc>
        <w:tc>
          <w:tcPr>
            <w:tcW w:w="120" w:type="dxa"/>
            <w:vAlign w:val="bottom"/>
            <w:tcBorders>
              <w:bottom w:val="single" w:sz="8" w:color="CCECFF"/>
            </w:tcBorders>
          </w:tcPr>
          <w:p>
            <w:pPr>
              <w:spacing w:after="0"/>
              <w:rPr>
                <w:sz w:val="13"/>
                <w:szCs w:val="13"/>
                <w:color w:val="auto"/>
              </w:rPr>
            </w:pPr>
          </w:p>
        </w:tc>
      </w:tr>
      <w:tr>
        <w:trPr>
          <w:trHeight w:val="155"/>
        </w:trPr>
        <w:tc>
          <w:tcPr>
            <w:tcW w:w="54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Capital transactions:</w:t>
            </w:r>
          </w:p>
        </w:tc>
        <w:tc>
          <w:tcPr>
            <w:tcW w:w="13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5480" w:type="dxa"/>
            <w:vAlign w:val="bottom"/>
          </w:tcPr>
          <w:p>
            <w:pPr>
              <w:ind w:left="260"/>
              <w:spacing w:after="0"/>
              <w:rPr>
                <w:sz w:val="20"/>
                <w:szCs w:val="20"/>
                <w:color w:val="auto"/>
              </w:rPr>
            </w:pPr>
            <w:r>
              <w:rPr>
                <w:rFonts w:ascii="Arial" w:cs="Arial" w:eastAsia="Arial" w:hAnsi="Arial"/>
                <w:sz w:val="14"/>
                <w:szCs w:val="14"/>
                <w:color w:val="auto"/>
              </w:rPr>
              <w:t>Repurchase of common stock</w:t>
            </w: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(14,471,720)</w:t>
            </w:r>
          </w:p>
        </w:tc>
      </w:tr>
      <w:tr>
        <w:trPr>
          <w:trHeight w:val="155"/>
        </w:trPr>
        <w:tc>
          <w:tcPr>
            <w:tcW w:w="54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(decrease) in net assets</w:t>
            </w:r>
          </w:p>
        </w:tc>
        <w:tc>
          <w:tcPr>
            <w:tcW w:w="132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9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134,435,255</w:t>
            </w:r>
          </w:p>
        </w:tc>
        <w:tc>
          <w:tcPr>
            <w:tcW w:w="26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(56,196,816)</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(46,996,227)</w:t>
            </w:r>
          </w:p>
        </w:tc>
        <w:tc>
          <w:tcPr>
            <w:tcW w:w="120" w:type="dxa"/>
            <w:vAlign w:val="bottom"/>
            <w:tcBorders>
              <w:top w:val="single" w:sz="8" w:color="CCECFF"/>
            </w:tcBorders>
            <w:shd w:val="clear" w:color="auto" w:fill="CCECFF"/>
          </w:tcPr>
          <w:p>
            <w:pPr>
              <w:spacing w:after="0"/>
              <w:rPr>
                <w:sz w:val="13"/>
                <w:szCs w:val="13"/>
                <w:color w:val="auto"/>
              </w:rPr>
            </w:pPr>
          </w:p>
        </w:tc>
      </w:tr>
      <w:tr>
        <w:trPr>
          <w:trHeight w:val="156"/>
        </w:trPr>
        <w:tc>
          <w:tcPr>
            <w:tcW w:w="5480" w:type="dxa"/>
            <w:vAlign w:val="bottom"/>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54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Beginning of year</w:t>
            </w:r>
          </w:p>
        </w:tc>
        <w:tc>
          <w:tcPr>
            <w:tcW w:w="132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525,708,852</w:t>
            </w:r>
          </w:p>
        </w:tc>
        <w:tc>
          <w:tcPr>
            <w:tcW w:w="26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581,905,668</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628,901,895</w:t>
            </w:r>
          </w:p>
        </w:tc>
        <w:tc>
          <w:tcPr>
            <w:tcW w:w="120" w:type="dxa"/>
            <w:vAlign w:val="bottom"/>
            <w:shd w:val="clear" w:color="auto" w:fill="CCECFF"/>
          </w:tcPr>
          <w:p>
            <w:pPr>
              <w:spacing w:after="0"/>
              <w:rPr>
                <w:sz w:val="14"/>
                <w:szCs w:val="14"/>
                <w:color w:val="auto"/>
              </w:rPr>
            </w:pPr>
          </w:p>
        </w:tc>
      </w:tr>
      <w:tr>
        <w:trPr>
          <w:trHeight w:val="156"/>
        </w:trPr>
        <w:tc>
          <w:tcPr>
            <w:tcW w:w="5480" w:type="dxa"/>
            <w:vAlign w:val="bottom"/>
          </w:tcPr>
          <w:p>
            <w:pPr>
              <w:ind w:left="260"/>
              <w:spacing w:after="0" w:line="155" w:lineRule="exact"/>
              <w:rPr>
                <w:sz w:val="20"/>
                <w:szCs w:val="20"/>
                <w:color w:val="auto"/>
              </w:rPr>
            </w:pPr>
            <w:r>
              <w:rPr>
                <w:rFonts w:ascii="Arial" w:cs="Arial" w:eastAsia="Arial" w:hAnsi="Arial"/>
                <w:sz w:val="14"/>
                <w:szCs w:val="14"/>
                <w:color w:val="auto"/>
              </w:rPr>
              <w:t>End of year</w:t>
            </w:r>
          </w:p>
        </w:tc>
        <w:tc>
          <w:tcPr>
            <w:tcW w:w="1320" w:type="dxa"/>
            <w:vAlign w:val="bottom"/>
          </w:tcPr>
          <w:p>
            <w:pPr>
              <w:spacing w:after="0"/>
              <w:rPr>
                <w:sz w:val="13"/>
                <w:szCs w:val="13"/>
                <w:color w:val="auto"/>
              </w:rPr>
            </w:pPr>
          </w:p>
        </w:tc>
        <w:tc>
          <w:tcPr>
            <w:tcW w:w="28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660,144,107</w:t>
            </w:r>
          </w:p>
        </w:tc>
        <w:tc>
          <w:tcPr>
            <w:tcW w:w="260" w:type="dxa"/>
            <w:vAlign w:val="bottom"/>
          </w:tcPr>
          <w:p>
            <w:pPr>
              <w:spacing w:after="0"/>
              <w:rPr>
                <w:sz w:val="13"/>
                <w:szCs w:val="13"/>
                <w:color w:val="auto"/>
              </w:rPr>
            </w:pPr>
          </w:p>
        </w:tc>
        <w:tc>
          <w:tcPr>
            <w:tcW w:w="28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525,708,852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581,905,668</w:t>
            </w:r>
          </w:p>
        </w:tc>
        <w:tc>
          <w:tcPr>
            <w:tcW w:w="120" w:type="dxa"/>
            <w:vAlign w:val="bottom"/>
          </w:tcPr>
          <w:p>
            <w:pPr>
              <w:spacing w:after="0"/>
              <w:rPr>
                <w:sz w:val="13"/>
                <w:szCs w:val="13"/>
                <w:color w:val="auto"/>
              </w:rPr>
            </w:pPr>
          </w:p>
        </w:tc>
      </w:tr>
      <w:tr>
        <w:trPr>
          <w:trHeight w:val="162"/>
        </w:trPr>
        <w:tc>
          <w:tcPr>
            <w:tcW w:w="548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Capital share activity:</w:t>
            </w:r>
          </w:p>
        </w:tc>
        <w:tc>
          <w:tcPr>
            <w:tcW w:w="13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r>
      <w:tr>
        <w:trPr>
          <w:trHeight w:val="162"/>
        </w:trPr>
        <w:tc>
          <w:tcPr>
            <w:tcW w:w="5480" w:type="dxa"/>
            <w:vAlign w:val="bottom"/>
          </w:tcPr>
          <w:p>
            <w:pPr>
              <w:ind w:left="260"/>
              <w:spacing w:after="0"/>
              <w:rPr>
                <w:sz w:val="20"/>
                <w:szCs w:val="20"/>
                <w:color w:val="auto"/>
              </w:rPr>
            </w:pPr>
            <w:r>
              <w:rPr>
                <w:rFonts w:ascii="Arial" w:cs="Arial" w:eastAsia="Arial" w:hAnsi="Arial"/>
                <w:sz w:val="14"/>
                <w:szCs w:val="14"/>
                <w:color w:val="auto"/>
              </w:rPr>
              <w:t>Shares of common stock repurchased</w:t>
            </w: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(2,006,878)</w:t>
            </w:r>
          </w:p>
        </w:tc>
      </w:tr>
      <w:tr>
        <w:trPr>
          <w:trHeight w:val="20"/>
        </w:trPr>
        <w:tc>
          <w:tcPr>
            <w:tcW w:w="5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STEATEMENTS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3"/>
              </w:rPr>
              <w:t>Years Ended September 30,</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20" w:type="dxa"/>
            <w:vAlign w:val="bottom"/>
            <w:tcBorders>
              <w:bottom w:val="single" w:sz="8" w:color="CCECFF"/>
            </w:tcBorders>
          </w:tcPr>
          <w:p>
            <w:pPr>
              <w:spacing w:after="0"/>
              <w:rPr>
                <w:sz w:val="13"/>
                <w:szCs w:val="13"/>
                <w:color w:val="auto"/>
              </w:rPr>
            </w:pPr>
          </w:p>
        </w:tc>
        <w:tc>
          <w:tcPr>
            <w:tcW w:w="3840" w:type="dxa"/>
            <w:vAlign w:val="bottom"/>
            <w:tcBorders>
              <w:bottom w:val="single" w:sz="8" w:color="CCECFF"/>
            </w:tcBorders>
          </w:tcPr>
          <w:p>
            <w:pPr>
              <w:spacing w:after="0"/>
              <w:rPr>
                <w:sz w:val="13"/>
                <w:szCs w:val="13"/>
                <w:color w:val="auto"/>
              </w:rPr>
            </w:pPr>
          </w:p>
        </w:tc>
        <w:tc>
          <w:tcPr>
            <w:tcW w:w="84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6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84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60" w:type="dxa"/>
            <w:vAlign w:val="bottom"/>
            <w:gridSpan w:val="2"/>
          </w:tcPr>
          <w:p>
            <w:pPr>
              <w:ind w:left="500"/>
              <w:spacing w:after="0"/>
              <w:rPr>
                <w:sz w:val="20"/>
                <w:szCs w:val="20"/>
                <w:color w:val="auto"/>
              </w:rPr>
            </w:pPr>
            <w:r>
              <w:rPr>
                <w:rFonts w:ascii="Arial" w:cs="Arial" w:eastAsia="Arial" w:hAnsi="Arial"/>
                <w:sz w:val="14"/>
                <w:szCs w:val="14"/>
                <w:color w:val="auto"/>
              </w:rPr>
              <w:t>Net increase (decrease) in net assets resulting from operations</w:t>
            </w:r>
          </w:p>
        </w:tc>
        <w:tc>
          <w:tcPr>
            <w:tcW w:w="11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166,616,905</w:t>
            </w:r>
          </w:p>
        </w:tc>
        <w:tc>
          <w:tcPr>
            <w:tcW w:w="26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(15,969,753)</w:t>
            </w:r>
          </w:p>
        </w:tc>
        <w:tc>
          <w:tcPr>
            <w:tcW w:w="3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15,924,806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960" w:type="dxa"/>
            <w:vAlign w:val="bottom"/>
            <w:gridSpan w:val="2"/>
            <w:shd w:val="clear" w:color="auto" w:fill="CCECFF"/>
          </w:tcPr>
          <w:p>
            <w:pPr>
              <w:ind w:left="500"/>
              <w:spacing w:after="0" w:line="143" w:lineRule="exact"/>
              <w:rPr>
                <w:sz w:val="20"/>
                <w:szCs w:val="20"/>
                <w:color w:val="auto"/>
              </w:rPr>
            </w:pPr>
            <w:r>
              <w:rPr>
                <w:rFonts w:ascii="Arial" w:cs="Arial" w:eastAsia="Arial" w:hAnsi="Arial"/>
                <w:sz w:val="14"/>
                <w:szCs w:val="14"/>
                <w:color w:val="auto"/>
              </w:rPr>
              <w:t>Adjustments to reconcile net (decrease) increase in net assets resulting from</w:t>
            </w:r>
          </w:p>
        </w:tc>
        <w:tc>
          <w:tcPr>
            <w:tcW w:w="84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960" w:type="dxa"/>
            <w:vAlign w:val="bottom"/>
            <w:gridSpan w:val="2"/>
            <w:shd w:val="clear" w:color="auto" w:fill="CCECFF"/>
          </w:tcPr>
          <w:p>
            <w:pPr>
              <w:ind w:left="600"/>
              <w:spacing w:after="0"/>
              <w:rPr>
                <w:sz w:val="20"/>
                <w:szCs w:val="20"/>
                <w:color w:val="auto"/>
              </w:rPr>
            </w:pPr>
            <w:r>
              <w:rPr>
                <w:rFonts w:ascii="Arial" w:cs="Arial" w:eastAsia="Arial" w:hAnsi="Arial"/>
                <w:sz w:val="14"/>
                <w:szCs w:val="14"/>
                <w:color w:val="auto"/>
              </w:rPr>
              <w:t>operations to net cash provided (used in) by operating activities:</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2"/>
          </w:tcPr>
          <w:p>
            <w:pPr>
              <w:ind w:left="1000"/>
              <w:spacing w:after="0"/>
              <w:rPr>
                <w:sz w:val="20"/>
                <w:szCs w:val="20"/>
                <w:color w:val="auto"/>
              </w:rPr>
            </w:pPr>
            <w:r>
              <w:rPr>
                <w:rFonts w:ascii="Arial" w:cs="Arial" w:eastAsia="Arial" w:hAnsi="Arial"/>
                <w:sz w:val="14"/>
                <w:szCs w:val="14"/>
                <w:color w:val="auto"/>
              </w:rPr>
              <w:t>Net change in net unrealized (appreciation) depreciation on investments</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Arial" w:cs="Arial" w:eastAsia="Arial" w:hAnsi="Arial"/>
                <w:sz w:val="14"/>
                <w:szCs w:val="14"/>
                <w:color w:val="auto"/>
              </w:rPr>
              <w:t>(117,937,367)</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46,176,955</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(74,149,377)</w:t>
            </w:r>
          </w:p>
        </w:tc>
        <w:tc>
          <w:tcPr>
            <w:tcW w:w="0" w:type="dxa"/>
            <w:vAlign w:val="bottom"/>
          </w:tcPr>
          <w:p>
            <w:pPr>
              <w:spacing w:after="0"/>
              <w:rPr>
                <w:sz w:val="1"/>
                <w:szCs w:val="1"/>
                <w:color w:val="auto"/>
              </w:rPr>
            </w:pPr>
          </w:p>
        </w:tc>
      </w:tr>
      <w:tr>
        <w:trPr>
          <w:trHeight w:val="162"/>
        </w:trPr>
        <w:tc>
          <w:tcPr>
            <w:tcW w:w="5960" w:type="dxa"/>
            <w:vAlign w:val="bottom"/>
            <w:gridSpan w:val="2"/>
            <w:shd w:val="clear" w:color="auto" w:fill="CCECFF"/>
          </w:tcPr>
          <w:p>
            <w:pPr>
              <w:ind w:left="1000"/>
              <w:spacing w:after="0"/>
              <w:rPr>
                <w:sz w:val="20"/>
                <w:szCs w:val="20"/>
                <w:color w:val="auto"/>
              </w:rPr>
            </w:pPr>
            <w:r>
              <w:rPr>
                <w:rFonts w:ascii="Arial" w:cs="Arial" w:eastAsia="Arial" w:hAnsi="Arial"/>
                <w:sz w:val="14"/>
                <w:szCs w:val="14"/>
                <w:color w:val="auto"/>
              </w:rPr>
              <w:t>Net change in unrealized depreciation on debt</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17,818,273</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(12,304,242)</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(5,694,116)</w:t>
            </w:r>
          </w:p>
        </w:tc>
        <w:tc>
          <w:tcPr>
            <w:tcW w:w="0" w:type="dxa"/>
            <w:vAlign w:val="bottom"/>
          </w:tcPr>
          <w:p>
            <w:pPr>
              <w:spacing w:after="0"/>
              <w:rPr>
                <w:sz w:val="1"/>
                <w:szCs w:val="1"/>
                <w:color w:val="auto"/>
              </w:rPr>
            </w:pPr>
          </w:p>
        </w:tc>
      </w:tr>
      <w:tr>
        <w:trPr>
          <w:trHeight w:val="162"/>
        </w:trPr>
        <w:tc>
          <w:tcPr>
            <w:tcW w:w="5960" w:type="dxa"/>
            <w:vAlign w:val="bottom"/>
            <w:gridSpan w:val="2"/>
          </w:tcPr>
          <w:p>
            <w:pPr>
              <w:ind w:left="1000"/>
              <w:spacing w:after="0"/>
              <w:rPr>
                <w:sz w:val="20"/>
                <w:szCs w:val="20"/>
                <w:color w:val="auto"/>
              </w:rPr>
            </w:pPr>
            <w:r>
              <w:rPr>
                <w:rFonts w:ascii="Arial" w:cs="Arial" w:eastAsia="Arial" w:hAnsi="Arial"/>
                <w:sz w:val="14"/>
                <w:szCs w:val="14"/>
                <w:color w:val="auto"/>
              </w:rPr>
              <w:t>Net realized (gain) loss on investments</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Arial" w:cs="Arial" w:eastAsia="Arial" w:hAnsi="Arial"/>
                <w:sz w:val="14"/>
                <w:szCs w:val="14"/>
                <w:color w:val="auto"/>
              </w:rPr>
              <w:t>(30,020,831)</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11,577,419</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108,515,658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2"/>
            <w:shd w:val="clear" w:color="auto" w:fill="CCECFF"/>
          </w:tcPr>
          <w:p>
            <w:pPr>
              <w:ind w:left="1000"/>
              <w:spacing w:after="0"/>
              <w:rPr>
                <w:sz w:val="20"/>
                <w:szCs w:val="20"/>
                <w:color w:val="auto"/>
              </w:rPr>
            </w:pPr>
            <w:r>
              <w:rPr>
                <w:rFonts w:ascii="Arial" w:cs="Arial" w:eastAsia="Arial" w:hAnsi="Arial"/>
                <w:sz w:val="14"/>
                <w:szCs w:val="14"/>
                <w:color w:val="auto"/>
              </w:rPr>
              <w:t>Deconsolidation realized loss</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9,249,833</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960" w:type="dxa"/>
            <w:vAlign w:val="bottom"/>
            <w:gridSpan w:val="2"/>
          </w:tcPr>
          <w:p>
            <w:pPr>
              <w:ind w:left="1000"/>
              <w:spacing w:after="0"/>
              <w:rPr>
                <w:sz w:val="20"/>
                <w:szCs w:val="20"/>
                <w:color w:val="auto"/>
              </w:rPr>
            </w:pPr>
            <w:r>
              <w:rPr>
                <w:rFonts w:ascii="Arial" w:cs="Arial" w:eastAsia="Arial" w:hAnsi="Arial"/>
                <w:sz w:val="14"/>
                <w:szCs w:val="14"/>
                <w:color w:val="auto"/>
              </w:rPr>
              <w:t>Net accretion of discount and amortization of premium</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Arial" w:cs="Arial" w:eastAsia="Arial" w:hAnsi="Arial"/>
                <w:sz w:val="14"/>
                <w:szCs w:val="14"/>
                <w:color w:val="auto"/>
              </w:rPr>
              <w:t>(3,525,381)</w:t>
            </w:r>
          </w:p>
        </w:tc>
        <w:tc>
          <w:tcPr>
            <w:tcW w:w="2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(2,592,265)</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(2,631,213)</w:t>
            </w:r>
          </w:p>
        </w:tc>
        <w:tc>
          <w:tcPr>
            <w:tcW w:w="0" w:type="dxa"/>
            <w:vAlign w:val="bottom"/>
          </w:tcPr>
          <w:p>
            <w:pPr>
              <w:spacing w:after="0"/>
              <w:rPr>
                <w:sz w:val="1"/>
                <w:szCs w:val="1"/>
                <w:color w:val="auto"/>
              </w:rPr>
            </w:pPr>
          </w:p>
        </w:tc>
      </w:tr>
      <w:tr>
        <w:trPr>
          <w:trHeight w:val="162"/>
        </w:trPr>
        <w:tc>
          <w:tcPr>
            <w:tcW w:w="5960" w:type="dxa"/>
            <w:vAlign w:val="bottom"/>
            <w:gridSpan w:val="2"/>
            <w:shd w:val="clear" w:color="auto" w:fill="CCECFF"/>
          </w:tcPr>
          <w:p>
            <w:pPr>
              <w:ind w:left="1000"/>
              <w:spacing w:after="0"/>
              <w:rPr>
                <w:sz w:val="20"/>
                <w:szCs w:val="20"/>
                <w:color w:val="auto"/>
              </w:rPr>
            </w:pPr>
            <w:r>
              <w:rPr>
                <w:rFonts w:ascii="Arial" w:cs="Arial" w:eastAsia="Arial" w:hAnsi="Arial"/>
                <w:sz w:val="14"/>
                <w:szCs w:val="14"/>
                <w:color w:val="auto"/>
              </w:rPr>
              <w:t>Purchases of investments</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(441,364,505)</w:t>
            </w: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(319,307,932)</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(533,619,983)</w:t>
            </w:r>
          </w:p>
        </w:tc>
        <w:tc>
          <w:tcPr>
            <w:tcW w:w="0" w:type="dxa"/>
            <w:vAlign w:val="bottom"/>
          </w:tcPr>
          <w:p>
            <w:pPr>
              <w:spacing w:after="0"/>
              <w:rPr>
                <w:sz w:val="1"/>
                <w:szCs w:val="1"/>
                <w:color w:val="auto"/>
              </w:rPr>
            </w:pPr>
          </w:p>
        </w:tc>
      </w:tr>
      <w:tr>
        <w:trPr>
          <w:trHeight w:val="162"/>
        </w:trPr>
        <w:tc>
          <w:tcPr>
            <w:tcW w:w="5960" w:type="dxa"/>
            <w:vAlign w:val="bottom"/>
            <w:gridSpan w:val="2"/>
          </w:tcPr>
          <w:p>
            <w:pPr>
              <w:ind w:left="1000"/>
              <w:spacing w:after="0"/>
              <w:rPr>
                <w:sz w:val="20"/>
                <w:szCs w:val="20"/>
                <w:color w:val="auto"/>
              </w:rPr>
            </w:pPr>
            <w:r>
              <w:rPr>
                <w:rFonts w:ascii="Arial" w:cs="Arial" w:eastAsia="Arial" w:hAnsi="Arial"/>
                <w:sz w:val="14"/>
                <w:szCs w:val="14"/>
                <w:color w:val="auto"/>
              </w:rPr>
              <w:t>Payment-in-kind income</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Arial" w:cs="Arial" w:eastAsia="Arial" w:hAnsi="Arial"/>
                <w:sz w:val="14"/>
                <w:szCs w:val="14"/>
                <w:color w:val="auto"/>
              </w:rPr>
              <w:t>(15,210,123)</w:t>
            </w:r>
          </w:p>
        </w:tc>
        <w:tc>
          <w:tcPr>
            <w:tcW w:w="2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(14,549,188)</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(12,011,137)</w:t>
            </w:r>
          </w:p>
        </w:tc>
        <w:tc>
          <w:tcPr>
            <w:tcW w:w="0" w:type="dxa"/>
            <w:vAlign w:val="bottom"/>
          </w:tcPr>
          <w:p>
            <w:pPr>
              <w:spacing w:after="0"/>
              <w:rPr>
                <w:sz w:val="1"/>
                <w:szCs w:val="1"/>
                <w:color w:val="auto"/>
              </w:rPr>
            </w:pPr>
          </w:p>
        </w:tc>
      </w:tr>
      <w:tr>
        <w:trPr>
          <w:trHeight w:val="162"/>
        </w:trPr>
        <w:tc>
          <w:tcPr>
            <w:tcW w:w="5960" w:type="dxa"/>
            <w:vAlign w:val="bottom"/>
            <w:gridSpan w:val="2"/>
            <w:shd w:val="clear" w:color="auto" w:fill="CCECFF"/>
          </w:tcPr>
          <w:p>
            <w:pPr>
              <w:ind w:left="1000"/>
              <w:spacing w:after="0"/>
              <w:rPr>
                <w:sz w:val="20"/>
                <w:szCs w:val="20"/>
                <w:color w:val="auto"/>
              </w:rPr>
            </w:pPr>
            <w:r>
              <w:rPr>
                <w:rFonts w:ascii="Arial" w:cs="Arial" w:eastAsia="Arial" w:hAnsi="Arial"/>
                <w:sz w:val="14"/>
                <w:szCs w:val="14"/>
                <w:color w:val="auto"/>
              </w:rPr>
              <w:t>Proceeds from dispositions of investments</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434,472,734</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162,693,343</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426,498,436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2"/>
          </w:tcPr>
          <w:p>
            <w:pPr>
              <w:ind w:left="1000"/>
              <w:spacing w:after="0"/>
              <w:rPr>
                <w:sz w:val="20"/>
                <w:szCs w:val="20"/>
                <w:color w:val="auto"/>
              </w:rPr>
            </w:pPr>
            <w:r>
              <w:rPr>
                <w:rFonts w:ascii="Arial" w:cs="Arial" w:eastAsia="Arial" w:hAnsi="Arial"/>
                <w:sz w:val="14"/>
                <w:szCs w:val="14"/>
                <w:color w:val="auto"/>
              </w:rPr>
              <w:t>Amortization of deferred financing costs</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2,452,220</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1,857,349</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744,433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2"/>
            <w:shd w:val="clear" w:color="auto" w:fill="CCECFF"/>
          </w:tcPr>
          <w:p>
            <w:pPr>
              <w:ind w:left="1000"/>
              <w:spacing w:after="0"/>
              <w:rPr>
                <w:sz w:val="20"/>
                <w:szCs w:val="20"/>
                <w:color w:val="auto"/>
              </w:rPr>
            </w:pPr>
            <w:r>
              <w:rPr>
                <w:rFonts w:ascii="Arial" w:cs="Arial" w:eastAsia="Arial" w:hAnsi="Arial"/>
                <w:sz w:val="14"/>
                <w:szCs w:val="14"/>
                <w:color w:val="auto"/>
              </w:rPr>
              <w:t>Decrease in interest receivable</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47,498</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1,220,824</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1,380,425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2"/>
          </w:tcPr>
          <w:p>
            <w:pPr>
              <w:ind w:left="1000"/>
              <w:spacing w:after="0"/>
              <w:rPr>
                <w:sz w:val="20"/>
                <w:szCs w:val="20"/>
                <w:color w:val="auto"/>
              </w:rPr>
            </w:pPr>
            <w:r>
              <w:rPr>
                <w:rFonts w:ascii="Arial" w:cs="Arial" w:eastAsia="Arial" w:hAnsi="Arial"/>
                <w:sz w:val="14"/>
                <w:szCs w:val="14"/>
                <w:color w:val="auto"/>
              </w:rPr>
              <w:t>Increase in receivables from investments sold</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Arial" w:cs="Arial" w:eastAsia="Arial" w:hAnsi="Arial"/>
                <w:sz w:val="14"/>
                <w:szCs w:val="14"/>
                <w:color w:val="auto"/>
              </w:rPr>
              <w:t>(12,792,969)</w:t>
            </w:r>
          </w:p>
        </w:tc>
        <w:tc>
          <w:tcPr>
            <w:tcW w:w="28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960" w:type="dxa"/>
            <w:vAlign w:val="bottom"/>
            <w:gridSpan w:val="2"/>
            <w:shd w:val="clear" w:color="auto" w:fill="CCECFF"/>
          </w:tcPr>
          <w:p>
            <w:pPr>
              <w:ind w:left="1000"/>
              <w:spacing w:after="0"/>
              <w:rPr>
                <w:sz w:val="20"/>
                <w:szCs w:val="20"/>
                <w:color w:val="auto"/>
              </w:rPr>
            </w:pPr>
            <w:r>
              <w:rPr>
                <w:rFonts w:ascii="Arial" w:cs="Arial" w:eastAsia="Arial" w:hAnsi="Arial"/>
                <w:sz w:val="14"/>
                <w:szCs w:val="14"/>
                <w:color w:val="auto"/>
              </w:rPr>
              <w:t>Increase in distribution receivable</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(300,284)</w:t>
            </w: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(1,393,716)</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960" w:type="dxa"/>
            <w:vAlign w:val="bottom"/>
            <w:gridSpan w:val="2"/>
          </w:tcPr>
          <w:p>
            <w:pPr>
              <w:ind w:left="1000"/>
              <w:spacing w:after="0"/>
              <w:rPr>
                <w:sz w:val="20"/>
                <w:szCs w:val="20"/>
                <w:color w:val="auto"/>
              </w:rPr>
            </w:pPr>
            <w:r>
              <w:rPr>
                <w:rFonts w:ascii="Arial" w:cs="Arial" w:eastAsia="Arial" w:hAnsi="Arial"/>
                <w:sz w:val="14"/>
                <w:szCs w:val="14"/>
                <w:color w:val="auto"/>
              </w:rPr>
              <w:t>(Increase) decrease in prepaid expenses and other assets</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376,030</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(437,144)</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257,593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2"/>
            <w:shd w:val="clear" w:color="auto" w:fill="CCECFF"/>
          </w:tcPr>
          <w:p>
            <w:pPr>
              <w:ind w:left="1000"/>
              <w:spacing w:after="0"/>
              <w:rPr>
                <w:sz w:val="20"/>
                <w:szCs w:val="20"/>
                <w:color w:val="auto"/>
              </w:rPr>
            </w:pPr>
            <w:r>
              <w:rPr>
                <w:rFonts w:ascii="Arial" w:cs="Arial" w:eastAsia="Arial" w:hAnsi="Arial"/>
                <w:sz w:val="14"/>
                <w:szCs w:val="14"/>
                <w:color w:val="auto"/>
              </w:rPr>
              <w:t>Increase (decrease) in payable for investments purchased</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2,945,779</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5,461,508</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960" w:type="dxa"/>
            <w:vAlign w:val="bottom"/>
            <w:gridSpan w:val="2"/>
          </w:tcPr>
          <w:p>
            <w:pPr>
              <w:ind w:left="1000"/>
              <w:spacing w:after="0"/>
              <w:rPr>
                <w:sz w:val="20"/>
                <w:szCs w:val="20"/>
                <w:color w:val="auto"/>
              </w:rPr>
            </w:pPr>
            <w:r>
              <w:rPr>
                <w:rFonts w:ascii="Arial" w:cs="Arial" w:eastAsia="Arial" w:hAnsi="Arial"/>
                <w:sz w:val="14"/>
                <w:szCs w:val="14"/>
                <w:color w:val="auto"/>
              </w:rPr>
              <w:t>Decrease in interest payable on debt</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2,919,899</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(873,081)</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(3,680,698)</w:t>
            </w:r>
          </w:p>
        </w:tc>
        <w:tc>
          <w:tcPr>
            <w:tcW w:w="0" w:type="dxa"/>
            <w:vAlign w:val="bottom"/>
          </w:tcPr>
          <w:p>
            <w:pPr>
              <w:spacing w:after="0"/>
              <w:rPr>
                <w:sz w:val="1"/>
                <w:szCs w:val="1"/>
                <w:color w:val="auto"/>
              </w:rPr>
            </w:pPr>
          </w:p>
        </w:tc>
      </w:tr>
      <w:tr>
        <w:trPr>
          <w:trHeight w:val="162"/>
        </w:trPr>
        <w:tc>
          <w:tcPr>
            <w:tcW w:w="5960" w:type="dxa"/>
            <w:vAlign w:val="bottom"/>
            <w:gridSpan w:val="2"/>
            <w:shd w:val="clear" w:color="auto" w:fill="CCECFF"/>
          </w:tcPr>
          <w:p>
            <w:pPr>
              <w:ind w:left="1000"/>
              <w:spacing w:after="0"/>
              <w:rPr>
                <w:sz w:val="20"/>
                <w:szCs w:val="20"/>
                <w:color w:val="auto"/>
              </w:rPr>
            </w:pPr>
            <w:r>
              <w:rPr>
                <w:rFonts w:ascii="Arial" w:cs="Arial" w:eastAsia="Arial" w:hAnsi="Arial"/>
                <w:sz w:val="14"/>
                <w:szCs w:val="14"/>
                <w:color w:val="auto"/>
              </w:rPr>
              <w:t>(Decrease) increase in base management fee payable, net</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210,590</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(271,843)</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554,649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2"/>
          </w:tcPr>
          <w:p>
            <w:pPr>
              <w:ind w:left="1000"/>
              <w:spacing w:after="0"/>
              <w:rPr>
                <w:sz w:val="20"/>
                <w:szCs w:val="20"/>
                <w:color w:val="auto"/>
              </w:rPr>
            </w:pPr>
            <w:r>
              <w:rPr>
                <w:rFonts w:ascii="Arial" w:cs="Arial" w:eastAsia="Arial" w:hAnsi="Arial"/>
                <w:sz w:val="14"/>
                <w:szCs w:val="14"/>
                <w:color w:val="auto"/>
              </w:rPr>
              <w:t>(Decrease) increase in performance-based incentive fee payable, net</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574,728</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(2,964,265)</w:t>
            </w:r>
          </w:p>
        </w:tc>
        <w:tc>
          <w:tcPr>
            <w:tcW w:w="0" w:type="dxa"/>
            <w:vAlign w:val="bottom"/>
          </w:tcPr>
          <w:p>
            <w:pPr>
              <w:spacing w:after="0"/>
              <w:rPr>
                <w:sz w:val="1"/>
                <w:szCs w:val="1"/>
                <w:color w:val="auto"/>
              </w:rPr>
            </w:pPr>
          </w:p>
        </w:tc>
      </w:tr>
      <w:tr>
        <w:trPr>
          <w:trHeight w:val="162"/>
        </w:trPr>
        <w:tc>
          <w:tcPr>
            <w:tcW w:w="5960" w:type="dxa"/>
            <w:vAlign w:val="bottom"/>
            <w:gridSpan w:val="2"/>
            <w:shd w:val="clear" w:color="auto" w:fill="CCECFF"/>
          </w:tcPr>
          <w:p>
            <w:pPr>
              <w:ind w:left="1000"/>
              <w:spacing w:after="0"/>
              <w:rPr>
                <w:sz w:val="20"/>
                <w:szCs w:val="20"/>
                <w:color w:val="auto"/>
              </w:rPr>
            </w:pPr>
            <w:r>
              <w:rPr>
                <w:rFonts w:ascii="Arial" w:cs="Arial" w:eastAsia="Arial" w:hAnsi="Arial"/>
                <w:sz w:val="14"/>
                <w:szCs w:val="14"/>
                <w:color w:val="auto"/>
              </w:rPr>
              <w:t>Decrease in accrued other expenses</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625,012</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(136,527)</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(248,997)</w:t>
            </w:r>
          </w:p>
        </w:tc>
        <w:tc>
          <w:tcPr>
            <w:tcW w:w="0" w:type="dxa"/>
            <w:vAlign w:val="bottom"/>
          </w:tcPr>
          <w:p>
            <w:pPr>
              <w:spacing w:after="0"/>
              <w:rPr>
                <w:sz w:val="1"/>
                <w:szCs w:val="1"/>
                <w:color w:val="auto"/>
              </w:rPr>
            </w:pPr>
          </w:p>
        </w:tc>
      </w:tr>
      <w:tr>
        <w:trPr>
          <w:trHeight w:val="156"/>
        </w:trPr>
        <w:tc>
          <w:tcPr>
            <w:tcW w:w="5960" w:type="dxa"/>
            <w:vAlign w:val="bottom"/>
            <w:tcBorders>
              <w:bottom w:val="single" w:sz="8" w:color="CCECFF"/>
            </w:tcBorders>
            <w:gridSpan w:val="2"/>
          </w:tcPr>
          <w:p>
            <w:pPr>
              <w:ind w:left="1480"/>
              <w:spacing w:after="0" w:line="155" w:lineRule="exact"/>
              <w:rPr>
                <w:sz w:val="20"/>
                <w:szCs w:val="20"/>
                <w:color w:val="auto"/>
              </w:rPr>
            </w:pPr>
            <w:r>
              <w:rPr>
                <w:rFonts w:ascii="Arial" w:cs="Arial" w:eastAsia="Arial" w:hAnsi="Arial"/>
                <w:sz w:val="14"/>
                <w:szCs w:val="14"/>
                <w:color w:val="auto"/>
              </w:rPr>
              <w:t>Net cash provided (used in) by operating activities</w:t>
            </w:r>
          </w:p>
        </w:tc>
        <w:tc>
          <w:tcPr>
            <w:tcW w:w="84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7,908,208</w:t>
            </w:r>
          </w:p>
        </w:tc>
        <w:tc>
          <w:tcPr>
            <w:tcW w:w="26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(129,598,460)</w:t>
            </w:r>
          </w:p>
        </w:tc>
        <w:tc>
          <w:tcPr>
            <w:tcW w:w="22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(81,123,786)</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6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84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60" w:type="dxa"/>
            <w:vAlign w:val="bottom"/>
            <w:gridSpan w:val="2"/>
          </w:tcPr>
          <w:p>
            <w:pPr>
              <w:ind w:left="1000"/>
              <w:spacing w:after="0"/>
              <w:rPr>
                <w:sz w:val="20"/>
                <w:szCs w:val="20"/>
                <w:color w:val="auto"/>
              </w:rPr>
            </w:pPr>
            <w:r>
              <w:rPr>
                <w:rFonts w:ascii="Arial" w:cs="Arial" w:eastAsia="Arial" w:hAnsi="Arial"/>
                <w:sz w:val="14"/>
                <w:szCs w:val="14"/>
                <w:color w:val="auto"/>
              </w:rPr>
              <w:t>Repurchase of common stock</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(14,471,720)</w:t>
            </w:r>
          </w:p>
        </w:tc>
        <w:tc>
          <w:tcPr>
            <w:tcW w:w="0" w:type="dxa"/>
            <w:vAlign w:val="bottom"/>
          </w:tcPr>
          <w:p>
            <w:pPr>
              <w:spacing w:after="0"/>
              <w:rPr>
                <w:sz w:val="1"/>
                <w:szCs w:val="1"/>
                <w:color w:val="auto"/>
              </w:rPr>
            </w:pPr>
          </w:p>
        </w:tc>
      </w:tr>
      <w:tr>
        <w:trPr>
          <w:trHeight w:val="162"/>
        </w:trPr>
        <w:tc>
          <w:tcPr>
            <w:tcW w:w="5960" w:type="dxa"/>
            <w:vAlign w:val="bottom"/>
            <w:gridSpan w:val="2"/>
            <w:shd w:val="clear" w:color="auto" w:fill="CCECFF"/>
          </w:tcPr>
          <w:p>
            <w:pPr>
              <w:ind w:left="1000"/>
              <w:spacing w:after="0"/>
              <w:rPr>
                <w:sz w:val="20"/>
                <w:szCs w:val="20"/>
                <w:color w:val="auto"/>
              </w:rPr>
            </w:pPr>
            <w:r>
              <w:rPr>
                <w:rFonts w:ascii="Arial" w:cs="Arial" w:eastAsia="Arial" w:hAnsi="Arial"/>
                <w:sz w:val="14"/>
                <w:szCs w:val="14"/>
                <w:color w:val="auto"/>
              </w:rPr>
              <w:t>Distributions paid to stockholders</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(32,181,652)</w:t>
            </w: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(44,249,769)</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(48,810,906)</w:t>
            </w:r>
          </w:p>
        </w:tc>
        <w:tc>
          <w:tcPr>
            <w:tcW w:w="0" w:type="dxa"/>
            <w:vAlign w:val="bottom"/>
          </w:tcPr>
          <w:p>
            <w:pPr>
              <w:spacing w:after="0"/>
              <w:rPr>
                <w:sz w:val="1"/>
                <w:szCs w:val="1"/>
                <w:color w:val="auto"/>
              </w:rPr>
            </w:pPr>
          </w:p>
        </w:tc>
      </w:tr>
      <w:tr>
        <w:trPr>
          <w:trHeight w:val="162"/>
        </w:trPr>
        <w:tc>
          <w:tcPr>
            <w:tcW w:w="5960" w:type="dxa"/>
            <w:vAlign w:val="bottom"/>
            <w:gridSpan w:val="2"/>
          </w:tcPr>
          <w:p>
            <w:pPr>
              <w:ind w:left="1000"/>
              <w:spacing w:after="0"/>
              <w:rPr>
                <w:sz w:val="20"/>
                <w:szCs w:val="20"/>
                <w:color w:val="auto"/>
              </w:rPr>
            </w:pPr>
            <w:r>
              <w:rPr>
                <w:rFonts w:ascii="Arial" w:cs="Arial" w:eastAsia="Arial" w:hAnsi="Arial"/>
                <w:sz w:val="14"/>
                <w:szCs w:val="14"/>
                <w:color w:val="auto"/>
              </w:rPr>
              <w:t>Borrowings under SBA debentures</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960" w:type="dxa"/>
            <w:vAlign w:val="bottom"/>
            <w:gridSpan w:val="2"/>
            <w:shd w:val="clear" w:color="auto" w:fill="CCECFF"/>
          </w:tcPr>
          <w:p>
            <w:pPr>
              <w:ind w:left="1000"/>
              <w:spacing w:after="0"/>
              <w:rPr>
                <w:sz w:val="20"/>
                <w:szCs w:val="20"/>
                <w:color w:val="auto"/>
              </w:rPr>
            </w:pPr>
            <w:r>
              <w:rPr>
                <w:rFonts w:ascii="Arial" w:cs="Arial" w:eastAsia="Arial" w:hAnsi="Arial"/>
                <w:sz w:val="14"/>
                <w:szCs w:val="14"/>
                <w:color w:val="auto"/>
              </w:rPr>
              <w:t>Repayments of SBA debentures</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(55,000,000)</w:t>
            </w: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(31,500,000)</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(30,000,000)</w:t>
            </w:r>
          </w:p>
        </w:tc>
        <w:tc>
          <w:tcPr>
            <w:tcW w:w="0" w:type="dxa"/>
            <w:vAlign w:val="bottom"/>
          </w:tcPr>
          <w:p>
            <w:pPr>
              <w:spacing w:after="0"/>
              <w:rPr>
                <w:sz w:val="1"/>
                <w:szCs w:val="1"/>
                <w:color w:val="auto"/>
              </w:rPr>
            </w:pPr>
          </w:p>
        </w:tc>
      </w:tr>
      <w:tr>
        <w:trPr>
          <w:trHeight w:val="162"/>
        </w:trPr>
        <w:tc>
          <w:tcPr>
            <w:tcW w:w="5960" w:type="dxa"/>
            <w:vAlign w:val="bottom"/>
            <w:gridSpan w:val="2"/>
          </w:tcPr>
          <w:p>
            <w:pPr>
              <w:ind w:left="1000"/>
              <w:spacing w:after="0"/>
              <w:rPr>
                <w:sz w:val="20"/>
                <w:szCs w:val="20"/>
                <w:color w:val="auto"/>
              </w:rPr>
            </w:pPr>
            <w:r>
              <w:rPr>
                <w:rFonts w:ascii="Arial" w:cs="Arial" w:eastAsia="Arial" w:hAnsi="Arial"/>
                <w:sz w:val="14"/>
                <w:szCs w:val="14"/>
                <w:color w:val="auto"/>
              </w:rPr>
              <w:t>Net proceeds from 2024 Notes issuance</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10,912,500</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72,250,000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2"/>
            <w:shd w:val="clear" w:color="auto" w:fill="CCECFF"/>
          </w:tcPr>
          <w:p>
            <w:pPr>
              <w:ind w:left="1000"/>
              <w:spacing w:after="0"/>
              <w:rPr>
                <w:sz w:val="20"/>
                <w:szCs w:val="20"/>
                <w:color w:val="auto"/>
              </w:rPr>
            </w:pPr>
            <w:r>
              <w:rPr>
                <w:rFonts w:ascii="Arial" w:cs="Arial" w:eastAsia="Arial" w:hAnsi="Arial"/>
                <w:sz w:val="14"/>
                <w:szCs w:val="14"/>
                <w:color w:val="auto"/>
              </w:rPr>
              <w:t>Net proceeds from 2026 Notes issuance</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145,464,500</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960" w:type="dxa"/>
            <w:vAlign w:val="bottom"/>
            <w:gridSpan w:val="2"/>
          </w:tcPr>
          <w:p>
            <w:pPr>
              <w:ind w:left="1000"/>
              <w:spacing w:after="0"/>
              <w:rPr>
                <w:sz w:val="20"/>
                <w:szCs w:val="20"/>
                <w:color w:val="auto"/>
              </w:rPr>
            </w:pPr>
            <w:r>
              <w:rPr>
                <w:rFonts w:ascii="Arial" w:cs="Arial" w:eastAsia="Arial" w:hAnsi="Arial"/>
                <w:sz w:val="14"/>
                <w:szCs w:val="14"/>
                <w:color w:val="auto"/>
              </w:rPr>
              <w:t>Repayments of 2019 Notes</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(250,000,000)</w:t>
            </w:r>
          </w:p>
        </w:tc>
        <w:tc>
          <w:tcPr>
            <w:tcW w:w="0" w:type="dxa"/>
            <w:vAlign w:val="bottom"/>
          </w:tcPr>
          <w:p>
            <w:pPr>
              <w:spacing w:after="0"/>
              <w:rPr>
                <w:sz w:val="1"/>
                <w:szCs w:val="1"/>
                <w:color w:val="auto"/>
              </w:rPr>
            </w:pPr>
          </w:p>
        </w:tc>
      </w:tr>
      <w:tr>
        <w:trPr>
          <w:trHeight w:val="162"/>
        </w:trPr>
        <w:tc>
          <w:tcPr>
            <w:tcW w:w="5960" w:type="dxa"/>
            <w:vAlign w:val="bottom"/>
            <w:gridSpan w:val="2"/>
            <w:shd w:val="clear" w:color="auto" w:fill="CCECFF"/>
          </w:tcPr>
          <w:p>
            <w:pPr>
              <w:ind w:left="1000"/>
              <w:spacing w:after="0"/>
              <w:rPr>
                <w:sz w:val="20"/>
                <w:szCs w:val="20"/>
                <w:color w:val="auto"/>
              </w:rPr>
            </w:pPr>
            <w:r>
              <w:rPr>
                <w:rFonts w:ascii="Arial" w:cs="Arial" w:eastAsia="Arial" w:hAnsi="Arial"/>
                <w:sz w:val="14"/>
                <w:szCs w:val="14"/>
                <w:color w:val="auto"/>
              </w:rPr>
              <w:t>Borrowings under BNP Credit Facility</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90,000,000</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194,000,000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2"/>
          </w:tcPr>
          <w:p>
            <w:pPr>
              <w:ind w:left="1000"/>
              <w:spacing w:after="0"/>
              <w:rPr>
                <w:sz w:val="20"/>
                <w:szCs w:val="20"/>
                <w:color w:val="auto"/>
              </w:rPr>
            </w:pPr>
            <w:r>
              <w:rPr>
                <w:rFonts w:ascii="Arial" w:cs="Arial" w:eastAsia="Arial" w:hAnsi="Arial"/>
                <w:sz w:val="14"/>
                <w:szCs w:val="14"/>
                <w:color w:val="auto"/>
              </w:rPr>
              <w:t>Repayments under BNP Credit Facility</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(16,000,000)</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(23,000,000)</w:t>
            </w:r>
          </w:p>
        </w:tc>
        <w:tc>
          <w:tcPr>
            <w:tcW w:w="0" w:type="dxa"/>
            <w:vAlign w:val="bottom"/>
          </w:tcPr>
          <w:p>
            <w:pPr>
              <w:spacing w:after="0"/>
              <w:rPr>
                <w:sz w:val="1"/>
                <w:szCs w:val="1"/>
                <w:color w:val="auto"/>
              </w:rPr>
            </w:pPr>
          </w:p>
        </w:tc>
      </w:tr>
      <w:tr>
        <w:trPr>
          <w:trHeight w:val="162"/>
        </w:trPr>
        <w:tc>
          <w:tcPr>
            <w:tcW w:w="5960" w:type="dxa"/>
            <w:vAlign w:val="bottom"/>
            <w:gridSpan w:val="2"/>
            <w:shd w:val="clear" w:color="auto" w:fill="CCECFF"/>
          </w:tcPr>
          <w:p>
            <w:pPr>
              <w:ind w:left="1000"/>
              <w:spacing w:after="0"/>
              <w:rPr>
                <w:sz w:val="20"/>
                <w:szCs w:val="20"/>
                <w:color w:val="auto"/>
              </w:rPr>
            </w:pPr>
            <w:r>
              <w:rPr>
                <w:rFonts w:ascii="Arial" w:cs="Arial" w:eastAsia="Arial" w:hAnsi="Arial"/>
                <w:sz w:val="14"/>
                <w:szCs w:val="14"/>
                <w:color w:val="auto"/>
              </w:rPr>
              <w:t>Borrowings under Truist Credit Facility</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310,311,500</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331,000,000</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697,000,000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2"/>
          </w:tcPr>
          <w:p>
            <w:pPr>
              <w:ind w:left="1000"/>
              <w:spacing w:after="0"/>
              <w:rPr>
                <w:sz w:val="20"/>
                <w:szCs w:val="20"/>
                <w:color w:val="auto"/>
              </w:rPr>
            </w:pPr>
            <w:r>
              <w:rPr>
                <w:rFonts w:ascii="Arial" w:cs="Arial" w:eastAsia="Arial" w:hAnsi="Arial"/>
                <w:sz w:val="14"/>
                <w:szCs w:val="14"/>
                <w:color w:val="auto"/>
              </w:rPr>
              <w:t>Repayments under Truist Credit Facility</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Arial" w:cs="Arial" w:eastAsia="Arial" w:hAnsi="Arial"/>
                <w:sz w:val="14"/>
                <w:szCs w:val="14"/>
                <w:color w:val="auto"/>
              </w:rPr>
              <w:t>(382,018,601)</w:t>
            </w:r>
          </w:p>
        </w:tc>
        <w:tc>
          <w:tcPr>
            <w:tcW w:w="2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(244,384,000)</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(475,884,000)</w:t>
            </w:r>
          </w:p>
        </w:tc>
        <w:tc>
          <w:tcPr>
            <w:tcW w:w="0" w:type="dxa"/>
            <w:vAlign w:val="bottom"/>
          </w:tcPr>
          <w:p>
            <w:pPr>
              <w:spacing w:after="0"/>
              <w:rPr>
                <w:sz w:val="1"/>
                <w:szCs w:val="1"/>
                <w:color w:val="auto"/>
              </w:rPr>
            </w:pPr>
          </w:p>
        </w:tc>
      </w:tr>
      <w:tr>
        <w:trPr>
          <w:trHeight w:val="155"/>
        </w:trPr>
        <w:tc>
          <w:tcPr>
            <w:tcW w:w="5960" w:type="dxa"/>
            <w:vAlign w:val="bottom"/>
            <w:tcBorders>
              <w:top w:val="single" w:sz="8" w:color="CCECFF"/>
            </w:tcBorders>
            <w:gridSpan w:val="2"/>
            <w:shd w:val="clear" w:color="auto" w:fill="CCECFF"/>
          </w:tcPr>
          <w:p>
            <w:pPr>
              <w:ind w:left="1480"/>
              <w:spacing w:after="0" w:line="155" w:lineRule="exact"/>
              <w:rPr>
                <w:sz w:val="20"/>
                <w:szCs w:val="20"/>
                <w:color w:val="auto"/>
              </w:rPr>
            </w:pPr>
            <w:r>
              <w:rPr>
                <w:rFonts w:ascii="Arial" w:cs="Arial" w:eastAsia="Arial" w:hAnsi="Arial"/>
                <w:sz w:val="14"/>
                <w:szCs w:val="14"/>
                <w:color w:val="auto"/>
              </w:rPr>
              <w:t>Net cash (used in) provided by financing activities</w:t>
            </w:r>
          </w:p>
        </w:tc>
        <w:tc>
          <w:tcPr>
            <w:tcW w:w="8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9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(13,424,253)</w:t>
            </w:r>
          </w:p>
        </w:tc>
        <w:tc>
          <w:tcPr>
            <w:tcW w:w="26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95,778,731</w:t>
            </w:r>
          </w:p>
        </w:tc>
        <w:tc>
          <w:tcPr>
            <w:tcW w:w="22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121,083,374</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(decrease) increase in cash and cash equivalents</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(5,516,045)</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(33,819,729)</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39,959,588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Effect of exchange rate changes on cash</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67,059</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109,495</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50,494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b w:val="1"/>
                <w:bCs w:val="1"/>
                <w:color w:val="auto"/>
              </w:rPr>
              <w:t>Cash and cash equivalents, beginning of year</w:t>
            </w:r>
          </w:p>
        </w:tc>
        <w:tc>
          <w:tcPr>
            <w:tcW w:w="84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25,806,002</w:t>
            </w:r>
          </w:p>
        </w:tc>
        <w:tc>
          <w:tcPr>
            <w:tcW w:w="26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59,516,236</w:t>
            </w:r>
          </w:p>
        </w:tc>
        <w:tc>
          <w:tcPr>
            <w:tcW w:w="22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19,506,154</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960" w:type="dxa"/>
            <w:vAlign w:val="bottom"/>
            <w:tcBorders>
              <w:bottom w:val="single" w:sz="8" w:color="CCECFF"/>
            </w:tcBorders>
            <w:gridSpan w:val="2"/>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and cash equivalents, end of year</w:t>
            </w:r>
          </w:p>
        </w:tc>
        <w:tc>
          <w:tcPr>
            <w:tcW w:w="84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20,357,016</w:t>
            </w:r>
          </w:p>
        </w:tc>
        <w:tc>
          <w:tcPr>
            <w:tcW w:w="26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25,806,002</w:t>
            </w:r>
          </w:p>
        </w:tc>
        <w:tc>
          <w:tcPr>
            <w:tcW w:w="220" w:type="dxa"/>
            <w:vAlign w:val="bottom"/>
            <w:tcBorders>
              <w:bottom w:val="single" w:sz="8" w:color="CCECFF"/>
            </w:tcBorders>
            <w:shd w:val="clear" w:color="auto" w:fill="CCECFF"/>
          </w:tcPr>
          <w:p>
            <w:pPr>
              <w:spacing w:after="0"/>
              <w:rPr>
                <w:sz w:val="13"/>
                <w:szCs w:val="13"/>
                <w:color w:val="auto"/>
              </w:rPr>
            </w:pPr>
          </w:p>
        </w:tc>
        <w:tc>
          <w:tcPr>
            <w:tcW w:w="2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59,516,236</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disclosures:</w:t>
            </w:r>
          </w:p>
        </w:tc>
        <w:tc>
          <w:tcPr>
            <w:tcW w:w="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96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96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Interest paid</w:t>
            </w:r>
          </w:p>
        </w:tc>
        <w:tc>
          <w:tcPr>
            <w:tcW w:w="112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17,134,834</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31,183,487</w:t>
            </w:r>
          </w:p>
        </w:tc>
        <w:tc>
          <w:tcPr>
            <w:tcW w:w="22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31,879,577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CFF"/>
              <w:bottom w:val="single" w:sz="8" w:color="CCECFF"/>
            </w:tcBorders>
            <w:gridSpan w:val="2"/>
            <w:vMerge w:val="restart"/>
          </w:tcPr>
          <w:p>
            <w:pPr>
              <w:ind w:left="260"/>
              <w:spacing w:after="0"/>
              <w:rPr>
                <w:sz w:val="20"/>
                <w:szCs w:val="20"/>
                <w:color w:val="auto"/>
              </w:rPr>
            </w:pPr>
            <w:r>
              <w:rPr>
                <w:rFonts w:ascii="Arial" w:cs="Arial" w:eastAsia="Arial" w:hAnsi="Arial"/>
                <w:sz w:val="14"/>
                <w:szCs w:val="14"/>
                <w:color w:val="auto"/>
              </w:rPr>
              <w:t>Taxes paid</w:t>
            </w:r>
          </w:p>
        </w:tc>
        <w:tc>
          <w:tcPr>
            <w:tcW w:w="84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60" w:type="dxa"/>
            <w:vAlign w:val="bottom"/>
            <w:tcBorders>
              <w:bottom w:val="single" w:sz="8" w:color="CCECFF"/>
            </w:tcBorders>
            <w:gridSpan w:val="2"/>
            <w:vMerge w:val="continue"/>
          </w:tcPr>
          <w:p>
            <w:pPr>
              <w:spacing w:after="0"/>
              <w:rPr>
                <w:sz w:val="15"/>
                <w:szCs w:val="15"/>
                <w:color w:val="auto"/>
              </w:rPr>
            </w:pPr>
          </w:p>
        </w:tc>
        <w:tc>
          <w:tcPr>
            <w:tcW w:w="840" w:type="dxa"/>
            <w:vAlign w:val="bottom"/>
            <w:tcBorders>
              <w:bottom w:val="single" w:sz="8" w:color="CCECFF"/>
            </w:tcBorders>
          </w:tcPr>
          <w:p>
            <w:pPr>
              <w:spacing w:after="0"/>
              <w:rPr>
                <w:sz w:val="15"/>
                <w:szCs w:val="15"/>
                <w:color w:val="auto"/>
              </w:rPr>
            </w:pPr>
          </w:p>
        </w:tc>
        <w:tc>
          <w:tcPr>
            <w:tcW w:w="280" w:type="dxa"/>
            <w:vAlign w:val="bottom"/>
            <w:tcBorders>
              <w:bottom w:val="single" w:sz="8" w:color="auto"/>
            </w:tcBorders>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983,706</w:t>
            </w:r>
          </w:p>
        </w:tc>
        <w:tc>
          <w:tcPr>
            <w:tcW w:w="260" w:type="dxa"/>
            <w:vAlign w:val="bottom"/>
            <w:tcBorders>
              <w:bottom w:val="single" w:sz="8" w:color="CCECFF"/>
            </w:tcBorders>
          </w:tcPr>
          <w:p>
            <w:pPr>
              <w:spacing w:after="0"/>
              <w:rPr>
                <w:sz w:val="15"/>
                <w:szCs w:val="15"/>
                <w:color w:val="auto"/>
              </w:rPr>
            </w:pPr>
          </w:p>
        </w:tc>
        <w:tc>
          <w:tcPr>
            <w:tcW w:w="280" w:type="dxa"/>
            <w:vAlign w:val="bottom"/>
            <w:tcBorders>
              <w:bottom w:val="single" w:sz="8" w:color="auto"/>
            </w:tcBorders>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1,049,381</w:t>
            </w:r>
          </w:p>
        </w:tc>
        <w:tc>
          <w:tcPr>
            <w:tcW w:w="220" w:type="dxa"/>
            <w:vAlign w:val="bottom"/>
            <w:tcBorders>
              <w:bottom w:val="single" w:sz="8" w:color="CCECFF"/>
            </w:tcBorders>
          </w:tcPr>
          <w:p>
            <w:pPr>
              <w:spacing w:after="0"/>
              <w:rPr>
                <w:sz w:val="15"/>
                <w:szCs w:val="15"/>
                <w:color w:val="auto"/>
              </w:rPr>
            </w:pPr>
          </w:p>
        </w:tc>
        <w:tc>
          <w:tcPr>
            <w:tcW w:w="20" w:type="dxa"/>
            <w:vAlign w:val="bottom"/>
            <w:tcBorders>
              <w:bottom w:val="single" w:sz="8" w:color="CCECFF"/>
            </w:tcBorders>
          </w:tcPr>
          <w:p>
            <w:pPr>
              <w:spacing w:after="0"/>
              <w:rPr>
                <w:sz w:val="15"/>
                <w:szCs w:val="15"/>
                <w:color w:val="auto"/>
              </w:rPr>
            </w:pPr>
          </w:p>
        </w:tc>
        <w:tc>
          <w:tcPr>
            <w:tcW w:w="280" w:type="dxa"/>
            <w:vAlign w:val="bottom"/>
            <w:tcBorders>
              <w:bottom w:val="single" w:sz="8" w:color="auto"/>
            </w:tcBorders>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1,143,380</w:t>
            </w:r>
          </w:p>
        </w:tc>
        <w:tc>
          <w:tcPr>
            <w:tcW w:w="12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960" w:type="dxa"/>
            <w:vAlign w:val="bottom"/>
            <w:tcBorders>
              <w:bottom w:val="single" w:sz="8" w:color="CCECFF"/>
            </w:tcBorders>
            <w:gridSpan w:val="2"/>
            <w:shd w:val="clear" w:color="auto" w:fill="CCECFF"/>
          </w:tcPr>
          <w:p>
            <w:pPr>
              <w:ind w:left="260"/>
              <w:spacing w:after="0" w:line="143" w:lineRule="exact"/>
              <w:rPr>
                <w:sz w:val="20"/>
                <w:szCs w:val="20"/>
                <w:color w:val="auto"/>
              </w:rPr>
            </w:pPr>
            <w:r>
              <w:rPr>
                <w:rFonts w:ascii="Arial" w:cs="Arial" w:eastAsia="Arial" w:hAnsi="Arial"/>
                <w:sz w:val="14"/>
                <w:szCs w:val="14"/>
                <w:color w:val="auto"/>
              </w:rPr>
              <w:t xml:space="preserve">Non-cash exchanges and conversions </w:t>
            </w:r>
            <w:r>
              <w:rPr>
                <w:rFonts w:ascii="Arial" w:cs="Arial" w:eastAsia="Arial" w:hAnsi="Arial"/>
                <w:sz w:val="12"/>
                <w:szCs w:val="12"/>
                <w:color w:val="auto"/>
              </w:rPr>
              <w:t>(1)</w:t>
            </w:r>
          </w:p>
        </w:tc>
        <w:tc>
          <w:tcPr>
            <w:tcW w:w="840" w:type="dxa"/>
            <w:vAlign w:val="bottom"/>
            <w:tcBorders>
              <w:bottom w:val="single" w:sz="8" w:color="CCECFF"/>
            </w:tcBorders>
            <w:shd w:val="clear" w:color="auto" w:fill="CCECFF"/>
          </w:tcPr>
          <w:p>
            <w:pPr>
              <w:spacing w:after="0"/>
              <w:rPr>
                <w:sz w:val="12"/>
                <w:szCs w:val="12"/>
                <w:color w:val="auto"/>
              </w:rPr>
            </w:pPr>
          </w:p>
        </w:tc>
        <w:tc>
          <w:tcPr>
            <w:tcW w:w="280" w:type="dxa"/>
            <w:vAlign w:val="bottom"/>
            <w:tcBorders>
              <w:bottom w:val="single" w:sz="8" w:color="auto"/>
            </w:tcBorders>
            <w:shd w:val="clear" w:color="auto" w:fill="CCECFF"/>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16,515,842</w:t>
            </w:r>
          </w:p>
        </w:tc>
        <w:tc>
          <w:tcPr>
            <w:tcW w:w="260" w:type="dxa"/>
            <w:vAlign w:val="bottom"/>
            <w:tcBorders>
              <w:bottom w:val="single" w:sz="8" w:color="CCECFF"/>
            </w:tcBorders>
            <w:shd w:val="clear" w:color="auto" w:fill="CCECFF"/>
          </w:tcPr>
          <w:p>
            <w:pPr>
              <w:spacing w:after="0"/>
              <w:rPr>
                <w:sz w:val="12"/>
                <w:szCs w:val="12"/>
                <w:color w:val="auto"/>
              </w:rPr>
            </w:pPr>
          </w:p>
        </w:tc>
        <w:tc>
          <w:tcPr>
            <w:tcW w:w="280" w:type="dxa"/>
            <w:vAlign w:val="bottom"/>
            <w:tcBorders>
              <w:bottom w:val="single" w:sz="8" w:color="auto"/>
            </w:tcBorders>
            <w:shd w:val="clear" w:color="auto" w:fill="CCECFF"/>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108,812,276</w:t>
            </w:r>
          </w:p>
        </w:tc>
        <w:tc>
          <w:tcPr>
            <w:tcW w:w="220" w:type="dxa"/>
            <w:vAlign w:val="bottom"/>
            <w:tcBorders>
              <w:bottom w:val="single" w:sz="8" w:color="CCECFF"/>
            </w:tcBorders>
            <w:shd w:val="clear" w:color="auto" w:fill="CCECFF"/>
          </w:tcPr>
          <w:p>
            <w:pPr>
              <w:spacing w:after="0"/>
              <w:rPr>
                <w:sz w:val="12"/>
                <w:szCs w:val="12"/>
                <w:color w:val="auto"/>
              </w:rPr>
            </w:pPr>
          </w:p>
        </w:tc>
        <w:tc>
          <w:tcPr>
            <w:tcW w:w="20" w:type="dxa"/>
            <w:vAlign w:val="bottom"/>
            <w:tcBorders>
              <w:bottom w:val="single" w:sz="8" w:color="CCECFF"/>
            </w:tcBorders>
            <w:shd w:val="clear" w:color="auto" w:fill="CCECFF"/>
          </w:tcPr>
          <w:p>
            <w:pPr>
              <w:spacing w:after="0"/>
              <w:rPr>
                <w:sz w:val="12"/>
                <w:szCs w:val="12"/>
                <w:color w:val="auto"/>
              </w:rPr>
            </w:pPr>
          </w:p>
        </w:tc>
        <w:tc>
          <w:tcPr>
            <w:tcW w:w="280" w:type="dxa"/>
            <w:vAlign w:val="bottom"/>
            <w:tcBorders>
              <w:bottom w:val="single" w:sz="8" w:color="auto"/>
            </w:tcBorders>
            <w:shd w:val="clear" w:color="auto" w:fill="CCECFF"/>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14,823,909</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120" w:type="dxa"/>
            <w:vAlign w:val="bottom"/>
            <w:tcBorders>
              <w:bottom w:val="single" w:sz="8" w:color="auto"/>
            </w:tcBorders>
          </w:tcPr>
          <w:p>
            <w:pPr>
              <w:spacing w:after="0"/>
              <w:rPr>
                <w:sz w:val="3"/>
                <w:szCs w:val="3"/>
                <w:color w:val="auto"/>
              </w:rPr>
            </w:pPr>
          </w:p>
        </w:tc>
        <w:tc>
          <w:tcPr>
            <w:tcW w:w="3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jc w:val="both"/>
        <w:ind w:left="380" w:right="40" w:hanging="372"/>
        <w:spacing w:after="0" w:line="222" w:lineRule="auto"/>
        <w:tabs>
          <w:tab w:leader="none" w:pos="380" w:val="left"/>
        </w:tabs>
        <w:numPr>
          <w:ilvl w:val="0"/>
          <w:numId w:val="65"/>
        </w:numPr>
        <w:rPr>
          <w:rFonts w:ascii="Arial" w:cs="Arial" w:eastAsia="Arial" w:hAnsi="Arial"/>
          <w:sz w:val="19"/>
          <w:szCs w:val="19"/>
          <w:b w:val="1"/>
          <w:bCs w:val="1"/>
          <w:color w:val="auto"/>
          <w:vertAlign w:val="superscript"/>
        </w:rPr>
      </w:pPr>
      <w:r>
        <w:rPr>
          <w:rFonts w:ascii="Arial" w:cs="Arial" w:eastAsia="Arial" w:hAnsi="Arial"/>
          <w:sz w:val="11"/>
          <w:szCs w:val="11"/>
          <w:color w:val="auto"/>
        </w:rPr>
        <w:t>In addition to the “Non-cash exchanges and conversions” reported above, on July 31, 2020 we and Pantheon formed PSLF, an unconsolidated joint venture. Pursuant to the terms of the transaction, Pantheon invested $35.0 million to acquire a 28% stake in PSLF, of which $12.5 million was paid to the Company and is included in “Proceeds from dispositions of investments” on the Statement of Cash Flows. We contributed our formerly wholly-owned subsidiary, Funding I, to PSLF in exchange for a 72% stake in the joint venture which was valued at $96.2 million ($63.0 million of PSLF member notes and 72% of PSLF’s members’ equity). As a result of this non-cash transaction, Funding I was deconsolidated from PennantPark Investment’s financial statements, including Funding I’s portfolio of senior loans valued at $356.1 million as of July 31, 2020.</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3"/>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2840" w:type="dxa"/>
            <w:vAlign w:val="bottom"/>
          </w:tcPr>
          <w:p>
            <w:pPr>
              <w:spacing w:after="0"/>
              <w:rPr>
                <w:sz w:val="10"/>
                <w:szCs w:val="10"/>
                <w:color w:val="auto"/>
              </w:rPr>
            </w:pPr>
          </w:p>
        </w:tc>
        <w:tc>
          <w:tcPr>
            <w:tcW w:w="1120" w:type="dxa"/>
            <w:vAlign w:val="bottom"/>
          </w:tcPr>
          <w:p>
            <w:pPr>
              <w:ind w:left="380"/>
              <w:spacing w:after="0" w:line="122" w:lineRule="exact"/>
              <w:rPr>
                <w:sz w:val="20"/>
                <w:szCs w:val="20"/>
                <w:color w:val="auto"/>
              </w:rPr>
            </w:pPr>
            <w:r>
              <w:rPr>
                <w:rFonts w:ascii="Arial" w:cs="Arial" w:eastAsia="Arial" w:hAnsi="Arial"/>
                <w:sz w:val="11"/>
                <w:szCs w:val="11"/>
                <w:b w:val="1"/>
                <w:bCs w:val="1"/>
                <w:color w:val="auto"/>
              </w:rPr>
              <w:t>Maturity /</w:t>
            </w: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10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Spread Above</w:t>
            </w: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2"/>
              </w:rPr>
              <w:t>Par /</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284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1120" w:type="dxa"/>
            <w:vAlign w:val="bottom"/>
          </w:tcPr>
          <w:p>
            <w:pPr>
              <w:ind w:left="360"/>
              <w:spacing w:after="0"/>
              <w:rPr>
                <w:sz w:val="20"/>
                <w:szCs w:val="20"/>
                <w:color w:val="auto"/>
              </w:rPr>
            </w:pPr>
            <w:r>
              <w:rPr>
                <w:rFonts w:ascii="Arial" w:cs="Arial" w:eastAsia="Arial" w:hAnsi="Arial"/>
                <w:sz w:val="11"/>
                <w:szCs w:val="11"/>
                <w:b w:val="1"/>
                <w:bCs w:val="1"/>
                <w:color w:val="auto"/>
              </w:rPr>
              <w:t>Expiration</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Industry</w:t>
            </w:r>
          </w:p>
        </w:tc>
        <w:tc>
          <w:tcPr>
            <w:tcW w:w="94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Coupon</w:t>
            </w:r>
          </w:p>
        </w:tc>
        <w:tc>
          <w:tcPr>
            <w:tcW w:w="10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1"/>
              </w:rPr>
              <w:t>Shares</w:t>
            </w:r>
          </w:p>
        </w:tc>
        <w:tc>
          <w:tcPr>
            <w:tcW w:w="120" w:type="dxa"/>
            <w:vAlign w:val="bottom"/>
          </w:tcPr>
          <w:p>
            <w:pPr>
              <w:spacing w:after="0"/>
              <w:rPr>
                <w:sz w:val="11"/>
                <w:szCs w:val="11"/>
                <w:color w:val="auto"/>
              </w:rPr>
            </w:pPr>
          </w:p>
        </w:tc>
        <w:tc>
          <w:tcPr>
            <w:tcW w:w="560" w:type="dxa"/>
            <w:vAlign w:val="bottom"/>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(3)</w:t>
            </w:r>
          </w:p>
        </w:tc>
      </w:tr>
      <w:tr>
        <w:trPr>
          <w:trHeight w:val="128"/>
        </w:trPr>
        <w:tc>
          <w:tcPr>
            <w:tcW w:w="396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w w:val="92"/>
              </w:rPr>
              <w:t xml:space="preserve">Investments in Non-Controlled, Non-Affiliated Portfolio Companies—124.3% </w:t>
            </w:r>
            <w:r>
              <w:rPr>
                <w:rFonts w:ascii="Arial" w:cs="Arial" w:eastAsia="Arial" w:hAnsi="Arial"/>
                <w:sz w:val="9"/>
                <w:szCs w:val="9"/>
                <w:b w:val="1"/>
                <w:bCs w:val="1"/>
                <w:color w:val="auto"/>
                <w:w w:val="92"/>
              </w:rPr>
              <w:t>(1), (2)</w:t>
            </w:r>
          </w:p>
        </w:tc>
        <w:tc>
          <w:tcPr>
            <w:tcW w:w="256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84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r>
      <w:tr>
        <w:trPr>
          <w:trHeight w:val="135"/>
        </w:trPr>
        <w:tc>
          <w:tcPr>
            <w:tcW w:w="2840" w:type="dxa"/>
            <w:vAlign w:val="bottom"/>
          </w:tcPr>
          <w:p>
            <w:pPr>
              <w:spacing w:after="0"/>
              <w:rPr>
                <w:sz w:val="20"/>
                <w:szCs w:val="20"/>
                <w:color w:val="auto"/>
              </w:rPr>
            </w:pPr>
            <w:r>
              <w:rPr>
                <w:rFonts w:ascii="Arial" w:cs="Arial" w:eastAsia="Arial" w:hAnsi="Arial"/>
                <w:sz w:val="11"/>
                <w:szCs w:val="11"/>
                <w:b w:val="1"/>
                <w:bCs w:val="1"/>
                <w:color w:val="auto"/>
              </w:rPr>
              <w:t>First Lien Secured Debt—77.5%</w:t>
            </w:r>
          </w:p>
        </w:tc>
        <w:tc>
          <w:tcPr>
            <w:tcW w:w="1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18 Freemont Street Acquisition, LLC</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08/11/2025</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90"/>
              </w:rPr>
              <w:t>Hotels, Motels, Inns and Gaming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9.50%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7,432,867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6,815,049</w:t>
            </w:r>
          </w:p>
        </w:tc>
        <w:tc>
          <w:tcPr>
            <w:tcW w:w="340" w:type="dxa"/>
            <w:vAlign w:val="bottom"/>
            <w:gridSpan w:val="2"/>
            <w:shd w:val="clear" w:color="auto" w:fill="CCECFF"/>
          </w:tcPr>
          <w:p>
            <w:pPr>
              <w:jc w:val="right"/>
              <w:ind w:right="6"/>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7,562,943</w:t>
            </w:r>
          </w:p>
        </w:tc>
        <w:tc>
          <w:tcPr>
            <w:tcW w:w="100" w:type="dxa"/>
            <w:vAlign w:val="bottom"/>
            <w:shd w:val="clear" w:color="auto" w:fill="CCECFF"/>
          </w:tcPr>
          <w:p>
            <w:pPr>
              <w:spacing w:after="0"/>
              <w:rPr>
                <w:sz w:val="11"/>
                <w:szCs w:val="11"/>
                <w:color w:val="auto"/>
              </w:rPr>
            </w:pPr>
          </w:p>
        </w:tc>
      </w:tr>
      <w:tr>
        <w:trPr>
          <w:trHeight w:val="135"/>
        </w:trPr>
        <w:tc>
          <w:tcPr>
            <w:tcW w:w="2840" w:type="dxa"/>
            <w:vAlign w:val="bottom"/>
          </w:tcPr>
          <w:p>
            <w:pPr>
              <w:spacing w:after="0"/>
              <w:rPr>
                <w:sz w:val="20"/>
                <w:szCs w:val="20"/>
                <w:color w:val="auto"/>
              </w:rPr>
            </w:pPr>
            <w:r>
              <w:rPr>
                <w:rFonts w:ascii="Arial" w:cs="Arial" w:eastAsia="Arial" w:hAnsi="Arial"/>
                <w:sz w:val="11"/>
                <w:szCs w:val="11"/>
                <w:color w:val="auto"/>
              </w:rPr>
              <w:t>Ad.net Acquisition, LLC (Revolver)</w:t>
            </w:r>
          </w:p>
        </w:tc>
        <w:tc>
          <w:tcPr>
            <w:tcW w:w="1120" w:type="dxa"/>
            <w:vAlign w:val="bottom"/>
          </w:tcPr>
          <w:p>
            <w:pPr>
              <w:jc w:val="center"/>
              <w:ind w:left="46"/>
              <w:spacing w:after="0"/>
              <w:rPr>
                <w:sz w:val="20"/>
                <w:szCs w:val="20"/>
                <w:color w:val="auto"/>
              </w:rPr>
            </w:pPr>
            <w:r>
              <w:rPr>
                <w:rFonts w:ascii="Arial" w:cs="Arial" w:eastAsia="Arial" w:hAnsi="Arial"/>
                <w:sz w:val="11"/>
                <w:szCs w:val="11"/>
                <w:color w:val="auto"/>
                <w:w w:val="90"/>
              </w:rPr>
              <w:t>05/06/2026</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tcPr>
          <w:p>
            <w:pPr>
              <w:jc w:val="center"/>
              <w:ind w:left="66"/>
              <w:spacing w:after="0"/>
              <w:rPr>
                <w:sz w:val="20"/>
                <w:szCs w:val="20"/>
                <w:color w:val="auto"/>
              </w:rPr>
            </w:pPr>
            <w:r>
              <w:rPr>
                <w:rFonts w:ascii="Arial" w:cs="Arial" w:eastAsia="Arial" w:hAnsi="Arial"/>
                <w:sz w:val="11"/>
                <w:szCs w:val="11"/>
                <w:color w:val="auto"/>
                <w:w w:val="89"/>
              </w:rPr>
              <w:t>75,556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75,556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74,422</w:t>
            </w:r>
          </w:p>
        </w:tc>
        <w:tc>
          <w:tcPr>
            <w:tcW w:w="100" w:type="dxa"/>
            <w:vAlign w:val="bottom"/>
          </w:tcPr>
          <w:p>
            <w:pPr>
              <w:spacing w:after="0"/>
              <w:rPr>
                <w:sz w:val="11"/>
                <w:szCs w:val="11"/>
                <w:color w:val="auto"/>
              </w:rPr>
            </w:pP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Ad.net Acquisition, LLC (Revolver) </w:t>
            </w:r>
            <w:r>
              <w:rPr>
                <w:rFonts w:ascii="Arial" w:cs="Arial" w:eastAsia="Arial" w:hAnsi="Arial"/>
                <w:sz w:val="9"/>
                <w:szCs w:val="9"/>
                <w:color w:val="auto"/>
              </w:rPr>
              <w:t>(7)</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05/06/2026</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93"/>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center"/>
              <w:ind w:left="66"/>
              <w:spacing w:after="0"/>
              <w:rPr>
                <w:sz w:val="20"/>
                <w:szCs w:val="20"/>
                <w:color w:val="auto"/>
              </w:rPr>
            </w:pPr>
            <w:r>
              <w:rPr>
                <w:rFonts w:ascii="Arial" w:cs="Arial" w:eastAsia="Arial" w:hAnsi="Arial"/>
                <w:sz w:val="11"/>
                <w:szCs w:val="11"/>
                <w:color w:val="auto"/>
                <w:w w:val="85"/>
              </w:rPr>
              <w:t>368,889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(5,533)</w:t>
            </w:r>
          </w:p>
        </w:tc>
      </w:tr>
      <w:tr>
        <w:trPr>
          <w:trHeight w:val="135"/>
        </w:trPr>
        <w:tc>
          <w:tcPr>
            <w:tcW w:w="2840" w:type="dxa"/>
            <w:vAlign w:val="bottom"/>
          </w:tcPr>
          <w:p>
            <w:pPr>
              <w:spacing w:after="0"/>
              <w:rPr>
                <w:sz w:val="20"/>
                <w:szCs w:val="20"/>
                <w:color w:val="auto"/>
              </w:rPr>
            </w:pPr>
            <w:r>
              <w:rPr>
                <w:rFonts w:ascii="Arial" w:cs="Arial" w:eastAsia="Arial" w:hAnsi="Arial"/>
                <w:sz w:val="11"/>
                <w:szCs w:val="11"/>
                <w:color w:val="auto"/>
              </w:rPr>
              <w:t>Altamira Technologies, LLC (Revolver)</w:t>
            </w:r>
          </w:p>
        </w:tc>
        <w:tc>
          <w:tcPr>
            <w:tcW w:w="1120" w:type="dxa"/>
            <w:vAlign w:val="bottom"/>
          </w:tcPr>
          <w:p>
            <w:pPr>
              <w:jc w:val="center"/>
              <w:ind w:left="46"/>
              <w:spacing w:after="0"/>
              <w:rPr>
                <w:sz w:val="20"/>
                <w:szCs w:val="20"/>
                <w:color w:val="auto"/>
              </w:rPr>
            </w:pPr>
            <w:r>
              <w:rPr>
                <w:rFonts w:ascii="Arial" w:cs="Arial" w:eastAsia="Arial" w:hAnsi="Arial"/>
                <w:sz w:val="11"/>
                <w:szCs w:val="11"/>
                <w:color w:val="auto"/>
                <w:w w:val="90"/>
              </w:rPr>
              <w:t>07/24/2025</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L+700</w:t>
            </w:r>
          </w:p>
        </w:tc>
        <w:tc>
          <w:tcPr>
            <w:tcW w:w="660" w:type="dxa"/>
            <w:vAlign w:val="bottom"/>
          </w:tcPr>
          <w:p>
            <w:pPr>
              <w:jc w:val="center"/>
              <w:ind w:left="66"/>
              <w:spacing w:after="0"/>
              <w:rPr>
                <w:sz w:val="20"/>
                <w:szCs w:val="20"/>
                <w:color w:val="auto"/>
              </w:rPr>
            </w:pPr>
            <w:r>
              <w:rPr>
                <w:rFonts w:ascii="Arial" w:cs="Arial" w:eastAsia="Arial" w:hAnsi="Arial"/>
                <w:sz w:val="11"/>
                <w:szCs w:val="11"/>
                <w:color w:val="auto"/>
                <w:w w:val="89"/>
              </w:rPr>
              <w:t>50,000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50,000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46,875</w:t>
            </w:r>
          </w:p>
        </w:tc>
        <w:tc>
          <w:tcPr>
            <w:tcW w:w="100" w:type="dxa"/>
            <w:vAlign w:val="bottom"/>
          </w:tcPr>
          <w:p>
            <w:pPr>
              <w:spacing w:after="0"/>
              <w:rPr>
                <w:sz w:val="11"/>
                <w:szCs w:val="11"/>
                <w:color w:val="auto"/>
              </w:rPr>
            </w:pP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9"/>
                <w:szCs w:val="9"/>
                <w:color w:val="auto"/>
              </w:rPr>
              <w:t>(7)</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07/24/2025</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center"/>
              <w:ind w:left="66"/>
              <w:spacing w:after="0"/>
              <w:rPr>
                <w:sz w:val="20"/>
                <w:szCs w:val="20"/>
                <w:color w:val="auto"/>
              </w:rPr>
            </w:pPr>
            <w:r>
              <w:rPr>
                <w:rFonts w:ascii="Arial" w:cs="Arial" w:eastAsia="Arial" w:hAnsi="Arial"/>
                <w:sz w:val="11"/>
                <w:szCs w:val="11"/>
                <w:color w:val="auto"/>
                <w:w w:val="85"/>
              </w:rPr>
              <w:t>137,500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(8,594)</w:t>
            </w:r>
          </w:p>
        </w:tc>
      </w:tr>
      <w:tr>
        <w:trPr>
          <w:trHeight w:val="135"/>
        </w:trPr>
        <w:tc>
          <w:tcPr>
            <w:tcW w:w="2840" w:type="dxa"/>
            <w:vAlign w:val="bottom"/>
          </w:tcPr>
          <w:p>
            <w:pPr>
              <w:spacing w:after="0"/>
              <w:rPr>
                <w:sz w:val="20"/>
                <w:szCs w:val="20"/>
                <w:color w:val="auto"/>
              </w:rPr>
            </w:pPr>
            <w:r>
              <w:rPr>
                <w:rFonts w:ascii="Arial" w:cs="Arial" w:eastAsia="Arial" w:hAnsi="Arial"/>
                <w:sz w:val="11"/>
                <w:szCs w:val="11"/>
                <w:color w:val="auto"/>
              </w:rPr>
              <w:t>American Insulated Glass, LLC</w:t>
            </w:r>
          </w:p>
        </w:tc>
        <w:tc>
          <w:tcPr>
            <w:tcW w:w="1120" w:type="dxa"/>
            <w:vAlign w:val="bottom"/>
          </w:tcPr>
          <w:p>
            <w:pPr>
              <w:jc w:val="center"/>
              <w:ind w:left="46"/>
              <w:spacing w:after="0"/>
              <w:rPr>
                <w:sz w:val="20"/>
                <w:szCs w:val="20"/>
                <w:color w:val="auto"/>
              </w:rPr>
            </w:pPr>
            <w:r>
              <w:rPr>
                <w:rFonts w:ascii="Arial" w:cs="Arial" w:eastAsia="Arial" w:hAnsi="Arial"/>
                <w:sz w:val="11"/>
                <w:szCs w:val="11"/>
                <w:color w:val="auto"/>
                <w:w w:val="90"/>
              </w:rPr>
              <w:t>12/21/2023</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94"/>
              </w:rPr>
              <w:t>Building Materials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tcPr>
          <w:p>
            <w:pPr>
              <w:jc w:val="right"/>
              <w:spacing w:after="0"/>
              <w:rPr>
                <w:sz w:val="20"/>
                <w:szCs w:val="20"/>
                <w:color w:val="auto"/>
              </w:rPr>
            </w:pPr>
            <w:r>
              <w:rPr>
                <w:rFonts w:ascii="Arial" w:cs="Arial" w:eastAsia="Arial" w:hAnsi="Arial"/>
                <w:sz w:val="11"/>
                <w:szCs w:val="11"/>
                <w:color w:val="auto"/>
              </w:rPr>
              <w:t>15,795,264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15,638,927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15,637,311</w:t>
            </w:r>
          </w:p>
        </w:tc>
        <w:tc>
          <w:tcPr>
            <w:tcW w:w="100" w:type="dxa"/>
            <w:vAlign w:val="bottom"/>
          </w:tcPr>
          <w:p>
            <w:pPr>
              <w:spacing w:after="0"/>
              <w:rPr>
                <w:sz w:val="11"/>
                <w:szCs w:val="11"/>
                <w:color w:val="auto"/>
              </w:rPr>
            </w:pP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Any Hour Services </w:t>
            </w:r>
            <w:r>
              <w:rPr>
                <w:rFonts w:ascii="Arial" w:cs="Arial" w:eastAsia="Arial" w:hAnsi="Arial"/>
                <w:sz w:val="9"/>
                <w:szCs w:val="9"/>
                <w:color w:val="auto"/>
              </w:rPr>
              <w:t>(7)</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07/21/2027</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7"/>
              </w:rPr>
              <w:t>Personal, Food and Miscellaneous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3,823,529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(38,235)</w:t>
            </w:r>
          </w:p>
        </w:tc>
      </w:tr>
      <w:tr>
        <w:trPr>
          <w:trHeight w:val="135"/>
        </w:trPr>
        <w:tc>
          <w:tcPr>
            <w:tcW w:w="2840" w:type="dxa"/>
            <w:vAlign w:val="bottom"/>
          </w:tcPr>
          <w:p>
            <w:pPr>
              <w:spacing w:after="0"/>
              <w:rPr>
                <w:sz w:val="20"/>
                <w:szCs w:val="20"/>
                <w:color w:val="auto"/>
              </w:rPr>
            </w:pPr>
            <w:r>
              <w:rPr>
                <w:rFonts w:ascii="Arial" w:cs="Arial" w:eastAsia="Arial" w:hAnsi="Arial"/>
                <w:sz w:val="11"/>
                <w:szCs w:val="11"/>
                <w:color w:val="auto"/>
              </w:rPr>
              <w:t xml:space="preserve">Any Hour Services (Revolver) </w:t>
            </w:r>
            <w:r>
              <w:rPr>
                <w:rFonts w:ascii="Arial" w:cs="Arial" w:eastAsia="Arial" w:hAnsi="Arial"/>
                <w:sz w:val="9"/>
                <w:szCs w:val="9"/>
                <w:color w:val="auto"/>
              </w:rPr>
              <w:t>(7)</w:t>
            </w:r>
          </w:p>
        </w:tc>
        <w:tc>
          <w:tcPr>
            <w:tcW w:w="1120" w:type="dxa"/>
            <w:vAlign w:val="bottom"/>
          </w:tcPr>
          <w:p>
            <w:pPr>
              <w:jc w:val="center"/>
              <w:ind w:left="46"/>
              <w:spacing w:after="0"/>
              <w:rPr>
                <w:sz w:val="20"/>
                <w:szCs w:val="20"/>
                <w:color w:val="auto"/>
              </w:rPr>
            </w:pPr>
            <w:r>
              <w:rPr>
                <w:rFonts w:ascii="Arial" w:cs="Arial" w:eastAsia="Arial" w:hAnsi="Arial"/>
                <w:sz w:val="11"/>
                <w:szCs w:val="11"/>
                <w:color w:val="auto"/>
                <w:w w:val="90"/>
              </w:rPr>
              <w:t>07/21/2027</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87"/>
              </w:rPr>
              <w:t>Personal, Food and Miscellaneous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1,147,059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(22,941)</w:t>
            </w: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Apex Service Partners, LLC</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07/31/2025</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7"/>
              </w:rPr>
              <w:t>Personal, Food and Miscellaneous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1,330,729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1,330,729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1,317,421</w:t>
            </w:r>
          </w:p>
        </w:tc>
        <w:tc>
          <w:tcPr>
            <w:tcW w:w="100" w:type="dxa"/>
            <w:vAlign w:val="bottom"/>
            <w:shd w:val="clear" w:color="auto" w:fill="CCECFF"/>
          </w:tcPr>
          <w:p>
            <w:pPr>
              <w:spacing w:after="0"/>
              <w:rPr>
                <w:sz w:val="11"/>
                <w:szCs w:val="11"/>
                <w:color w:val="auto"/>
              </w:rPr>
            </w:pPr>
          </w:p>
        </w:tc>
      </w:tr>
      <w:tr>
        <w:trPr>
          <w:trHeight w:val="135"/>
        </w:trPr>
        <w:tc>
          <w:tcPr>
            <w:tcW w:w="2840" w:type="dxa"/>
            <w:vAlign w:val="bottom"/>
          </w:tcPr>
          <w:p>
            <w:pPr>
              <w:spacing w:after="0"/>
              <w:rPr>
                <w:sz w:val="20"/>
                <w:szCs w:val="20"/>
                <w:color w:val="auto"/>
              </w:rPr>
            </w:pPr>
            <w:r>
              <w:rPr>
                <w:rFonts w:ascii="Arial" w:cs="Arial" w:eastAsia="Arial" w:hAnsi="Arial"/>
                <w:sz w:val="11"/>
                <w:szCs w:val="11"/>
                <w:color w:val="auto"/>
              </w:rPr>
              <w:t>Apex Service Partners, LLC Term Loan C</w:t>
            </w:r>
          </w:p>
        </w:tc>
        <w:tc>
          <w:tcPr>
            <w:tcW w:w="1120" w:type="dxa"/>
            <w:vAlign w:val="bottom"/>
          </w:tcPr>
          <w:p>
            <w:pPr>
              <w:jc w:val="center"/>
              <w:ind w:left="46"/>
              <w:spacing w:after="0"/>
              <w:rPr>
                <w:sz w:val="20"/>
                <w:szCs w:val="20"/>
                <w:color w:val="auto"/>
              </w:rPr>
            </w:pPr>
            <w:r>
              <w:rPr>
                <w:rFonts w:ascii="Arial" w:cs="Arial" w:eastAsia="Arial" w:hAnsi="Arial"/>
                <w:sz w:val="11"/>
                <w:szCs w:val="11"/>
                <w:color w:val="auto"/>
                <w:w w:val="90"/>
              </w:rPr>
              <w:t>07/31/2025</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87"/>
              </w:rPr>
              <w:t>Personal, Food and Miscellaneous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L+525</w:t>
            </w:r>
          </w:p>
        </w:tc>
        <w:tc>
          <w:tcPr>
            <w:tcW w:w="660" w:type="dxa"/>
            <w:vAlign w:val="bottom"/>
          </w:tcPr>
          <w:p>
            <w:pPr>
              <w:jc w:val="right"/>
              <w:spacing w:after="0"/>
              <w:rPr>
                <w:sz w:val="20"/>
                <w:szCs w:val="20"/>
                <w:color w:val="auto"/>
              </w:rPr>
            </w:pPr>
            <w:r>
              <w:rPr>
                <w:rFonts w:ascii="Arial" w:cs="Arial" w:eastAsia="Arial" w:hAnsi="Arial"/>
                <w:sz w:val="11"/>
                <w:szCs w:val="11"/>
                <w:color w:val="auto"/>
              </w:rPr>
              <w:t>5,592,391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5,508,960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5,536,467</w:t>
            </w:r>
          </w:p>
        </w:tc>
        <w:tc>
          <w:tcPr>
            <w:tcW w:w="100" w:type="dxa"/>
            <w:vAlign w:val="bottom"/>
          </w:tcPr>
          <w:p>
            <w:pPr>
              <w:spacing w:after="0"/>
              <w:rPr>
                <w:sz w:val="11"/>
                <w:szCs w:val="11"/>
                <w:color w:val="auto"/>
              </w:rPr>
            </w:pP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Apex Service Partners, LLC Term Loan C </w:t>
            </w:r>
            <w:r>
              <w:rPr>
                <w:rFonts w:ascii="Arial" w:cs="Arial" w:eastAsia="Arial" w:hAnsi="Arial"/>
                <w:sz w:val="9"/>
                <w:szCs w:val="9"/>
                <w:color w:val="auto"/>
              </w:rPr>
              <w:t>(7)</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01/31/2022</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7"/>
              </w:rPr>
              <w:t>Personal, Food and Miscellaneous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6,657,609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(8,322)</w:t>
            </w:r>
          </w:p>
        </w:tc>
      </w:tr>
      <w:tr>
        <w:trPr>
          <w:trHeight w:val="135"/>
        </w:trPr>
        <w:tc>
          <w:tcPr>
            <w:tcW w:w="2840" w:type="dxa"/>
            <w:vAlign w:val="bottom"/>
          </w:tcPr>
          <w:p>
            <w:pPr>
              <w:spacing w:after="0"/>
              <w:rPr>
                <w:sz w:val="20"/>
                <w:szCs w:val="20"/>
                <w:color w:val="auto"/>
              </w:rPr>
            </w:pPr>
            <w:r>
              <w:rPr>
                <w:rFonts w:ascii="Arial" w:cs="Arial" w:eastAsia="Arial" w:hAnsi="Arial"/>
                <w:sz w:val="11"/>
                <w:szCs w:val="11"/>
                <w:color w:val="auto"/>
              </w:rPr>
              <w:t>Apex Service Partners, LLC (Revolver)</w:t>
            </w:r>
          </w:p>
        </w:tc>
        <w:tc>
          <w:tcPr>
            <w:tcW w:w="1120" w:type="dxa"/>
            <w:vAlign w:val="bottom"/>
          </w:tcPr>
          <w:p>
            <w:pPr>
              <w:jc w:val="center"/>
              <w:ind w:left="46"/>
              <w:spacing w:after="0"/>
              <w:rPr>
                <w:sz w:val="20"/>
                <w:szCs w:val="20"/>
                <w:color w:val="auto"/>
              </w:rPr>
            </w:pPr>
            <w:r>
              <w:rPr>
                <w:rFonts w:ascii="Arial" w:cs="Arial" w:eastAsia="Arial" w:hAnsi="Arial"/>
                <w:sz w:val="11"/>
                <w:szCs w:val="11"/>
                <w:color w:val="auto"/>
                <w:w w:val="90"/>
              </w:rPr>
              <w:t>07/29/2024</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87"/>
              </w:rPr>
              <w:t>Personal, Food and Miscellaneous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L+525</w:t>
            </w:r>
          </w:p>
        </w:tc>
        <w:tc>
          <w:tcPr>
            <w:tcW w:w="660" w:type="dxa"/>
            <w:vAlign w:val="bottom"/>
          </w:tcPr>
          <w:p>
            <w:pPr>
              <w:jc w:val="right"/>
              <w:spacing w:after="0"/>
              <w:rPr>
                <w:sz w:val="20"/>
                <w:szCs w:val="20"/>
                <w:color w:val="auto"/>
              </w:rPr>
            </w:pPr>
            <w:r>
              <w:rPr>
                <w:rFonts w:ascii="Arial" w:cs="Arial" w:eastAsia="Arial" w:hAnsi="Arial"/>
                <w:sz w:val="11"/>
                <w:szCs w:val="11"/>
                <w:color w:val="auto"/>
              </w:rPr>
              <w:t>238,991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238,991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234,809</w:t>
            </w:r>
          </w:p>
        </w:tc>
        <w:tc>
          <w:tcPr>
            <w:tcW w:w="100" w:type="dxa"/>
            <w:vAlign w:val="bottom"/>
          </w:tcPr>
          <w:p>
            <w:pPr>
              <w:spacing w:after="0"/>
              <w:rPr>
                <w:sz w:val="11"/>
                <w:szCs w:val="11"/>
                <w:color w:val="auto"/>
              </w:rPr>
            </w:pP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Apex Service Partners, LLC (Revolver) </w:t>
            </w:r>
            <w:r>
              <w:rPr>
                <w:rFonts w:ascii="Arial" w:cs="Arial" w:eastAsia="Arial" w:hAnsi="Arial"/>
                <w:sz w:val="9"/>
                <w:szCs w:val="9"/>
                <w:color w:val="auto"/>
              </w:rPr>
              <w:t>(7)</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07/29/2024</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7"/>
              </w:rPr>
              <w:t>Personal, Food and Miscellaneous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693,074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(12,129)</w:t>
            </w:r>
          </w:p>
        </w:tc>
      </w:tr>
      <w:tr>
        <w:trPr>
          <w:trHeight w:val="135"/>
        </w:trPr>
        <w:tc>
          <w:tcPr>
            <w:tcW w:w="2840" w:type="dxa"/>
            <w:vAlign w:val="bottom"/>
          </w:tcPr>
          <w:p>
            <w:pPr>
              <w:spacing w:after="0"/>
              <w:rPr>
                <w:sz w:val="20"/>
                <w:szCs w:val="20"/>
                <w:color w:val="auto"/>
              </w:rPr>
            </w:pPr>
            <w:r>
              <w:rPr>
                <w:rFonts w:ascii="Arial" w:cs="Arial" w:eastAsia="Arial" w:hAnsi="Arial"/>
                <w:sz w:val="11"/>
                <w:szCs w:val="11"/>
                <w:color w:val="auto"/>
              </w:rPr>
              <w:t xml:space="preserve">Applied Technical Services, LLC </w:t>
            </w:r>
            <w:r>
              <w:rPr>
                <w:rFonts w:ascii="Arial" w:cs="Arial" w:eastAsia="Arial" w:hAnsi="Arial"/>
                <w:sz w:val="9"/>
                <w:szCs w:val="9"/>
                <w:color w:val="auto"/>
              </w:rPr>
              <w:t>(7)</w:t>
            </w:r>
          </w:p>
        </w:tc>
        <w:tc>
          <w:tcPr>
            <w:tcW w:w="1120" w:type="dxa"/>
            <w:vAlign w:val="bottom"/>
          </w:tcPr>
          <w:p>
            <w:pPr>
              <w:jc w:val="center"/>
              <w:ind w:left="46"/>
              <w:spacing w:after="0"/>
              <w:rPr>
                <w:sz w:val="20"/>
                <w:szCs w:val="20"/>
                <w:color w:val="auto"/>
              </w:rPr>
            </w:pPr>
            <w:r>
              <w:rPr>
                <w:rFonts w:ascii="Arial" w:cs="Arial" w:eastAsia="Arial" w:hAnsi="Arial"/>
                <w:sz w:val="11"/>
                <w:szCs w:val="11"/>
                <w:color w:val="auto"/>
                <w:w w:val="90"/>
              </w:rPr>
              <w:t>06/29/2022</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6,235,427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(54,560)</w:t>
            </w: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Applied Technical Services, LLC (Revolver) </w:t>
            </w:r>
            <w:r>
              <w:rPr>
                <w:rFonts w:ascii="Arial" w:cs="Arial" w:eastAsia="Arial" w:hAnsi="Arial"/>
                <w:sz w:val="9"/>
                <w:szCs w:val="9"/>
                <w:color w:val="auto"/>
              </w:rPr>
              <w:t>(7)</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12/29/2026</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(20,000)</w:t>
            </w:r>
          </w:p>
        </w:tc>
      </w:tr>
      <w:tr>
        <w:trPr>
          <w:trHeight w:val="135"/>
        </w:trPr>
        <w:tc>
          <w:tcPr>
            <w:tcW w:w="2840" w:type="dxa"/>
            <w:vAlign w:val="bottom"/>
          </w:tcPr>
          <w:p>
            <w:pPr>
              <w:spacing w:after="0"/>
              <w:rPr>
                <w:sz w:val="20"/>
                <w:szCs w:val="20"/>
                <w:color w:val="auto"/>
              </w:rPr>
            </w:pPr>
            <w:r>
              <w:rPr>
                <w:rFonts w:ascii="Arial" w:cs="Arial" w:eastAsia="Arial" w:hAnsi="Arial"/>
                <w:sz w:val="11"/>
                <w:szCs w:val="11"/>
                <w:color w:val="auto"/>
              </w:rPr>
              <w:t>Bottom Line Systems, LLC</w:t>
            </w:r>
          </w:p>
        </w:tc>
        <w:tc>
          <w:tcPr>
            <w:tcW w:w="1120" w:type="dxa"/>
            <w:vAlign w:val="bottom"/>
          </w:tcPr>
          <w:p>
            <w:pPr>
              <w:jc w:val="center"/>
              <w:ind w:left="46"/>
              <w:spacing w:after="0"/>
              <w:rPr>
                <w:sz w:val="20"/>
                <w:szCs w:val="20"/>
                <w:color w:val="auto"/>
              </w:rPr>
            </w:pPr>
            <w:r>
              <w:rPr>
                <w:rFonts w:ascii="Arial" w:cs="Arial" w:eastAsia="Arial" w:hAnsi="Arial"/>
                <w:sz w:val="11"/>
                <w:szCs w:val="11"/>
                <w:color w:val="auto"/>
                <w:w w:val="90"/>
              </w:rPr>
              <w:t>02/13/2023</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tcPr>
          <w:p>
            <w:pPr>
              <w:jc w:val="right"/>
              <w:spacing w:after="0"/>
              <w:rPr>
                <w:sz w:val="20"/>
                <w:szCs w:val="20"/>
                <w:color w:val="auto"/>
              </w:rPr>
            </w:pPr>
            <w:r>
              <w:rPr>
                <w:rFonts w:ascii="Arial" w:cs="Arial" w:eastAsia="Arial" w:hAnsi="Arial"/>
                <w:sz w:val="11"/>
                <w:szCs w:val="11"/>
                <w:color w:val="auto"/>
              </w:rPr>
              <w:t>6,153,097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6,128,168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6,153,097</w:t>
            </w:r>
          </w:p>
        </w:tc>
        <w:tc>
          <w:tcPr>
            <w:tcW w:w="100" w:type="dxa"/>
            <w:vAlign w:val="bottom"/>
          </w:tcPr>
          <w:p>
            <w:pPr>
              <w:spacing w:after="0"/>
              <w:rPr>
                <w:sz w:val="11"/>
                <w:szCs w:val="11"/>
                <w:color w:val="auto"/>
              </w:rPr>
            </w:pP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Broder Bros., Co.</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12/02/2022</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8"/>
              </w:rPr>
              <w:t>Consumer Products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9.75%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L+850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25,332,751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25,333,384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25,332,751</w:t>
            </w:r>
          </w:p>
        </w:tc>
        <w:tc>
          <w:tcPr>
            <w:tcW w:w="100" w:type="dxa"/>
            <w:vAlign w:val="bottom"/>
            <w:shd w:val="clear" w:color="auto" w:fill="CCECFF"/>
          </w:tcPr>
          <w:p>
            <w:pPr>
              <w:spacing w:after="0"/>
              <w:rPr>
                <w:sz w:val="11"/>
                <w:szCs w:val="11"/>
                <w:color w:val="auto"/>
              </w:rPr>
            </w:pPr>
          </w:p>
        </w:tc>
      </w:tr>
      <w:tr>
        <w:trPr>
          <w:trHeight w:val="135"/>
        </w:trPr>
        <w:tc>
          <w:tcPr>
            <w:tcW w:w="2840" w:type="dxa"/>
            <w:vAlign w:val="bottom"/>
          </w:tcPr>
          <w:p>
            <w:pPr>
              <w:spacing w:after="0"/>
              <w:rPr>
                <w:sz w:val="20"/>
                <w:szCs w:val="20"/>
                <w:color w:val="auto"/>
              </w:rPr>
            </w:pPr>
            <w:r>
              <w:rPr>
                <w:rFonts w:ascii="Arial" w:cs="Arial" w:eastAsia="Arial" w:hAnsi="Arial"/>
                <w:sz w:val="11"/>
                <w:szCs w:val="11"/>
                <w:color w:val="auto"/>
              </w:rPr>
              <w:t>CF512, Inc.</w:t>
            </w:r>
          </w:p>
        </w:tc>
        <w:tc>
          <w:tcPr>
            <w:tcW w:w="1120" w:type="dxa"/>
            <w:vAlign w:val="bottom"/>
          </w:tcPr>
          <w:p>
            <w:pPr>
              <w:jc w:val="center"/>
              <w:ind w:left="46"/>
              <w:spacing w:after="0"/>
              <w:rPr>
                <w:sz w:val="20"/>
                <w:szCs w:val="20"/>
                <w:color w:val="auto"/>
              </w:rPr>
            </w:pPr>
            <w:r>
              <w:rPr>
                <w:rFonts w:ascii="Arial" w:cs="Arial" w:eastAsia="Arial" w:hAnsi="Arial"/>
                <w:sz w:val="11"/>
                <w:szCs w:val="11"/>
                <w:color w:val="auto"/>
                <w:w w:val="90"/>
              </w:rPr>
              <w:t>08/20/2026</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tcPr>
          <w:p>
            <w:pPr>
              <w:jc w:val="right"/>
              <w:spacing w:after="0"/>
              <w:rPr>
                <w:sz w:val="20"/>
                <w:szCs w:val="20"/>
                <w:color w:val="auto"/>
              </w:rPr>
            </w:pPr>
            <w:r>
              <w:rPr>
                <w:rFonts w:ascii="Arial" w:cs="Arial" w:eastAsia="Arial" w:hAnsi="Arial"/>
                <w:sz w:val="11"/>
                <w:szCs w:val="11"/>
                <w:color w:val="auto"/>
              </w:rPr>
              <w:t>10,000,000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9,802,447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9,800,000</w:t>
            </w:r>
          </w:p>
        </w:tc>
        <w:tc>
          <w:tcPr>
            <w:tcW w:w="100" w:type="dxa"/>
            <w:vAlign w:val="bottom"/>
          </w:tcPr>
          <w:p>
            <w:pPr>
              <w:spacing w:after="0"/>
              <w:rPr>
                <w:sz w:val="11"/>
                <w:szCs w:val="11"/>
                <w:color w:val="auto"/>
              </w:rPr>
            </w:pP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CF512, Inc. </w:t>
            </w:r>
            <w:r>
              <w:rPr>
                <w:rFonts w:ascii="Arial" w:cs="Arial" w:eastAsia="Arial" w:hAnsi="Arial"/>
                <w:sz w:val="9"/>
                <w:szCs w:val="9"/>
                <w:color w:val="auto"/>
              </w:rPr>
              <w:t>(7)</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08/20/2026</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93"/>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2,727,273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(27,273)</w:t>
            </w:r>
          </w:p>
        </w:tc>
      </w:tr>
      <w:tr>
        <w:trPr>
          <w:trHeight w:val="135"/>
        </w:trPr>
        <w:tc>
          <w:tcPr>
            <w:tcW w:w="2840" w:type="dxa"/>
            <w:vAlign w:val="bottom"/>
          </w:tcPr>
          <w:p>
            <w:pPr>
              <w:spacing w:after="0"/>
              <w:rPr>
                <w:sz w:val="20"/>
                <w:szCs w:val="20"/>
                <w:color w:val="auto"/>
              </w:rPr>
            </w:pPr>
            <w:r>
              <w:rPr>
                <w:rFonts w:ascii="Arial" w:cs="Arial" w:eastAsia="Arial" w:hAnsi="Arial"/>
                <w:sz w:val="11"/>
                <w:szCs w:val="11"/>
                <w:color w:val="auto"/>
              </w:rPr>
              <w:t xml:space="preserve">CF512, Inc.(Revolver) </w:t>
            </w:r>
            <w:r>
              <w:rPr>
                <w:rFonts w:ascii="Arial" w:cs="Arial" w:eastAsia="Arial" w:hAnsi="Arial"/>
                <w:sz w:val="9"/>
                <w:szCs w:val="9"/>
                <w:color w:val="auto"/>
              </w:rPr>
              <w:t>(7)</w:t>
            </w:r>
          </w:p>
        </w:tc>
        <w:tc>
          <w:tcPr>
            <w:tcW w:w="1120" w:type="dxa"/>
            <w:vAlign w:val="bottom"/>
          </w:tcPr>
          <w:p>
            <w:pPr>
              <w:jc w:val="center"/>
              <w:ind w:left="46"/>
              <w:spacing w:after="0"/>
              <w:rPr>
                <w:sz w:val="20"/>
                <w:szCs w:val="20"/>
                <w:color w:val="auto"/>
              </w:rPr>
            </w:pPr>
            <w:r>
              <w:rPr>
                <w:rFonts w:ascii="Arial" w:cs="Arial" w:eastAsia="Arial" w:hAnsi="Arial"/>
                <w:sz w:val="11"/>
                <w:szCs w:val="11"/>
                <w:color w:val="auto"/>
                <w:w w:val="90"/>
              </w:rPr>
              <w:t>08/20/2026</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909,091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(18,182)</w:t>
            </w: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Compex Legal Services, Inc.</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02/09/2026</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3,569,654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3,514,434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3,528,959</w:t>
            </w:r>
          </w:p>
        </w:tc>
        <w:tc>
          <w:tcPr>
            <w:tcW w:w="100" w:type="dxa"/>
            <w:vAlign w:val="bottom"/>
            <w:shd w:val="clear" w:color="auto" w:fill="CCECFF"/>
          </w:tcPr>
          <w:p>
            <w:pPr>
              <w:spacing w:after="0"/>
              <w:rPr>
                <w:sz w:val="11"/>
                <w:szCs w:val="11"/>
                <w:color w:val="auto"/>
              </w:rPr>
            </w:pPr>
          </w:p>
        </w:tc>
      </w:tr>
      <w:tr>
        <w:trPr>
          <w:trHeight w:val="135"/>
        </w:trPr>
        <w:tc>
          <w:tcPr>
            <w:tcW w:w="2840" w:type="dxa"/>
            <w:vAlign w:val="bottom"/>
          </w:tcPr>
          <w:p>
            <w:pPr>
              <w:spacing w:after="0"/>
              <w:rPr>
                <w:sz w:val="20"/>
                <w:szCs w:val="20"/>
                <w:color w:val="auto"/>
              </w:rPr>
            </w:pPr>
            <w:r>
              <w:rPr>
                <w:rFonts w:ascii="Arial" w:cs="Arial" w:eastAsia="Arial" w:hAnsi="Arial"/>
                <w:sz w:val="11"/>
                <w:szCs w:val="11"/>
                <w:color w:val="auto"/>
              </w:rPr>
              <w:t>Compex Legal Services, Inc. (Revolver)</w:t>
            </w:r>
          </w:p>
        </w:tc>
        <w:tc>
          <w:tcPr>
            <w:tcW w:w="1120" w:type="dxa"/>
            <w:vAlign w:val="bottom"/>
          </w:tcPr>
          <w:p>
            <w:pPr>
              <w:jc w:val="center"/>
              <w:ind w:left="46"/>
              <w:spacing w:after="0"/>
              <w:rPr>
                <w:sz w:val="20"/>
                <w:szCs w:val="20"/>
                <w:color w:val="auto"/>
              </w:rPr>
            </w:pPr>
            <w:r>
              <w:rPr>
                <w:rFonts w:ascii="Arial" w:cs="Arial" w:eastAsia="Arial" w:hAnsi="Arial"/>
                <w:sz w:val="11"/>
                <w:szCs w:val="11"/>
                <w:color w:val="auto"/>
                <w:w w:val="90"/>
              </w:rPr>
              <w:t>02/07/2025</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458,962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458,962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453,730</w:t>
            </w:r>
          </w:p>
        </w:tc>
        <w:tc>
          <w:tcPr>
            <w:tcW w:w="100" w:type="dxa"/>
            <w:vAlign w:val="bottom"/>
          </w:tcPr>
          <w:p>
            <w:pPr>
              <w:spacing w:after="0"/>
              <w:rPr>
                <w:sz w:val="11"/>
                <w:szCs w:val="11"/>
                <w:color w:val="auto"/>
              </w:rPr>
            </w:pP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9"/>
                <w:szCs w:val="9"/>
                <w:color w:val="auto"/>
              </w:rPr>
              <w:t>(7)</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02/07/2025</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196,698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(2,242)</w:t>
            </w:r>
          </w:p>
        </w:tc>
      </w:tr>
      <w:tr>
        <w:trPr>
          <w:trHeight w:val="135"/>
        </w:trPr>
        <w:tc>
          <w:tcPr>
            <w:tcW w:w="2840" w:type="dxa"/>
            <w:vAlign w:val="bottom"/>
          </w:tcPr>
          <w:p>
            <w:pPr>
              <w:spacing w:after="0"/>
              <w:rPr>
                <w:sz w:val="20"/>
                <w:szCs w:val="20"/>
                <w:color w:val="auto"/>
              </w:rPr>
            </w:pPr>
            <w:r>
              <w:rPr>
                <w:rFonts w:ascii="Arial" w:cs="Arial" w:eastAsia="Arial" w:hAnsi="Arial"/>
                <w:sz w:val="11"/>
                <w:szCs w:val="11"/>
                <w:color w:val="auto"/>
              </w:rPr>
              <w:t>Connatix Buyer, Inc.</w:t>
            </w:r>
          </w:p>
        </w:tc>
        <w:tc>
          <w:tcPr>
            <w:tcW w:w="1120" w:type="dxa"/>
            <w:vAlign w:val="bottom"/>
          </w:tcPr>
          <w:p>
            <w:pPr>
              <w:jc w:val="center"/>
              <w:ind w:left="46"/>
              <w:spacing w:after="0"/>
              <w:rPr>
                <w:sz w:val="20"/>
                <w:szCs w:val="20"/>
                <w:color w:val="auto"/>
              </w:rPr>
            </w:pPr>
            <w:r>
              <w:rPr>
                <w:rFonts w:ascii="Arial" w:cs="Arial" w:eastAsia="Arial" w:hAnsi="Arial"/>
                <w:sz w:val="11"/>
                <w:szCs w:val="11"/>
                <w:color w:val="auto"/>
                <w:w w:val="90"/>
              </w:rPr>
              <w:t>07/13/2027</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tcPr>
          <w:p>
            <w:pPr>
              <w:jc w:val="right"/>
              <w:spacing w:after="0"/>
              <w:rPr>
                <w:sz w:val="20"/>
                <w:szCs w:val="20"/>
                <w:color w:val="auto"/>
              </w:rPr>
            </w:pPr>
            <w:r>
              <w:rPr>
                <w:rFonts w:ascii="Arial" w:cs="Arial" w:eastAsia="Arial" w:hAnsi="Arial"/>
                <w:sz w:val="11"/>
                <w:szCs w:val="11"/>
                <w:color w:val="auto"/>
              </w:rPr>
              <w:t>12,000,000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11,765,652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11,760,000</w:t>
            </w:r>
          </w:p>
        </w:tc>
        <w:tc>
          <w:tcPr>
            <w:tcW w:w="100" w:type="dxa"/>
            <w:vAlign w:val="bottom"/>
          </w:tcPr>
          <w:p>
            <w:pPr>
              <w:spacing w:after="0"/>
              <w:rPr>
                <w:sz w:val="11"/>
                <w:szCs w:val="11"/>
                <w:color w:val="auto"/>
              </w:rPr>
            </w:pP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Connatix Buyer, Inc. </w:t>
            </w:r>
            <w:r>
              <w:rPr>
                <w:rFonts w:ascii="Arial" w:cs="Arial" w:eastAsia="Arial" w:hAnsi="Arial"/>
                <w:sz w:val="9"/>
                <w:szCs w:val="9"/>
                <w:color w:val="auto"/>
              </w:rPr>
              <w:t>(7)</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01/13/2023</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93"/>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3,157,895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(31,579)</w:t>
            </w:r>
          </w:p>
        </w:tc>
      </w:tr>
      <w:tr>
        <w:trPr>
          <w:trHeight w:val="135"/>
        </w:trPr>
        <w:tc>
          <w:tcPr>
            <w:tcW w:w="2840" w:type="dxa"/>
            <w:vAlign w:val="bottom"/>
          </w:tcPr>
          <w:p>
            <w:pPr>
              <w:spacing w:after="0"/>
              <w:rPr>
                <w:sz w:val="20"/>
                <w:szCs w:val="20"/>
                <w:color w:val="auto"/>
              </w:rPr>
            </w:pPr>
            <w:r>
              <w:rPr>
                <w:rFonts w:ascii="Arial" w:cs="Arial" w:eastAsia="Arial" w:hAnsi="Arial"/>
                <w:sz w:val="11"/>
                <w:szCs w:val="11"/>
                <w:color w:val="auto"/>
              </w:rPr>
              <w:t>Connatix Buyer, Inc. (Revolver)</w:t>
            </w:r>
          </w:p>
        </w:tc>
        <w:tc>
          <w:tcPr>
            <w:tcW w:w="1120" w:type="dxa"/>
            <w:vAlign w:val="bottom"/>
          </w:tcPr>
          <w:p>
            <w:pPr>
              <w:jc w:val="center"/>
              <w:ind w:left="46"/>
              <w:spacing w:after="0"/>
              <w:rPr>
                <w:sz w:val="20"/>
                <w:szCs w:val="20"/>
                <w:color w:val="auto"/>
              </w:rPr>
            </w:pPr>
            <w:r>
              <w:rPr>
                <w:rFonts w:ascii="Arial" w:cs="Arial" w:eastAsia="Arial" w:hAnsi="Arial"/>
                <w:sz w:val="11"/>
                <w:szCs w:val="11"/>
                <w:color w:val="auto"/>
                <w:w w:val="90"/>
              </w:rPr>
              <w:t>07/13/2027</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tcPr>
          <w:p>
            <w:pPr>
              <w:jc w:val="right"/>
              <w:spacing w:after="0"/>
              <w:rPr>
                <w:sz w:val="20"/>
                <w:szCs w:val="20"/>
                <w:color w:val="auto"/>
              </w:rPr>
            </w:pPr>
            <w:r>
              <w:rPr>
                <w:rFonts w:ascii="Arial" w:cs="Arial" w:eastAsia="Arial" w:hAnsi="Arial"/>
                <w:sz w:val="11"/>
                <w:szCs w:val="11"/>
                <w:color w:val="auto"/>
              </w:rPr>
              <w:t>185,938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185,938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182,219</w:t>
            </w:r>
          </w:p>
        </w:tc>
        <w:tc>
          <w:tcPr>
            <w:tcW w:w="100" w:type="dxa"/>
            <w:vAlign w:val="bottom"/>
          </w:tcPr>
          <w:p>
            <w:pPr>
              <w:spacing w:after="0"/>
              <w:rPr>
                <w:sz w:val="11"/>
                <w:szCs w:val="11"/>
                <w:color w:val="auto"/>
              </w:rPr>
            </w:pP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Connatix Buyer, Inc. (Revolver) </w:t>
            </w:r>
            <w:r>
              <w:rPr>
                <w:rFonts w:ascii="Arial" w:cs="Arial" w:eastAsia="Arial" w:hAnsi="Arial"/>
                <w:sz w:val="9"/>
                <w:szCs w:val="9"/>
                <w:color w:val="auto"/>
              </w:rPr>
              <w:t>(7)</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07/13/2027</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93"/>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1,673,438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(33,469)</w:t>
            </w:r>
          </w:p>
        </w:tc>
      </w:tr>
      <w:tr>
        <w:trPr>
          <w:trHeight w:val="135"/>
        </w:trPr>
        <w:tc>
          <w:tcPr>
            <w:tcW w:w="2840" w:type="dxa"/>
            <w:vAlign w:val="bottom"/>
          </w:tcPr>
          <w:p>
            <w:pPr>
              <w:spacing w:after="0"/>
              <w:rPr>
                <w:sz w:val="20"/>
                <w:szCs w:val="20"/>
                <w:color w:val="auto"/>
              </w:rPr>
            </w:pPr>
            <w:r>
              <w:rPr>
                <w:rFonts w:ascii="Arial" w:cs="Arial" w:eastAsia="Arial" w:hAnsi="Arial"/>
                <w:sz w:val="11"/>
                <w:szCs w:val="11"/>
                <w:color w:val="auto"/>
              </w:rPr>
              <w:t>Crane 1 Services, Inc.</w:t>
            </w:r>
          </w:p>
        </w:tc>
        <w:tc>
          <w:tcPr>
            <w:tcW w:w="1120" w:type="dxa"/>
            <w:vAlign w:val="bottom"/>
          </w:tcPr>
          <w:p>
            <w:pPr>
              <w:jc w:val="center"/>
              <w:ind w:left="46"/>
              <w:spacing w:after="0"/>
              <w:rPr>
                <w:sz w:val="20"/>
                <w:szCs w:val="20"/>
                <w:color w:val="auto"/>
              </w:rPr>
            </w:pPr>
            <w:r>
              <w:rPr>
                <w:rFonts w:ascii="Arial" w:cs="Arial" w:eastAsia="Arial" w:hAnsi="Arial"/>
                <w:sz w:val="11"/>
                <w:szCs w:val="11"/>
                <w:color w:val="auto"/>
                <w:w w:val="90"/>
              </w:rPr>
              <w:t>08/16/2027</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87"/>
              </w:rPr>
              <w:t>Personal, Food and Miscellaneous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1,847,368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1,820,153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1,828,895</w:t>
            </w:r>
          </w:p>
        </w:tc>
        <w:tc>
          <w:tcPr>
            <w:tcW w:w="100" w:type="dxa"/>
            <w:vAlign w:val="bottom"/>
          </w:tcPr>
          <w:p>
            <w:pPr>
              <w:spacing w:after="0"/>
              <w:rPr>
                <w:sz w:val="11"/>
                <w:szCs w:val="11"/>
                <w:color w:val="auto"/>
              </w:rPr>
            </w:pP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Crane 1 Services, Inc. </w:t>
            </w:r>
            <w:r>
              <w:rPr>
                <w:rFonts w:ascii="Arial" w:cs="Arial" w:eastAsia="Arial" w:hAnsi="Arial"/>
                <w:sz w:val="9"/>
                <w:szCs w:val="9"/>
                <w:color w:val="auto"/>
              </w:rPr>
              <w:t>(7)</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08/16/2023</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7"/>
              </w:rPr>
              <w:t>Personal, Food and Miscellaneous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777,512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(1,944)</w:t>
            </w:r>
          </w:p>
        </w:tc>
      </w:tr>
      <w:tr>
        <w:trPr>
          <w:trHeight w:val="135"/>
        </w:trPr>
        <w:tc>
          <w:tcPr>
            <w:tcW w:w="2840" w:type="dxa"/>
            <w:vAlign w:val="bottom"/>
          </w:tcPr>
          <w:p>
            <w:pPr>
              <w:spacing w:after="0"/>
              <w:rPr>
                <w:sz w:val="20"/>
                <w:szCs w:val="20"/>
                <w:color w:val="auto"/>
              </w:rPr>
            </w:pPr>
            <w:r>
              <w:rPr>
                <w:rFonts w:ascii="Arial" w:cs="Arial" w:eastAsia="Arial" w:hAnsi="Arial"/>
                <w:sz w:val="11"/>
                <w:szCs w:val="11"/>
                <w:color w:val="auto"/>
              </w:rPr>
              <w:t xml:space="preserve">Crane 1 Services, Inc. (Revolver) </w:t>
            </w:r>
            <w:r>
              <w:rPr>
                <w:rFonts w:ascii="Arial" w:cs="Arial" w:eastAsia="Arial" w:hAnsi="Arial"/>
                <w:sz w:val="9"/>
                <w:szCs w:val="9"/>
                <w:color w:val="auto"/>
              </w:rPr>
              <w:t>(7)</w:t>
            </w:r>
          </w:p>
        </w:tc>
        <w:tc>
          <w:tcPr>
            <w:tcW w:w="1120" w:type="dxa"/>
            <w:vAlign w:val="bottom"/>
          </w:tcPr>
          <w:p>
            <w:pPr>
              <w:jc w:val="center"/>
              <w:ind w:left="46"/>
              <w:spacing w:after="0"/>
              <w:rPr>
                <w:sz w:val="20"/>
                <w:szCs w:val="20"/>
                <w:color w:val="auto"/>
              </w:rPr>
            </w:pPr>
            <w:r>
              <w:rPr>
                <w:rFonts w:ascii="Arial" w:cs="Arial" w:eastAsia="Arial" w:hAnsi="Arial"/>
                <w:sz w:val="11"/>
                <w:szCs w:val="11"/>
                <w:color w:val="auto"/>
                <w:w w:val="90"/>
              </w:rPr>
              <w:t>08/16/2027</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87"/>
              </w:rPr>
              <w:t>Personal, Food and Miscellaneous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291,567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(2,916)</w:t>
            </w: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Crash Champions, LLC</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08/05/2025</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90"/>
              </w:rPr>
              <w:t>Auto Sector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6.00%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4,750,756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4,703,891</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4,655,741</w:t>
            </w:r>
          </w:p>
        </w:tc>
        <w:tc>
          <w:tcPr>
            <w:tcW w:w="100" w:type="dxa"/>
            <w:vAlign w:val="bottom"/>
            <w:shd w:val="clear" w:color="auto" w:fill="CCECFF"/>
          </w:tcPr>
          <w:p>
            <w:pPr>
              <w:spacing w:after="0"/>
              <w:rPr>
                <w:sz w:val="11"/>
                <w:szCs w:val="11"/>
                <w:color w:val="auto"/>
              </w:rPr>
            </w:pPr>
          </w:p>
        </w:tc>
      </w:tr>
      <w:tr>
        <w:trPr>
          <w:trHeight w:val="135"/>
        </w:trPr>
        <w:tc>
          <w:tcPr>
            <w:tcW w:w="2840" w:type="dxa"/>
            <w:vAlign w:val="bottom"/>
          </w:tcPr>
          <w:p>
            <w:pPr>
              <w:spacing w:after="0"/>
              <w:rPr>
                <w:sz w:val="20"/>
                <w:szCs w:val="20"/>
                <w:color w:val="auto"/>
              </w:rPr>
            </w:pPr>
            <w:r>
              <w:rPr>
                <w:rFonts w:ascii="Arial" w:cs="Arial" w:eastAsia="Arial" w:hAnsi="Arial"/>
                <w:sz w:val="11"/>
                <w:szCs w:val="11"/>
                <w:color w:val="auto"/>
              </w:rPr>
              <w:t xml:space="preserve">Crash Champions, LLC </w:t>
            </w:r>
            <w:r>
              <w:rPr>
                <w:rFonts w:ascii="Arial" w:cs="Arial" w:eastAsia="Arial" w:hAnsi="Arial"/>
                <w:sz w:val="9"/>
                <w:szCs w:val="9"/>
                <w:color w:val="auto"/>
              </w:rPr>
              <w:t>(7)</w:t>
            </w:r>
          </w:p>
        </w:tc>
        <w:tc>
          <w:tcPr>
            <w:tcW w:w="1120" w:type="dxa"/>
            <w:vAlign w:val="bottom"/>
          </w:tcPr>
          <w:p>
            <w:pPr>
              <w:jc w:val="center"/>
              <w:ind w:left="46"/>
              <w:spacing w:after="0"/>
              <w:rPr>
                <w:sz w:val="20"/>
                <w:szCs w:val="20"/>
                <w:color w:val="auto"/>
              </w:rPr>
            </w:pPr>
            <w:r>
              <w:rPr>
                <w:rFonts w:ascii="Arial" w:cs="Arial" w:eastAsia="Arial" w:hAnsi="Arial"/>
                <w:sz w:val="11"/>
                <w:szCs w:val="11"/>
                <w:color w:val="auto"/>
                <w:w w:val="90"/>
              </w:rPr>
              <w:t>05/14/2022</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90"/>
              </w:rPr>
              <w:t>Auto Sector</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6,749,244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(67,492)</w:t>
            </w: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DermaRite Industries LLC</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03/03/2022</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90"/>
              </w:rPr>
              <w:t>Auto Sector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8,054,975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8,041,482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7,719,888</w:t>
            </w:r>
          </w:p>
        </w:tc>
        <w:tc>
          <w:tcPr>
            <w:tcW w:w="100" w:type="dxa"/>
            <w:vAlign w:val="bottom"/>
            <w:shd w:val="clear" w:color="auto" w:fill="CCECFF"/>
          </w:tcPr>
          <w:p>
            <w:pPr>
              <w:spacing w:after="0"/>
              <w:rPr>
                <w:sz w:val="11"/>
                <w:szCs w:val="11"/>
                <w:color w:val="auto"/>
              </w:rPr>
            </w:pPr>
          </w:p>
        </w:tc>
      </w:tr>
      <w:tr>
        <w:trPr>
          <w:trHeight w:val="135"/>
        </w:trPr>
        <w:tc>
          <w:tcPr>
            <w:tcW w:w="2840" w:type="dxa"/>
            <w:vAlign w:val="bottom"/>
          </w:tcPr>
          <w:p>
            <w:pPr>
              <w:spacing w:after="0"/>
              <w:rPr>
                <w:sz w:val="20"/>
                <w:szCs w:val="20"/>
                <w:color w:val="auto"/>
              </w:rPr>
            </w:pPr>
            <w:r>
              <w:rPr>
                <w:rFonts w:ascii="Arial" w:cs="Arial" w:eastAsia="Arial" w:hAnsi="Arial"/>
                <w:sz w:val="11"/>
                <w:szCs w:val="11"/>
                <w:color w:val="auto"/>
              </w:rPr>
              <w:t>Dr. Squatch, LLC</w:t>
            </w:r>
          </w:p>
        </w:tc>
        <w:tc>
          <w:tcPr>
            <w:tcW w:w="1120" w:type="dxa"/>
            <w:vAlign w:val="bottom"/>
          </w:tcPr>
          <w:p>
            <w:pPr>
              <w:jc w:val="center"/>
              <w:ind w:left="46"/>
              <w:spacing w:after="0"/>
              <w:rPr>
                <w:sz w:val="20"/>
                <w:szCs w:val="20"/>
                <w:color w:val="auto"/>
              </w:rPr>
            </w:pPr>
            <w:r>
              <w:rPr>
                <w:rFonts w:ascii="Arial" w:cs="Arial" w:eastAsia="Arial" w:hAnsi="Arial"/>
                <w:sz w:val="11"/>
                <w:szCs w:val="11"/>
                <w:color w:val="auto"/>
                <w:w w:val="90"/>
              </w:rPr>
              <w:t>08/27/2026</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7"/>
              </w:rPr>
              <w:t>Personal and Non-Durable Consumer Products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tcPr>
          <w:p>
            <w:pPr>
              <w:jc w:val="right"/>
              <w:spacing w:after="0"/>
              <w:rPr>
                <w:sz w:val="20"/>
                <w:szCs w:val="20"/>
                <w:color w:val="auto"/>
              </w:rPr>
            </w:pPr>
            <w:r>
              <w:rPr>
                <w:rFonts w:ascii="Arial" w:cs="Arial" w:eastAsia="Arial" w:hAnsi="Arial"/>
                <w:sz w:val="11"/>
                <w:szCs w:val="11"/>
                <w:color w:val="auto"/>
              </w:rPr>
              <w:t>13,514,714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13,247,087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13,244,419</w:t>
            </w:r>
          </w:p>
        </w:tc>
        <w:tc>
          <w:tcPr>
            <w:tcW w:w="100" w:type="dxa"/>
            <w:vAlign w:val="bottom"/>
          </w:tcPr>
          <w:p>
            <w:pPr>
              <w:spacing w:after="0"/>
              <w:rPr>
                <w:sz w:val="11"/>
                <w:szCs w:val="11"/>
                <w:color w:val="auto"/>
              </w:rPr>
            </w:pP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Dr. Squatch, LLC (Revolver)</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08/27/2026</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7"/>
              </w:rPr>
              <w:t>Personal and Non-Durable Consumer Products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1,705,610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1,705,610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1,671,498</w:t>
            </w:r>
          </w:p>
        </w:tc>
        <w:tc>
          <w:tcPr>
            <w:tcW w:w="100" w:type="dxa"/>
            <w:vAlign w:val="bottom"/>
            <w:shd w:val="clear" w:color="auto" w:fill="CCECFF"/>
          </w:tcPr>
          <w:p>
            <w:pPr>
              <w:spacing w:after="0"/>
              <w:rPr>
                <w:sz w:val="11"/>
                <w:szCs w:val="11"/>
                <w:color w:val="auto"/>
              </w:rPr>
            </w:pPr>
          </w:p>
        </w:tc>
      </w:tr>
      <w:tr>
        <w:trPr>
          <w:trHeight w:val="135"/>
        </w:trPr>
        <w:tc>
          <w:tcPr>
            <w:tcW w:w="2840" w:type="dxa"/>
            <w:vAlign w:val="bottom"/>
          </w:tcPr>
          <w:p>
            <w:pPr>
              <w:spacing w:after="0"/>
              <w:rPr>
                <w:sz w:val="20"/>
                <w:szCs w:val="20"/>
                <w:color w:val="auto"/>
              </w:rPr>
            </w:pPr>
            <w:r>
              <w:rPr>
                <w:rFonts w:ascii="Arial" w:cs="Arial" w:eastAsia="Arial" w:hAnsi="Arial"/>
                <w:sz w:val="11"/>
                <w:szCs w:val="11"/>
                <w:color w:val="auto"/>
              </w:rPr>
              <w:t xml:space="preserve">Dr. Squatch, LLC (Revolver) </w:t>
            </w:r>
            <w:r>
              <w:rPr>
                <w:rFonts w:ascii="Arial" w:cs="Arial" w:eastAsia="Arial" w:hAnsi="Arial"/>
                <w:sz w:val="9"/>
                <w:szCs w:val="9"/>
                <w:color w:val="auto"/>
              </w:rPr>
              <w:t>(7)</w:t>
            </w:r>
          </w:p>
        </w:tc>
        <w:tc>
          <w:tcPr>
            <w:tcW w:w="1120" w:type="dxa"/>
            <w:vAlign w:val="bottom"/>
          </w:tcPr>
          <w:p>
            <w:pPr>
              <w:jc w:val="center"/>
              <w:ind w:left="46"/>
              <w:spacing w:after="0"/>
              <w:rPr>
                <w:sz w:val="20"/>
                <w:szCs w:val="20"/>
                <w:color w:val="auto"/>
              </w:rPr>
            </w:pPr>
            <w:r>
              <w:rPr>
                <w:rFonts w:ascii="Arial" w:cs="Arial" w:eastAsia="Arial" w:hAnsi="Arial"/>
                <w:sz w:val="11"/>
                <w:szCs w:val="11"/>
                <w:color w:val="auto"/>
                <w:w w:val="90"/>
              </w:rPr>
              <w:t>08/27/2026</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7"/>
              </w:rPr>
              <w:t>Personal and Non-Durable Consumer Products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620,222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(12,404)</w:t>
            </w: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DRS Holdings III, Inc.</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11/03/2025</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8"/>
              </w:rPr>
              <w:t>Consumer Products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9,975,000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9,881,551</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9,905,175</w:t>
            </w:r>
          </w:p>
        </w:tc>
        <w:tc>
          <w:tcPr>
            <w:tcW w:w="100" w:type="dxa"/>
            <w:vAlign w:val="bottom"/>
            <w:shd w:val="clear" w:color="auto" w:fill="CCECFF"/>
          </w:tcPr>
          <w:p>
            <w:pPr>
              <w:spacing w:after="0"/>
              <w:rPr>
                <w:sz w:val="11"/>
                <w:szCs w:val="11"/>
                <w:color w:val="auto"/>
              </w:rPr>
            </w:pPr>
          </w:p>
        </w:tc>
      </w:tr>
      <w:tr>
        <w:trPr>
          <w:trHeight w:val="135"/>
        </w:trPr>
        <w:tc>
          <w:tcPr>
            <w:tcW w:w="2840" w:type="dxa"/>
            <w:vAlign w:val="bottom"/>
          </w:tcPr>
          <w:p>
            <w:pPr>
              <w:spacing w:after="0"/>
              <w:rPr>
                <w:sz w:val="20"/>
                <w:szCs w:val="20"/>
                <w:color w:val="auto"/>
              </w:rPr>
            </w:pPr>
            <w:r>
              <w:rPr>
                <w:rFonts w:ascii="Arial" w:cs="Arial" w:eastAsia="Arial" w:hAnsi="Arial"/>
                <w:sz w:val="11"/>
                <w:szCs w:val="11"/>
                <w:color w:val="auto"/>
              </w:rPr>
              <w:t xml:space="preserve">DRS Holdings III, Inc. (Revolver) </w:t>
            </w:r>
            <w:r>
              <w:rPr>
                <w:rFonts w:ascii="Arial" w:cs="Arial" w:eastAsia="Arial" w:hAnsi="Arial"/>
                <w:sz w:val="9"/>
                <w:szCs w:val="9"/>
                <w:color w:val="auto"/>
              </w:rPr>
              <w:t>(7)</w:t>
            </w:r>
          </w:p>
        </w:tc>
        <w:tc>
          <w:tcPr>
            <w:tcW w:w="1120" w:type="dxa"/>
            <w:vAlign w:val="bottom"/>
          </w:tcPr>
          <w:p>
            <w:pPr>
              <w:jc w:val="center"/>
              <w:ind w:left="46"/>
              <w:spacing w:after="0"/>
              <w:rPr>
                <w:sz w:val="20"/>
                <w:szCs w:val="20"/>
                <w:color w:val="auto"/>
              </w:rPr>
            </w:pPr>
            <w:r>
              <w:rPr>
                <w:rFonts w:ascii="Arial" w:cs="Arial" w:eastAsia="Arial" w:hAnsi="Arial"/>
                <w:sz w:val="11"/>
                <w:szCs w:val="11"/>
                <w:color w:val="auto"/>
                <w:w w:val="90"/>
              </w:rPr>
              <w:t>11/03/2025</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8"/>
              </w:rPr>
              <w:t>Consumer Products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1,782,555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(12,478)</w:t>
            </w: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ECL Entertainment, LLC</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03/31/2028</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90"/>
              </w:rPr>
              <w:t>Hotels, Motels, Inns and Gaming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8.25%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8,747,308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8,663,806</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8,944,122</w:t>
            </w:r>
          </w:p>
        </w:tc>
        <w:tc>
          <w:tcPr>
            <w:tcW w:w="100" w:type="dxa"/>
            <w:vAlign w:val="bottom"/>
            <w:shd w:val="clear" w:color="auto" w:fill="CCECFF"/>
          </w:tcPr>
          <w:p>
            <w:pPr>
              <w:spacing w:after="0"/>
              <w:rPr>
                <w:sz w:val="11"/>
                <w:szCs w:val="11"/>
                <w:color w:val="auto"/>
              </w:rPr>
            </w:pPr>
          </w:p>
        </w:tc>
      </w:tr>
      <w:tr>
        <w:trPr>
          <w:trHeight w:val="135"/>
        </w:trPr>
        <w:tc>
          <w:tcPr>
            <w:tcW w:w="2840" w:type="dxa"/>
            <w:vAlign w:val="bottom"/>
          </w:tcPr>
          <w:p>
            <w:pPr>
              <w:spacing w:after="0"/>
              <w:rPr>
                <w:sz w:val="20"/>
                <w:szCs w:val="20"/>
                <w:color w:val="auto"/>
              </w:rPr>
            </w:pPr>
            <w:r>
              <w:rPr>
                <w:rFonts w:ascii="Arial" w:cs="Arial" w:eastAsia="Arial" w:hAnsi="Arial"/>
                <w:sz w:val="11"/>
                <w:szCs w:val="11"/>
                <w:color w:val="auto"/>
              </w:rPr>
              <w:t xml:space="preserve">ECM Industries, LLC (Revolver) </w:t>
            </w:r>
            <w:r>
              <w:rPr>
                <w:rFonts w:ascii="Arial" w:cs="Arial" w:eastAsia="Arial" w:hAnsi="Arial"/>
                <w:sz w:val="9"/>
                <w:szCs w:val="9"/>
                <w:color w:val="auto"/>
              </w:rPr>
              <w:t>(7)</w:t>
            </w:r>
          </w:p>
        </w:tc>
        <w:tc>
          <w:tcPr>
            <w:tcW w:w="1120" w:type="dxa"/>
            <w:vAlign w:val="bottom"/>
          </w:tcPr>
          <w:p>
            <w:pPr>
              <w:jc w:val="center"/>
              <w:ind w:left="46"/>
              <w:spacing w:after="0"/>
              <w:rPr>
                <w:sz w:val="20"/>
                <w:szCs w:val="20"/>
                <w:color w:val="auto"/>
              </w:rPr>
            </w:pPr>
            <w:r>
              <w:rPr>
                <w:rFonts w:ascii="Arial" w:cs="Arial" w:eastAsia="Arial" w:hAnsi="Arial"/>
                <w:sz w:val="11"/>
                <w:szCs w:val="11"/>
                <w:color w:val="auto"/>
                <w:w w:val="90"/>
              </w:rPr>
              <w:t>12/23/2025</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517,594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(2,588)</w:t>
            </w: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Fairbanks Morse Defense</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06/17/2028</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L+475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3,487,100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3,500,000</w:t>
            </w:r>
          </w:p>
        </w:tc>
        <w:tc>
          <w:tcPr>
            <w:tcW w:w="100" w:type="dxa"/>
            <w:vAlign w:val="bottom"/>
            <w:shd w:val="clear" w:color="auto" w:fill="CCECFF"/>
          </w:tcPr>
          <w:p>
            <w:pPr>
              <w:spacing w:after="0"/>
              <w:rPr>
                <w:sz w:val="11"/>
                <w:szCs w:val="11"/>
                <w:color w:val="auto"/>
              </w:rPr>
            </w:pPr>
          </w:p>
        </w:tc>
      </w:tr>
      <w:tr>
        <w:trPr>
          <w:trHeight w:val="135"/>
        </w:trPr>
        <w:tc>
          <w:tcPr>
            <w:tcW w:w="2840" w:type="dxa"/>
            <w:vAlign w:val="bottom"/>
          </w:tcPr>
          <w:p>
            <w:pPr>
              <w:spacing w:after="0"/>
              <w:rPr>
                <w:sz w:val="20"/>
                <w:szCs w:val="20"/>
                <w:color w:val="auto"/>
              </w:rPr>
            </w:pPr>
            <w:r>
              <w:rPr>
                <w:rFonts w:ascii="Arial" w:cs="Arial" w:eastAsia="Arial" w:hAnsi="Arial"/>
                <w:sz w:val="11"/>
                <w:szCs w:val="11"/>
                <w:color w:val="auto"/>
              </w:rPr>
              <w:t>Gantech Acquisition Corp.</w:t>
            </w:r>
          </w:p>
        </w:tc>
        <w:tc>
          <w:tcPr>
            <w:tcW w:w="1120" w:type="dxa"/>
            <w:vAlign w:val="bottom"/>
          </w:tcPr>
          <w:p>
            <w:pPr>
              <w:jc w:val="center"/>
              <w:ind w:left="46"/>
              <w:spacing w:after="0"/>
              <w:rPr>
                <w:sz w:val="20"/>
                <w:szCs w:val="20"/>
                <w:color w:val="auto"/>
              </w:rPr>
            </w:pPr>
            <w:r>
              <w:rPr>
                <w:rFonts w:ascii="Arial" w:cs="Arial" w:eastAsia="Arial" w:hAnsi="Arial"/>
                <w:sz w:val="11"/>
                <w:szCs w:val="11"/>
                <w:color w:val="auto"/>
                <w:w w:val="90"/>
              </w:rPr>
              <w:t>05/14/2026</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tcPr>
          <w:p>
            <w:pPr>
              <w:jc w:val="right"/>
              <w:spacing w:after="0"/>
              <w:rPr>
                <w:sz w:val="20"/>
                <w:szCs w:val="20"/>
                <w:color w:val="auto"/>
              </w:rPr>
            </w:pPr>
            <w:r>
              <w:rPr>
                <w:rFonts w:ascii="Arial" w:cs="Arial" w:eastAsia="Arial" w:hAnsi="Arial"/>
                <w:sz w:val="11"/>
                <w:szCs w:val="11"/>
                <w:color w:val="auto"/>
              </w:rPr>
              <w:t>19,900,000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19,522,193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19,502,000</w:t>
            </w:r>
          </w:p>
        </w:tc>
        <w:tc>
          <w:tcPr>
            <w:tcW w:w="100" w:type="dxa"/>
            <w:vAlign w:val="bottom"/>
          </w:tcPr>
          <w:p>
            <w:pPr>
              <w:spacing w:after="0"/>
              <w:rPr>
                <w:sz w:val="11"/>
                <w:szCs w:val="11"/>
                <w:color w:val="auto"/>
              </w:rPr>
            </w:pP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Gantech Acquisition Corp. (Revolver)</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05/14/2026</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497,771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497,771</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487,816</w:t>
            </w:r>
          </w:p>
        </w:tc>
        <w:tc>
          <w:tcPr>
            <w:tcW w:w="100" w:type="dxa"/>
            <w:vAlign w:val="bottom"/>
            <w:shd w:val="clear" w:color="auto" w:fill="CCECFF"/>
          </w:tcPr>
          <w:p>
            <w:pPr>
              <w:spacing w:after="0"/>
              <w:rPr>
                <w:sz w:val="11"/>
                <w:szCs w:val="11"/>
                <w:color w:val="auto"/>
              </w:rPr>
            </w:pPr>
          </w:p>
        </w:tc>
      </w:tr>
      <w:tr>
        <w:trPr>
          <w:trHeight w:val="135"/>
        </w:trPr>
        <w:tc>
          <w:tcPr>
            <w:tcW w:w="2840" w:type="dxa"/>
            <w:vAlign w:val="bottom"/>
          </w:tcPr>
          <w:p>
            <w:pPr>
              <w:spacing w:after="0"/>
              <w:rPr>
                <w:sz w:val="20"/>
                <w:szCs w:val="20"/>
                <w:color w:val="auto"/>
              </w:rPr>
            </w:pPr>
            <w:r>
              <w:rPr>
                <w:rFonts w:ascii="Arial" w:cs="Arial" w:eastAsia="Arial" w:hAnsi="Arial"/>
                <w:sz w:val="11"/>
                <w:szCs w:val="11"/>
                <w:color w:val="auto"/>
              </w:rPr>
              <w:t xml:space="preserve">Gantech Acquisition Corp. (Revolver) </w:t>
            </w:r>
            <w:r>
              <w:rPr>
                <w:rFonts w:ascii="Arial" w:cs="Arial" w:eastAsia="Arial" w:hAnsi="Arial"/>
                <w:sz w:val="9"/>
                <w:szCs w:val="9"/>
                <w:color w:val="auto"/>
              </w:rPr>
              <w:t>(7)</w:t>
            </w:r>
          </w:p>
        </w:tc>
        <w:tc>
          <w:tcPr>
            <w:tcW w:w="1120" w:type="dxa"/>
            <w:vAlign w:val="bottom"/>
          </w:tcPr>
          <w:p>
            <w:pPr>
              <w:jc w:val="center"/>
              <w:ind w:left="46"/>
              <w:spacing w:after="0"/>
              <w:rPr>
                <w:sz w:val="20"/>
                <w:szCs w:val="20"/>
                <w:color w:val="auto"/>
              </w:rPr>
            </w:pPr>
            <w:r>
              <w:rPr>
                <w:rFonts w:ascii="Arial" w:cs="Arial" w:eastAsia="Arial" w:hAnsi="Arial"/>
                <w:sz w:val="11"/>
                <w:szCs w:val="11"/>
                <w:color w:val="auto"/>
                <w:w w:val="90"/>
              </w:rPr>
              <w:t>05/14/2026</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1,493,313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(29,866)</w:t>
            </w: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Graffiti Buyer, Inc.</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08/10/2027</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1,994,048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1,954,772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1,964,137</w:t>
            </w:r>
          </w:p>
        </w:tc>
        <w:tc>
          <w:tcPr>
            <w:tcW w:w="100" w:type="dxa"/>
            <w:vAlign w:val="bottom"/>
            <w:shd w:val="clear" w:color="auto" w:fill="CCECFF"/>
          </w:tcPr>
          <w:p>
            <w:pPr>
              <w:spacing w:after="0"/>
              <w:rPr>
                <w:sz w:val="11"/>
                <w:szCs w:val="11"/>
                <w:color w:val="auto"/>
              </w:rPr>
            </w:pPr>
          </w:p>
        </w:tc>
      </w:tr>
      <w:tr>
        <w:trPr>
          <w:trHeight w:val="135"/>
        </w:trPr>
        <w:tc>
          <w:tcPr>
            <w:tcW w:w="2840" w:type="dxa"/>
            <w:vAlign w:val="bottom"/>
          </w:tcPr>
          <w:p>
            <w:pPr>
              <w:spacing w:after="0"/>
              <w:rPr>
                <w:sz w:val="20"/>
                <w:szCs w:val="20"/>
                <w:color w:val="auto"/>
              </w:rPr>
            </w:pPr>
            <w:r>
              <w:rPr>
                <w:rFonts w:ascii="Arial" w:cs="Arial" w:eastAsia="Arial" w:hAnsi="Arial"/>
                <w:sz w:val="11"/>
                <w:szCs w:val="11"/>
                <w:color w:val="auto"/>
              </w:rPr>
              <w:t xml:space="preserve">Graffiti Buyer, Inc. </w:t>
            </w:r>
            <w:r>
              <w:rPr>
                <w:rFonts w:ascii="Arial" w:cs="Arial" w:eastAsia="Arial" w:hAnsi="Arial"/>
                <w:sz w:val="9"/>
                <w:szCs w:val="9"/>
                <w:color w:val="auto"/>
              </w:rPr>
              <w:t>(7)</w:t>
            </w:r>
          </w:p>
        </w:tc>
        <w:tc>
          <w:tcPr>
            <w:tcW w:w="1120" w:type="dxa"/>
            <w:vAlign w:val="bottom"/>
          </w:tcPr>
          <w:p>
            <w:pPr>
              <w:jc w:val="center"/>
              <w:ind w:left="46"/>
              <w:spacing w:after="0"/>
              <w:rPr>
                <w:sz w:val="20"/>
                <w:szCs w:val="20"/>
                <w:color w:val="auto"/>
              </w:rPr>
            </w:pPr>
            <w:r>
              <w:rPr>
                <w:rFonts w:ascii="Arial" w:cs="Arial" w:eastAsia="Arial" w:hAnsi="Arial"/>
                <w:sz w:val="11"/>
                <w:szCs w:val="11"/>
                <w:color w:val="auto"/>
                <w:w w:val="90"/>
              </w:rPr>
              <w:t>08/10/2023</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892,857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(4,464)</w:t>
            </w: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Graffiti Buyer, Inc. (Revolver) </w:t>
            </w:r>
            <w:r>
              <w:rPr>
                <w:rFonts w:ascii="Arial" w:cs="Arial" w:eastAsia="Arial" w:hAnsi="Arial"/>
                <w:sz w:val="9"/>
                <w:szCs w:val="9"/>
                <w:color w:val="auto"/>
              </w:rPr>
              <w:t>(7)</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08/10/2027</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768,634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(17,832)</w:t>
            </w:r>
          </w:p>
        </w:tc>
      </w:tr>
      <w:tr>
        <w:trPr>
          <w:trHeight w:val="135"/>
        </w:trPr>
        <w:tc>
          <w:tcPr>
            <w:tcW w:w="2840" w:type="dxa"/>
            <w:vAlign w:val="bottom"/>
          </w:tcPr>
          <w:p>
            <w:pPr>
              <w:spacing w:after="0"/>
              <w:rPr>
                <w:sz w:val="20"/>
                <w:szCs w:val="20"/>
                <w:color w:val="auto"/>
              </w:rPr>
            </w:pPr>
            <w:r>
              <w:rPr>
                <w:rFonts w:ascii="Arial" w:cs="Arial" w:eastAsia="Arial" w:hAnsi="Arial"/>
                <w:sz w:val="11"/>
                <w:szCs w:val="11"/>
                <w:color w:val="auto"/>
              </w:rPr>
              <w:t xml:space="preserve">Hancock Roofing and Construction L.L.C. </w:t>
            </w:r>
            <w:r>
              <w:rPr>
                <w:rFonts w:ascii="Arial" w:cs="Arial" w:eastAsia="Arial" w:hAnsi="Arial"/>
                <w:sz w:val="9"/>
                <w:szCs w:val="9"/>
                <w:color w:val="auto"/>
              </w:rPr>
              <w:t>(7)</w:t>
            </w:r>
          </w:p>
        </w:tc>
        <w:tc>
          <w:tcPr>
            <w:tcW w:w="1120" w:type="dxa"/>
            <w:vAlign w:val="bottom"/>
          </w:tcPr>
          <w:p>
            <w:pPr>
              <w:jc w:val="center"/>
              <w:ind w:left="46"/>
              <w:spacing w:after="0"/>
              <w:rPr>
                <w:sz w:val="20"/>
                <w:szCs w:val="20"/>
                <w:color w:val="auto"/>
              </w:rPr>
            </w:pPr>
            <w:r>
              <w:rPr>
                <w:rFonts w:ascii="Arial" w:cs="Arial" w:eastAsia="Arial" w:hAnsi="Arial"/>
                <w:sz w:val="11"/>
                <w:szCs w:val="11"/>
                <w:color w:val="auto"/>
                <w:w w:val="90"/>
              </w:rPr>
              <w:t>12/31/2022</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1,500,000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(15,000)</w:t>
            </w: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Hancock Roofing and Construction L.L.C. (Revolver) </w:t>
            </w:r>
            <w:r>
              <w:rPr>
                <w:rFonts w:ascii="Arial" w:cs="Arial" w:eastAsia="Arial" w:hAnsi="Arial"/>
                <w:sz w:val="9"/>
                <w:szCs w:val="9"/>
                <w:color w:val="auto"/>
              </w:rPr>
              <w:t>(7)</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12/31/2026</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(7,500)</w:t>
            </w:r>
          </w:p>
        </w:tc>
      </w:tr>
      <w:tr>
        <w:trPr>
          <w:trHeight w:val="135"/>
        </w:trPr>
        <w:tc>
          <w:tcPr>
            <w:tcW w:w="2840" w:type="dxa"/>
            <w:vAlign w:val="bottom"/>
          </w:tcPr>
          <w:p>
            <w:pPr>
              <w:spacing w:after="0"/>
              <w:rPr>
                <w:sz w:val="20"/>
                <w:szCs w:val="20"/>
                <w:color w:val="auto"/>
              </w:rPr>
            </w:pPr>
            <w:r>
              <w:rPr>
                <w:rFonts w:ascii="Arial" w:cs="Arial" w:eastAsia="Arial" w:hAnsi="Arial"/>
                <w:sz w:val="11"/>
                <w:szCs w:val="11"/>
                <w:color w:val="auto"/>
              </w:rPr>
              <w:t>HW Holdco, LLC</w:t>
            </w:r>
          </w:p>
        </w:tc>
        <w:tc>
          <w:tcPr>
            <w:tcW w:w="1120" w:type="dxa"/>
            <w:vAlign w:val="bottom"/>
          </w:tcPr>
          <w:p>
            <w:pPr>
              <w:jc w:val="center"/>
              <w:ind w:left="46"/>
              <w:spacing w:after="0"/>
              <w:rPr>
                <w:sz w:val="20"/>
                <w:szCs w:val="20"/>
                <w:color w:val="auto"/>
              </w:rPr>
            </w:pPr>
            <w:r>
              <w:rPr>
                <w:rFonts w:ascii="Arial" w:cs="Arial" w:eastAsia="Arial" w:hAnsi="Arial"/>
                <w:sz w:val="11"/>
                <w:szCs w:val="11"/>
                <w:color w:val="auto"/>
                <w:w w:val="90"/>
              </w:rPr>
              <w:t>12/10/2024</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L+450</w:t>
            </w:r>
          </w:p>
        </w:tc>
        <w:tc>
          <w:tcPr>
            <w:tcW w:w="660" w:type="dxa"/>
            <w:vAlign w:val="bottom"/>
          </w:tcPr>
          <w:p>
            <w:pPr>
              <w:jc w:val="right"/>
              <w:spacing w:after="0"/>
              <w:rPr>
                <w:sz w:val="20"/>
                <w:szCs w:val="20"/>
                <w:color w:val="auto"/>
              </w:rPr>
            </w:pPr>
            <w:r>
              <w:rPr>
                <w:rFonts w:ascii="Arial" w:cs="Arial" w:eastAsia="Arial" w:hAnsi="Arial"/>
                <w:sz w:val="11"/>
                <w:szCs w:val="11"/>
                <w:color w:val="auto"/>
              </w:rPr>
              <w:t>2,541,048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2,525,585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2,515,638</w:t>
            </w:r>
          </w:p>
        </w:tc>
        <w:tc>
          <w:tcPr>
            <w:tcW w:w="100" w:type="dxa"/>
            <w:vAlign w:val="bottom"/>
          </w:tcPr>
          <w:p>
            <w:pPr>
              <w:spacing w:after="0"/>
              <w:rPr>
                <w:sz w:val="11"/>
                <w:szCs w:val="11"/>
                <w:color w:val="auto"/>
              </w:rPr>
            </w:pP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HW Holdco, LLC (Revolver)</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12/10/2024</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93"/>
              </w:rPr>
              <w:t>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L+450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1,219,355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1,219,355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1,207,161</w:t>
            </w:r>
          </w:p>
        </w:tc>
        <w:tc>
          <w:tcPr>
            <w:tcW w:w="100" w:type="dxa"/>
            <w:vAlign w:val="bottom"/>
            <w:shd w:val="clear" w:color="auto" w:fill="CCECFF"/>
          </w:tcPr>
          <w:p>
            <w:pPr>
              <w:spacing w:after="0"/>
              <w:rPr>
                <w:sz w:val="11"/>
                <w:szCs w:val="11"/>
                <w:color w:val="auto"/>
              </w:rPr>
            </w:pPr>
          </w:p>
        </w:tc>
      </w:tr>
      <w:tr>
        <w:trPr>
          <w:trHeight w:val="135"/>
        </w:trPr>
        <w:tc>
          <w:tcPr>
            <w:tcW w:w="2840" w:type="dxa"/>
            <w:vAlign w:val="bottom"/>
          </w:tcPr>
          <w:p>
            <w:pPr>
              <w:spacing w:after="0"/>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9"/>
                <w:szCs w:val="9"/>
                <w:color w:val="auto"/>
              </w:rPr>
              <w:t>(7)</w:t>
            </w:r>
          </w:p>
        </w:tc>
        <w:tc>
          <w:tcPr>
            <w:tcW w:w="1120" w:type="dxa"/>
            <w:vAlign w:val="bottom"/>
          </w:tcPr>
          <w:p>
            <w:pPr>
              <w:jc w:val="center"/>
              <w:ind w:left="46"/>
              <w:spacing w:after="0"/>
              <w:rPr>
                <w:sz w:val="20"/>
                <w:szCs w:val="20"/>
                <w:color w:val="auto"/>
              </w:rPr>
            </w:pPr>
            <w:r>
              <w:rPr>
                <w:rFonts w:ascii="Arial" w:cs="Arial" w:eastAsia="Arial" w:hAnsi="Arial"/>
                <w:sz w:val="11"/>
                <w:szCs w:val="11"/>
                <w:color w:val="auto"/>
                <w:w w:val="90"/>
              </w:rPr>
              <w:t>12/10/2024</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2,167,742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(21,677)</w:t>
            </w: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IG Investments Holdings, LLC</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09/22/2028</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4,518,304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4,428,218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4,427,938</w:t>
            </w:r>
          </w:p>
        </w:tc>
        <w:tc>
          <w:tcPr>
            <w:tcW w:w="100" w:type="dxa"/>
            <w:vAlign w:val="bottom"/>
            <w:shd w:val="clear" w:color="auto" w:fill="CCECFF"/>
          </w:tcPr>
          <w:p>
            <w:pPr>
              <w:spacing w:after="0"/>
              <w:rPr>
                <w:sz w:val="11"/>
                <w:szCs w:val="11"/>
                <w:color w:val="auto"/>
              </w:rPr>
            </w:pPr>
          </w:p>
        </w:tc>
      </w:tr>
      <w:tr>
        <w:trPr>
          <w:trHeight w:val="135"/>
        </w:trPr>
        <w:tc>
          <w:tcPr>
            <w:tcW w:w="2840" w:type="dxa"/>
            <w:vAlign w:val="bottom"/>
          </w:tcPr>
          <w:p>
            <w:pPr>
              <w:spacing w:after="0"/>
              <w:rPr>
                <w:sz w:val="20"/>
                <w:szCs w:val="20"/>
                <w:color w:val="auto"/>
              </w:rPr>
            </w:pPr>
            <w:r>
              <w:rPr>
                <w:rFonts w:ascii="Arial" w:cs="Arial" w:eastAsia="Arial" w:hAnsi="Arial"/>
                <w:sz w:val="11"/>
                <w:szCs w:val="11"/>
                <w:color w:val="auto"/>
              </w:rPr>
              <w:t xml:space="preserve">IG Investments Holdings, LLC (Revolver) </w:t>
            </w:r>
            <w:r>
              <w:rPr>
                <w:rFonts w:ascii="Arial" w:cs="Arial" w:eastAsia="Arial" w:hAnsi="Arial"/>
                <w:sz w:val="9"/>
                <w:szCs w:val="9"/>
                <w:color w:val="auto"/>
              </w:rPr>
              <w:t>(7)</w:t>
            </w:r>
          </w:p>
        </w:tc>
        <w:tc>
          <w:tcPr>
            <w:tcW w:w="1120" w:type="dxa"/>
            <w:vAlign w:val="bottom"/>
          </w:tcPr>
          <w:p>
            <w:pPr>
              <w:jc w:val="center"/>
              <w:ind w:left="46"/>
              <w:spacing w:after="0"/>
              <w:rPr>
                <w:sz w:val="20"/>
                <w:szCs w:val="20"/>
                <w:color w:val="auto"/>
              </w:rPr>
            </w:pPr>
            <w:r>
              <w:rPr>
                <w:rFonts w:ascii="Arial" w:cs="Arial" w:eastAsia="Arial" w:hAnsi="Arial"/>
                <w:sz w:val="11"/>
                <w:szCs w:val="11"/>
                <w:color w:val="auto"/>
                <w:w w:val="90"/>
              </w:rPr>
              <w:t>09/22/2027</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476,879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IMIA Holdings, Inc.</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04/09/2027</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13,589,144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13,340,706</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13,317,361</w:t>
            </w:r>
          </w:p>
        </w:tc>
        <w:tc>
          <w:tcPr>
            <w:tcW w:w="100" w:type="dxa"/>
            <w:vAlign w:val="bottom"/>
            <w:shd w:val="clear" w:color="auto" w:fill="CCECFF"/>
          </w:tcPr>
          <w:p>
            <w:pPr>
              <w:spacing w:after="0"/>
              <w:rPr>
                <w:sz w:val="11"/>
                <w:szCs w:val="11"/>
                <w:color w:val="auto"/>
              </w:rPr>
            </w:pPr>
          </w:p>
        </w:tc>
      </w:tr>
      <w:tr>
        <w:trPr>
          <w:trHeight w:val="135"/>
        </w:trPr>
        <w:tc>
          <w:tcPr>
            <w:tcW w:w="2840" w:type="dxa"/>
            <w:vAlign w:val="bottom"/>
          </w:tcPr>
          <w:p>
            <w:pPr>
              <w:spacing w:after="0"/>
              <w:rPr>
                <w:sz w:val="20"/>
                <w:szCs w:val="20"/>
                <w:color w:val="auto"/>
              </w:rPr>
            </w:pPr>
            <w:r>
              <w:rPr>
                <w:rFonts w:ascii="Arial" w:cs="Arial" w:eastAsia="Arial" w:hAnsi="Arial"/>
                <w:sz w:val="11"/>
                <w:szCs w:val="11"/>
                <w:color w:val="auto"/>
              </w:rPr>
              <w:t xml:space="preserve">IMIA Holdings, Inc. (Revolver) </w:t>
            </w:r>
            <w:r>
              <w:rPr>
                <w:rFonts w:ascii="Arial" w:cs="Arial" w:eastAsia="Arial" w:hAnsi="Arial"/>
                <w:sz w:val="9"/>
                <w:szCs w:val="9"/>
                <w:color w:val="auto"/>
              </w:rPr>
              <w:t>(7)</w:t>
            </w:r>
          </w:p>
        </w:tc>
        <w:tc>
          <w:tcPr>
            <w:tcW w:w="1120" w:type="dxa"/>
            <w:vAlign w:val="bottom"/>
          </w:tcPr>
          <w:p>
            <w:pPr>
              <w:jc w:val="center"/>
              <w:ind w:left="46"/>
              <w:spacing w:after="0"/>
              <w:rPr>
                <w:sz w:val="20"/>
                <w:szCs w:val="20"/>
                <w:color w:val="auto"/>
              </w:rPr>
            </w:pPr>
            <w:r>
              <w:rPr>
                <w:rFonts w:ascii="Arial" w:cs="Arial" w:eastAsia="Arial" w:hAnsi="Arial"/>
                <w:sz w:val="11"/>
                <w:szCs w:val="11"/>
                <w:color w:val="auto"/>
                <w:w w:val="90"/>
              </w:rPr>
              <w:t>04/09/2027</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1,673,705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(33,474)</w:t>
            </w: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Integrity Marketing Acquisition, LLC</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08/27/2025</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6.49%</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17,220,295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17,116,076</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17,134,194</w:t>
            </w:r>
          </w:p>
        </w:tc>
        <w:tc>
          <w:tcPr>
            <w:tcW w:w="100" w:type="dxa"/>
            <w:vAlign w:val="bottom"/>
            <w:shd w:val="clear" w:color="auto" w:fill="CCECFF"/>
          </w:tcPr>
          <w:p>
            <w:pPr>
              <w:spacing w:after="0"/>
              <w:rPr>
                <w:sz w:val="11"/>
                <w:szCs w:val="11"/>
                <w:color w:val="auto"/>
              </w:rPr>
            </w:pPr>
          </w:p>
        </w:tc>
      </w:tr>
      <w:tr>
        <w:trPr>
          <w:trHeight w:val="135"/>
        </w:trPr>
        <w:tc>
          <w:tcPr>
            <w:tcW w:w="2840" w:type="dxa"/>
            <w:vAlign w:val="bottom"/>
          </w:tcPr>
          <w:p>
            <w:pPr>
              <w:spacing w:after="0"/>
              <w:rPr>
                <w:sz w:val="20"/>
                <w:szCs w:val="20"/>
                <w:color w:val="auto"/>
              </w:rPr>
            </w:pPr>
            <w:r>
              <w:rPr>
                <w:rFonts w:ascii="Arial" w:cs="Arial" w:eastAsia="Arial" w:hAnsi="Arial"/>
                <w:sz w:val="11"/>
                <w:szCs w:val="11"/>
                <w:color w:val="auto"/>
              </w:rPr>
              <w:t xml:space="preserve">Integrity Marketing Acquisition, LLC </w:t>
            </w:r>
            <w:r>
              <w:rPr>
                <w:rFonts w:ascii="Arial" w:cs="Arial" w:eastAsia="Arial" w:hAnsi="Arial"/>
                <w:sz w:val="9"/>
                <w:szCs w:val="9"/>
                <w:color w:val="auto"/>
              </w:rPr>
              <w:t>(7)</w:t>
            </w:r>
          </w:p>
        </w:tc>
        <w:tc>
          <w:tcPr>
            <w:tcW w:w="1120" w:type="dxa"/>
            <w:vAlign w:val="bottom"/>
          </w:tcPr>
          <w:p>
            <w:pPr>
              <w:jc w:val="center"/>
              <w:ind w:left="46"/>
              <w:spacing w:after="0"/>
              <w:rPr>
                <w:sz w:val="20"/>
                <w:szCs w:val="20"/>
                <w:color w:val="auto"/>
              </w:rPr>
            </w:pPr>
            <w:r>
              <w:rPr>
                <w:rFonts w:ascii="Arial" w:cs="Arial" w:eastAsia="Arial" w:hAnsi="Arial"/>
                <w:sz w:val="11"/>
                <w:szCs w:val="11"/>
                <w:color w:val="auto"/>
                <w:w w:val="90"/>
              </w:rPr>
              <w:t>07/09/2023</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4,277,692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10,694</w:t>
            </w:r>
          </w:p>
        </w:tc>
        <w:tc>
          <w:tcPr>
            <w:tcW w:w="100" w:type="dxa"/>
            <w:vAlign w:val="bottom"/>
          </w:tcPr>
          <w:p>
            <w:pPr>
              <w:spacing w:after="0"/>
              <w:rPr>
                <w:sz w:val="11"/>
                <w:szCs w:val="11"/>
                <w:color w:val="auto"/>
              </w:rPr>
            </w:pP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Juniper Landscaping of Florida, LLC</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12/22/2021</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7"/>
              </w:rPr>
              <w:t>Personal, Food and Miscellaneous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2,614,750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2,610,844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2,614,750</w:t>
            </w:r>
          </w:p>
        </w:tc>
        <w:tc>
          <w:tcPr>
            <w:tcW w:w="100" w:type="dxa"/>
            <w:vAlign w:val="bottom"/>
            <w:shd w:val="clear" w:color="auto" w:fill="CCECFF"/>
          </w:tcPr>
          <w:p>
            <w:pPr>
              <w:spacing w:after="0"/>
              <w:rPr>
                <w:sz w:val="11"/>
                <w:szCs w:val="11"/>
                <w:color w:val="auto"/>
              </w:rPr>
            </w:pPr>
          </w:p>
        </w:tc>
      </w:tr>
      <w:tr>
        <w:trPr>
          <w:trHeight w:val="135"/>
        </w:trPr>
        <w:tc>
          <w:tcPr>
            <w:tcW w:w="2840" w:type="dxa"/>
            <w:vAlign w:val="bottom"/>
          </w:tcPr>
          <w:p>
            <w:pPr>
              <w:spacing w:after="0"/>
              <w:rPr>
                <w:sz w:val="20"/>
                <w:szCs w:val="20"/>
                <w:color w:val="auto"/>
              </w:rPr>
            </w:pPr>
            <w:r>
              <w:rPr>
                <w:rFonts w:ascii="Arial" w:cs="Arial" w:eastAsia="Arial" w:hAnsi="Arial"/>
                <w:sz w:val="11"/>
                <w:szCs w:val="11"/>
                <w:color w:val="auto"/>
              </w:rPr>
              <w:t>K2 Pure Solutions NoCal, L.P.</w:t>
            </w:r>
          </w:p>
        </w:tc>
        <w:tc>
          <w:tcPr>
            <w:tcW w:w="1120" w:type="dxa"/>
            <w:vAlign w:val="bottom"/>
          </w:tcPr>
          <w:p>
            <w:pPr>
              <w:jc w:val="center"/>
              <w:ind w:left="46"/>
              <w:spacing w:after="0"/>
              <w:rPr>
                <w:sz w:val="20"/>
                <w:szCs w:val="20"/>
                <w:color w:val="auto"/>
              </w:rPr>
            </w:pPr>
            <w:r>
              <w:rPr>
                <w:rFonts w:ascii="Arial" w:cs="Arial" w:eastAsia="Arial" w:hAnsi="Arial"/>
                <w:sz w:val="11"/>
                <w:szCs w:val="11"/>
                <w:color w:val="auto"/>
                <w:w w:val="90"/>
              </w:rPr>
              <w:t>12/20/2023</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L+700</w:t>
            </w:r>
          </w:p>
        </w:tc>
        <w:tc>
          <w:tcPr>
            <w:tcW w:w="660" w:type="dxa"/>
            <w:vAlign w:val="bottom"/>
          </w:tcPr>
          <w:p>
            <w:pPr>
              <w:jc w:val="right"/>
              <w:spacing w:after="0"/>
              <w:rPr>
                <w:sz w:val="20"/>
                <w:szCs w:val="20"/>
                <w:color w:val="auto"/>
              </w:rPr>
            </w:pPr>
            <w:r>
              <w:rPr>
                <w:rFonts w:ascii="Arial" w:cs="Arial" w:eastAsia="Arial" w:hAnsi="Arial"/>
                <w:sz w:val="11"/>
                <w:szCs w:val="11"/>
                <w:color w:val="auto"/>
              </w:rPr>
              <w:t>11,799,667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11,712,192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11,485,796</w:t>
            </w:r>
          </w:p>
        </w:tc>
        <w:tc>
          <w:tcPr>
            <w:tcW w:w="100" w:type="dxa"/>
            <w:vAlign w:val="bottom"/>
          </w:tcPr>
          <w:p>
            <w:pPr>
              <w:spacing w:after="0"/>
              <w:rPr>
                <w:sz w:val="11"/>
                <w:szCs w:val="11"/>
                <w:color w:val="auto"/>
              </w:rPr>
            </w:pP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K2 Pure Solutions NoCal, L.P. (Revolver)</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12/20/2023</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872,143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872,143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848,944</w:t>
            </w:r>
          </w:p>
        </w:tc>
        <w:tc>
          <w:tcPr>
            <w:tcW w:w="100" w:type="dxa"/>
            <w:vAlign w:val="bottom"/>
            <w:shd w:val="clear" w:color="auto" w:fill="CCECFF"/>
          </w:tcPr>
          <w:p>
            <w:pPr>
              <w:spacing w:after="0"/>
              <w:rPr>
                <w:sz w:val="11"/>
                <w:szCs w:val="11"/>
                <w:color w:val="auto"/>
              </w:rPr>
            </w:pPr>
          </w:p>
        </w:tc>
      </w:tr>
      <w:tr>
        <w:trPr>
          <w:trHeight w:val="135"/>
        </w:trPr>
        <w:tc>
          <w:tcPr>
            <w:tcW w:w="2840" w:type="dxa"/>
            <w:vAlign w:val="bottom"/>
          </w:tcPr>
          <w:p>
            <w:pPr>
              <w:spacing w:after="0"/>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9"/>
                <w:szCs w:val="9"/>
                <w:color w:val="auto"/>
              </w:rPr>
              <w:t>(7)</w:t>
            </w:r>
          </w:p>
        </w:tc>
        <w:tc>
          <w:tcPr>
            <w:tcW w:w="1120" w:type="dxa"/>
            <w:vAlign w:val="bottom"/>
          </w:tcPr>
          <w:p>
            <w:pPr>
              <w:jc w:val="center"/>
              <w:ind w:left="46"/>
              <w:spacing w:after="0"/>
              <w:rPr>
                <w:sz w:val="20"/>
                <w:szCs w:val="20"/>
                <w:color w:val="auto"/>
              </w:rPr>
            </w:pPr>
            <w:r>
              <w:rPr>
                <w:rFonts w:ascii="Arial" w:cs="Arial" w:eastAsia="Arial" w:hAnsi="Arial"/>
                <w:sz w:val="11"/>
                <w:szCs w:val="11"/>
                <w:color w:val="auto"/>
                <w:w w:val="90"/>
              </w:rPr>
              <w:t>12/20/2023</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1,065,952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(28,354)</w:t>
            </w: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Lash OpCo, LLC</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02/18/2027</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8"/>
              </w:rPr>
              <w:t>Consumer Products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30,000,000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29,334,858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29,400,001</w:t>
            </w:r>
          </w:p>
        </w:tc>
        <w:tc>
          <w:tcPr>
            <w:tcW w:w="100" w:type="dxa"/>
            <w:vAlign w:val="bottom"/>
            <w:shd w:val="clear" w:color="auto" w:fill="CCECFF"/>
          </w:tcPr>
          <w:p>
            <w:pPr>
              <w:spacing w:after="0"/>
              <w:rPr>
                <w:sz w:val="11"/>
                <w:szCs w:val="11"/>
                <w:color w:val="auto"/>
              </w:rPr>
            </w:pPr>
          </w:p>
        </w:tc>
      </w:tr>
      <w:tr>
        <w:trPr>
          <w:trHeight w:val="135"/>
        </w:trPr>
        <w:tc>
          <w:tcPr>
            <w:tcW w:w="2840" w:type="dxa"/>
            <w:vAlign w:val="bottom"/>
          </w:tcPr>
          <w:p>
            <w:pPr>
              <w:spacing w:after="0"/>
              <w:rPr>
                <w:sz w:val="20"/>
                <w:szCs w:val="20"/>
                <w:color w:val="auto"/>
              </w:rPr>
            </w:pPr>
            <w:r>
              <w:rPr>
                <w:rFonts w:ascii="Arial" w:cs="Arial" w:eastAsia="Arial" w:hAnsi="Arial"/>
                <w:sz w:val="11"/>
                <w:szCs w:val="11"/>
                <w:color w:val="auto"/>
              </w:rPr>
              <w:t>Lash OpCo, LLC (Revolver)</w:t>
            </w:r>
          </w:p>
        </w:tc>
        <w:tc>
          <w:tcPr>
            <w:tcW w:w="1120" w:type="dxa"/>
            <w:vAlign w:val="bottom"/>
          </w:tcPr>
          <w:p>
            <w:pPr>
              <w:jc w:val="center"/>
              <w:ind w:left="46"/>
              <w:spacing w:after="0"/>
              <w:rPr>
                <w:sz w:val="20"/>
                <w:szCs w:val="20"/>
                <w:color w:val="auto"/>
              </w:rPr>
            </w:pPr>
            <w:r>
              <w:rPr>
                <w:rFonts w:ascii="Arial" w:cs="Arial" w:eastAsia="Arial" w:hAnsi="Arial"/>
                <w:sz w:val="11"/>
                <w:szCs w:val="11"/>
                <w:color w:val="auto"/>
                <w:w w:val="90"/>
              </w:rPr>
              <w:t>08/16/2026</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8"/>
              </w:rPr>
              <w:t>Consumer Products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L+700</w:t>
            </w:r>
          </w:p>
        </w:tc>
        <w:tc>
          <w:tcPr>
            <w:tcW w:w="660" w:type="dxa"/>
            <w:vAlign w:val="bottom"/>
          </w:tcPr>
          <w:p>
            <w:pPr>
              <w:jc w:val="right"/>
              <w:spacing w:after="0"/>
              <w:rPr>
                <w:sz w:val="20"/>
                <w:szCs w:val="20"/>
                <w:color w:val="auto"/>
              </w:rPr>
            </w:pPr>
            <w:r>
              <w:rPr>
                <w:rFonts w:ascii="Arial" w:cs="Arial" w:eastAsia="Arial" w:hAnsi="Arial"/>
                <w:sz w:val="11"/>
                <w:szCs w:val="11"/>
                <w:color w:val="auto"/>
              </w:rPr>
              <w:t>291,142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291,142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285,319</w:t>
            </w:r>
          </w:p>
        </w:tc>
        <w:tc>
          <w:tcPr>
            <w:tcW w:w="100" w:type="dxa"/>
            <w:vAlign w:val="bottom"/>
          </w:tcPr>
          <w:p>
            <w:pPr>
              <w:spacing w:after="0"/>
              <w:rPr>
                <w:sz w:val="11"/>
                <w:szCs w:val="11"/>
                <w:color w:val="auto"/>
              </w:rPr>
            </w:pP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Lash OpCo, LLC (Revolver) </w:t>
            </w:r>
            <w:r>
              <w:rPr>
                <w:rFonts w:ascii="Arial" w:cs="Arial" w:eastAsia="Arial" w:hAnsi="Arial"/>
                <w:sz w:val="9"/>
                <w:szCs w:val="9"/>
                <w:color w:val="auto"/>
              </w:rPr>
              <w:t>(7)</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08/19/2026</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8"/>
              </w:rPr>
              <w:t>Consumer Products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1,528,494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(30,570)</w:t>
            </w:r>
          </w:p>
        </w:tc>
      </w:tr>
      <w:tr>
        <w:trPr>
          <w:trHeight w:val="139"/>
        </w:trPr>
        <w:tc>
          <w:tcPr>
            <w:tcW w:w="2840" w:type="dxa"/>
            <w:vAlign w:val="bottom"/>
          </w:tcPr>
          <w:p>
            <w:pPr>
              <w:spacing w:after="0"/>
              <w:rPr>
                <w:sz w:val="20"/>
                <w:szCs w:val="20"/>
                <w:color w:val="auto"/>
              </w:rPr>
            </w:pPr>
            <w:r>
              <w:rPr>
                <w:rFonts w:ascii="Arial" w:cs="Arial" w:eastAsia="Arial" w:hAnsi="Arial"/>
                <w:sz w:val="11"/>
                <w:szCs w:val="11"/>
                <w:color w:val="auto"/>
              </w:rPr>
              <w:t>LAV Gear Holdings, Inc.</w:t>
            </w:r>
          </w:p>
        </w:tc>
        <w:tc>
          <w:tcPr>
            <w:tcW w:w="1120" w:type="dxa"/>
            <w:vAlign w:val="bottom"/>
          </w:tcPr>
          <w:p>
            <w:pPr>
              <w:jc w:val="center"/>
              <w:ind w:left="46"/>
              <w:spacing w:after="0"/>
              <w:rPr>
                <w:sz w:val="20"/>
                <w:szCs w:val="20"/>
                <w:color w:val="auto"/>
              </w:rPr>
            </w:pPr>
            <w:r>
              <w:rPr>
                <w:rFonts w:ascii="Arial" w:cs="Arial" w:eastAsia="Arial" w:hAnsi="Arial"/>
                <w:sz w:val="11"/>
                <w:szCs w:val="11"/>
                <w:color w:val="auto"/>
                <w:w w:val="90"/>
              </w:rPr>
              <w:t>10/31/2024</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90"/>
              </w:rPr>
              <w:t>Leisure, Amusement, Motion Pictures, Entertainment</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8.50%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tcPr>
          <w:p>
            <w:pPr>
              <w:jc w:val="right"/>
              <w:spacing w:after="0"/>
              <w:rPr>
                <w:sz w:val="20"/>
                <w:szCs w:val="20"/>
                <w:color w:val="auto"/>
              </w:rPr>
            </w:pPr>
            <w:r>
              <w:rPr>
                <w:rFonts w:ascii="Arial" w:cs="Arial" w:eastAsia="Arial" w:hAnsi="Arial"/>
                <w:sz w:val="11"/>
                <w:szCs w:val="11"/>
                <w:color w:val="auto"/>
              </w:rPr>
              <w:t>790,306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785,493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740,754</w:t>
            </w:r>
          </w:p>
        </w:tc>
        <w:tc>
          <w:tcPr>
            <w:tcW w:w="100" w:type="dxa"/>
            <w:vAlign w:val="bottom"/>
          </w:tcPr>
          <w:p>
            <w:pPr>
              <w:spacing w:after="0"/>
              <w:rPr>
                <w:sz w:val="12"/>
                <w:szCs w:val="12"/>
                <w:color w:val="auto"/>
              </w:rPr>
            </w:pPr>
          </w:p>
        </w:tc>
      </w:tr>
      <w:tr>
        <w:trPr>
          <w:trHeight w:val="131"/>
        </w:trPr>
        <w:tc>
          <w:tcPr>
            <w:tcW w:w="2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5.00%)</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Lightspeed Buyer Inc.</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02/03/2026</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4,993,874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4,922,030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4,993,874</w:t>
            </w:r>
          </w:p>
        </w:tc>
        <w:tc>
          <w:tcPr>
            <w:tcW w:w="100" w:type="dxa"/>
            <w:vAlign w:val="bottom"/>
            <w:shd w:val="clear" w:color="auto" w:fill="CCECFF"/>
          </w:tcPr>
          <w:p>
            <w:pPr>
              <w:spacing w:after="0"/>
              <w:rPr>
                <w:sz w:val="11"/>
                <w:szCs w:val="11"/>
                <w:color w:val="auto"/>
              </w:rPr>
            </w:pPr>
          </w:p>
        </w:tc>
      </w:tr>
      <w:tr>
        <w:trPr>
          <w:trHeight w:val="135"/>
        </w:trPr>
        <w:tc>
          <w:tcPr>
            <w:tcW w:w="2840" w:type="dxa"/>
            <w:vAlign w:val="bottom"/>
          </w:tcPr>
          <w:p>
            <w:pPr>
              <w:spacing w:after="0"/>
              <w:rPr>
                <w:sz w:val="20"/>
                <w:szCs w:val="20"/>
                <w:color w:val="auto"/>
              </w:rPr>
            </w:pPr>
            <w:r>
              <w:rPr>
                <w:rFonts w:ascii="Arial" w:cs="Arial" w:eastAsia="Arial" w:hAnsi="Arial"/>
                <w:sz w:val="11"/>
                <w:szCs w:val="11"/>
                <w:color w:val="auto"/>
              </w:rPr>
              <w:t xml:space="preserve">Lightspeed Buyer Inc. (Revolver) </w:t>
            </w:r>
            <w:r>
              <w:rPr>
                <w:rFonts w:ascii="Arial" w:cs="Arial" w:eastAsia="Arial" w:hAnsi="Arial"/>
                <w:sz w:val="9"/>
                <w:szCs w:val="9"/>
                <w:color w:val="auto"/>
              </w:rPr>
              <w:t>(7)</w:t>
            </w:r>
          </w:p>
        </w:tc>
        <w:tc>
          <w:tcPr>
            <w:tcW w:w="1120" w:type="dxa"/>
            <w:vAlign w:val="bottom"/>
          </w:tcPr>
          <w:p>
            <w:pPr>
              <w:jc w:val="center"/>
              <w:ind w:left="46"/>
              <w:spacing w:after="0"/>
              <w:rPr>
                <w:sz w:val="20"/>
                <w:szCs w:val="20"/>
                <w:color w:val="auto"/>
              </w:rPr>
            </w:pPr>
            <w:r>
              <w:rPr>
                <w:rFonts w:ascii="Arial" w:cs="Arial" w:eastAsia="Arial" w:hAnsi="Arial"/>
                <w:sz w:val="11"/>
                <w:szCs w:val="11"/>
                <w:color w:val="auto"/>
                <w:w w:val="90"/>
              </w:rPr>
              <w:t>02/03/2026</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1,165,780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Lombart Brothers, Inc.</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04/13/2023</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1,035,618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1,035,618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1,035,618</w:t>
            </w:r>
          </w:p>
        </w:tc>
        <w:tc>
          <w:tcPr>
            <w:tcW w:w="100" w:type="dxa"/>
            <w:vAlign w:val="bottom"/>
            <w:shd w:val="clear" w:color="auto" w:fill="CCECFF"/>
          </w:tcPr>
          <w:p>
            <w:pPr>
              <w:spacing w:after="0"/>
              <w:rPr>
                <w:sz w:val="11"/>
                <w:szCs w:val="11"/>
                <w:color w:val="auto"/>
              </w:rPr>
            </w:pPr>
          </w:p>
        </w:tc>
      </w:tr>
      <w:tr>
        <w:trPr>
          <w:trHeight w:val="135"/>
        </w:trPr>
        <w:tc>
          <w:tcPr>
            <w:tcW w:w="2840" w:type="dxa"/>
            <w:vAlign w:val="bottom"/>
          </w:tcPr>
          <w:p>
            <w:pPr>
              <w:spacing w:after="0"/>
              <w:rPr>
                <w:sz w:val="20"/>
                <w:szCs w:val="20"/>
                <w:color w:val="auto"/>
              </w:rPr>
            </w:pPr>
            <w:r>
              <w:rPr>
                <w:rFonts w:ascii="Arial" w:cs="Arial" w:eastAsia="Arial" w:hAnsi="Arial"/>
                <w:sz w:val="11"/>
                <w:szCs w:val="11"/>
                <w:color w:val="auto"/>
              </w:rPr>
              <w:t>Lombart Brothers, Inc. (Revolver)</w:t>
            </w:r>
          </w:p>
        </w:tc>
        <w:tc>
          <w:tcPr>
            <w:tcW w:w="1120" w:type="dxa"/>
            <w:vAlign w:val="bottom"/>
          </w:tcPr>
          <w:p>
            <w:pPr>
              <w:jc w:val="center"/>
              <w:ind w:left="46"/>
              <w:spacing w:after="0"/>
              <w:rPr>
                <w:sz w:val="20"/>
                <w:szCs w:val="20"/>
                <w:color w:val="auto"/>
              </w:rPr>
            </w:pPr>
            <w:r>
              <w:rPr>
                <w:rFonts w:ascii="Arial" w:cs="Arial" w:eastAsia="Arial" w:hAnsi="Arial"/>
                <w:sz w:val="11"/>
                <w:szCs w:val="11"/>
                <w:color w:val="auto"/>
                <w:w w:val="90"/>
              </w:rPr>
              <w:t>04/13/2023</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tcPr>
          <w:p>
            <w:pPr>
              <w:jc w:val="right"/>
              <w:spacing w:after="0"/>
              <w:rPr>
                <w:sz w:val="20"/>
                <w:szCs w:val="20"/>
                <w:color w:val="auto"/>
              </w:rPr>
            </w:pPr>
            <w:r>
              <w:rPr>
                <w:rFonts w:ascii="Arial" w:cs="Arial" w:eastAsia="Arial" w:hAnsi="Arial"/>
                <w:sz w:val="11"/>
                <w:szCs w:val="11"/>
                <w:color w:val="auto"/>
              </w:rPr>
              <w:t>737,293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737,293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737,293</w:t>
            </w:r>
          </w:p>
        </w:tc>
        <w:tc>
          <w:tcPr>
            <w:tcW w:w="100" w:type="dxa"/>
            <w:vAlign w:val="bottom"/>
          </w:tcPr>
          <w:p>
            <w:pPr>
              <w:spacing w:after="0"/>
              <w:rPr>
                <w:sz w:val="11"/>
                <w:szCs w:val="11"/>
                <w:color w:val="auto"/>
              </w:rPr>
            </w:pP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Mars Acquisition Holdings Corp. (Revolver)</w:t>
            </w:r>
            <w:r>
              <w:rPr>
                <w:rFonts w:ascii="Arial" w:cs="Arial" w:eastAsia="Arial" w:hAnsi="Arial"/>
                <w:sz w:val="9"/>
                <w:szCs w:val="9"/>
                <w:color w:val="auto"/>
              </w:rPr>
              <w:t>(7)</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5"/>
              </w:rPr>
              <w:t>5/14/2026</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93"/>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806,142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(8,061)</w:t>
            </w:r>
          </w:p>
        </w:tc>
      </w:tr>
      <w:tr>
        <w:trPr>
          <w:trHeight w:val="135"/>
        </w:trPr>
        <w:tc>
          <w:tcPr>
            <w:tcW w:w="2840" w:type="dxa"/>
            <w:vAlign w:val="bottom"/>
          </w:tcPr>
          <w:p>
            <w:pPr>
              <w:spacing w:after="0"/>
              <w:rPr>
                <w:sz w:val="20"/>
                <w:szCs w:val="20"/>
                <w:color w:val="auto"/>
              </w:rPr>
            </w:pPr>
            <w:r>
              <w:rPr>
                <w:rFonts w:ascii="Arial" w:cs="Arial" w:eastAsia="Arial" w:hAnsi="Arial"/>
                <w:sz w:val="11"/>
                <w:szCs w:val="11"/>
                <w:color w:val="auto"/>
              </w:rPr>
              <w:t xml:space="preserve">MBS Holdings, Inc. (Revolver) </w:t>
            </w:r>
            <w:r>
              <w:rPr>
                <w:rFonts w:ascii="Arial" w:cs="Arial" w:eastAsia="Arial" w:hAnsi="Arial"/>
                <w:sz w:val="9"/>
                <w:szCs w:val="9"/>
                <w:color w:val="auto"/>
              </w:rPr>
              <w:t>(7)</w:t>
            </w:r>
          </w:p>
        </w:tc>
        <w:tc>
          <w:tcPr>
            <w:tcW w:w="1120" w:type="dxa"/>
            <w:vAlign w:val="bottom"/>
          </w:tcPr>
          <w:p>
            <w:pPr>
              <w:jc w:val="center"/>
              <w:ind w:left="46"/>
              <w:spacing w:after="0"/>
              <w:rPr>
                <w:sz w:val="20"/>
                <w:szCs w:val="20"/>
                <w:color w:val="auto"/>
              </w:rPr>
            </w:pPr>
            <w:r>
              <w:rPr>
                <w:rFonts w:ascii="Arial" w:cs="Arial" w:eastAsia="Arial" w:hAnsi="Arial"/>
                <w:sz w:val="11"/>
                <w:szCs w:val="11"/>
                <w:color w:val="auto"/>
                <w:w w:val="90"/>
              </w:rPr>
              <w:t>04/16/2027</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694,444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(13,889)</w:t>
            </w: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MeritDirect, LLC</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05/23/2024</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93"/>
              </w:rPr>
              <w:t>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2,759,490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2,735,940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2,731,895</w:t>
            </w:r>
          </w:p>
        </w:tc>
        <w:tc>
          <w:tcPr>
            <w:tcW w:w="100" w:type="dxa"/>
            <w:vAlign w:val="bottom"/>
            <w:shd w:val="clear" w:color="auto" w:fill="CCECFF"/>
          </w:tcPr>
          <w:p>
            <w:pPr>
              <w:spacing w:after="0"/>
              <w:rPr>
                <w:sz w:val="11"/>
                <w:szCs w:val="11"/>
                <w:color w:val="auto"/>
              </w:rPr>
            </w:pPr>
          </w:p>
        </w:tc>
      </w:tr>
      <w:tr>
        <w:trPr>
          <w:trHeight w:val="135"/>
        </w:trPr>
        <w:tc>
          <w:tcPr>
            <w:tcW w:w="2840" w:type="dxa"/>
            <w:vAlign w:val="bottom"/>
          </w:tcPr>
          <w:p>
            <w:pPr>
              <w:spacing w:after="0"/>
              <w:rPr>
                <w:sz w:val="20"/>
                <w:szCs w:val="20"/>
                <w:color w:val="auto"/>
              </w:rPr>
            </w:pPr>
            <w:r>
              <w:rPr>
                <w:rFonts w:ascii="Arial" w:cs="Arial" w:eastAsia="Arial" w:hAnsi="Arial"/>
                <w:sz w:val="11"/>
                <w:szCs w:val="11"/>
                <w:color w:val="auto"/>
              </w:rPr>
              <w:t xml:space="preserve">MeritDirect, LLC (Revolver) </w:t>
            </w:r>
            <w:r>
              <w:rPr>
                <w:rFonts w:ascii="Arial" w:cs="Arial" w:eastAsia="Arial" w:hAnsi="Arial"/>
                <w:sz w:val="9"/>
                <w:szCs w:val="9"/>
                <w:color w:val="auto"/>
              </w:rPr>
              <w:t>(7)</w:t>
            </w:r>
          </w:p>
        </w:tc>
        <w:tc>
          <w:tcPr>
            <w:tcW w:w="1120" w:type="dxa"/>
            <w:vAlign w:val="bottom"/>
          </w:tcPr>
          <w:p>
            <w:pPr>
              <w:jc w:val="center"/>
              <w:ind w:left="46"/>
              <w:spacing w:after="0"/>
              <w:rPr>
                <w:sz w:val="20"/>
                <w:szCs w:val="20"/>
                <w:color w:val="auto"/>
              </w:rPr>
            </w:pPr>
            <w:r>
              <w:rPr>
                <w:rFonts w:ascii="Arial" w:cs="Arial" w:eastAsia="Arial" w:hAnsi="Arial"/>
                <w:sz w:val="11"/>
                <w:szCs w:val="11"/>
                <w:color w:val="auto"/>
                <w:w w:val="90"/>
              </w:rPr>
              <w:t>05/23/2024</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2,518,345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(25,183)</w:t>
            </w: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Municipal Emergency Services, Inc.</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09/28/2027</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6.00%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6,952,830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6,813,773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6,813,773</w:t>
            </w:r>
          </w:p>
        </w:tc>
        <w:tc>
          <w:tcPr>
            <w:tcW w:w="100" w:type="dxa"/>
            <w:vAlign w:val="bottom"/>
            <w:shd w:val="clear" w:color="auto" w:fill="CCECFF"/>
          </w:tcPr>
          <w:p>
            <w:pPr>
              <w:spacing w:after="0"/>
              <w:rPr>
                <w:sz w:val="11"/>
                <w:szCs w:val="11"/>
                <w:color w:val="auto"/>
              </w:rPr>
            </w:pPr>
          </w:p>
        </w:tc>
      </w:tr>
      <w:tr>
        <w:trPr>
          <w:trHeight w:val="135"/>
        </w:trPr>
        <w:tc>
          <w:tcPr>
            <w:tcW w:w="2840" w:type="dxa"/>
            <w:vAlign w:val="bottom"/>
          </w:tcPr>
          <w:p>
            <w:pPr>
              <w:spacing w:after="0"/>
              <w:rPr>
                <w:sz w:val="20"/>
                <w:szCs w:val="20"/>
                <w:color w:val="auto"/>
              </w:rPr>
            </w:pPr>
            <w:r>
              <w:rPr>
                <w:rFonts w:ascii="Arial" w:cs="Arial" w:eastAsia="Arial" w:hAnsi="Arial"/>
                <w:sz w:val="11"/>
                <w:szCs w:val="11"/>
                <w:color w:val="auto"/>
              </w:rPr>
              <w:t xml:space="preserve">Municipal Emergency Services, Inc. </w:t>
            </w:r>
            <w:r>
              <w:rPr>
                <w:rFonts w:ascii="Arial" w:cs="Arial" w:eastAsia="Arial" w:hAnsi="Arial"/>
                <w:sz w:val="9"/>
                <w:szCs w:val="9"/>
                <w:color w:val="auto"/>
              </w:rPr>
              <w:t>(7)</w:t>
            </w:r>
          </w:p>
        </w:tc>
        <w:tc>
          <w:tcPr>
            <w:tcW w:w="1120" w:type="dxa"/>
            <w:vAlign w:val="bottom"/>
          </w:tcPr>
          <w:p>
            <w:pPr>
              <w:jc w:val="center"/>
              <w:ind w:left="46"/>
              <w:spacing w:after="0"/>
              <w:rPr>
                <w:sz w:val="20"/>
                <w:szCs w:val="20"/>
                <w:color w:val="auto"/>
              </w:rPr>
            </w:pPr>
            <w:r>
              <w:rPr>
                <w:rFonts w:ascii="Arial" w:cs="Arial" w:eastAsia="Arial" w:hAnsi="Arial"/>
                <w:sz w:val="11"/>
                <w:szCs w:val="11"/>
                <w:color w:val="auto"/>
                <w:w w:val="90"/>
              </w:rPr>
              <w:t>09/28/2027</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1,880,414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Municipal Emergency Services, Inc. (Revolver) </w:t>
            </w:r>
            <w:r>
              <w:rPr>
                <w:rFonts w:ascii="Arial" w:cs="Arial" w:eastAsia="Arial" w:hAnsi="Arial"/>
                <w:sz w:val="9"/>
                <w:szCs w:val="9"/>
                <w:color w:val="auto"/>
              </w:rPr>
              <w:t>(7)</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09/28/2027</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1,880,414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2840" w:type="dxa"/>
            <w:vAlign w:val="bottom"/>
          </w:tcPr>
          <w:p>
            <w:pPr>
              <w:spacing w:after="0"/>
              <w:rPr>
                <w:sz w:val="20"/>
                <w:szCs w:val="20"/>
                <w:color w:val="auto"/>
              </w:rPr>
            </w:pPr>
            <w:r>
              <w:rPr>
                <w:rFonts w:ascii="Arial" w:cs="Arial" w:eastAsia="Arial" w:hAnsi="Arial"/>
                <w:sz w:val="11"/>
                <w:szCs w:val="11"/>
                <w:color w:val="auto"/>
              </w:rPr>
              <w:t>NBH Group LLC</w:t>
            </w:r>
          </w:p>
        </w:tc>
        <w:tc>
          <w:tcPr>
            <w:tcW w:w="1120" w:type="dxa"/>
            <w:vAlign w:val="bottom"/>
          </w:tcPr>
          <w:p>
            <w:pPr>
              <w:jc w:val="center"/>
              <w:ind w:left="46"/>
              <w:spacing w:after="0"/>
              <w:rPr>
                <w:sz w:val="20"/>
                <w:szCs w:val="20"/>
                <w:color w:val="auto"/>
              </w:rPr>
            </w:pPr>
            <w:r>
              <w:rPr>
                <w:rFonts w:ascii="Arial" w:cs="Arial" w:eastAsia="Arial" w:hAnsi="Arial"/>
                <w:sz w:val="11"/>
                <w:szCs w:val="11"/>
                <w:color w:val="auto"/>
                <w:w w:val="90"/>
              </w:rPr>
              <w:t>08/19/2026</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tcPr>
          <w:p>
            <w:pPr>
              <w:jc w:val="right"/>
              <w:spacing w:after="0"/>
              <w:rPr>
                <w:sz w:val="20"/>
                <w:szCs w:val="20"/>
                <w:color w:val="auto"/>
              </w:rPr>
            </w:pPr>
            <w:r>
              <w:rPr>
                <w:rFonts w:ascii="Arial" w:cs="Arial" w:eastAsia="Arial" w:hAnsi="Arial"/>
                <w:sz w:val="11"/>
                <w:szCs w:val="11"/>
                <w:color w:val="auto"/>
              </w:rPr>
              <w:t>7,561,352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7,412,724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7,410,125</w:t>
            </w:r>
          </w:p>
        </w:tc>
        <w:tc>
          <w:tcPr>
            <w:tcW w:w="100" w:type="dxa"/>
            <w:vAlign w:val="bottom"/>
          </w:tcPr>
          <w:p>
            <w:pPr>
              <w:spacing w:after="0"/>
              <w:rPr>
                <w:sz w:val="11"/>
                <w:szCs w:val="11"/>
                <w:color w:val="auto"/>
              </w:rPr>
            </w:pPr>
          </w:p>
        </w:tc>
      </w:tr>
      <w:tr>
        <w:trPr>
          <w:trHeight w:val="135"/>
        </w:trPr>
        <w:tc>
          <w:tcPr>
            <w:tcW w:w="28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NBH Group LLC (Revolver) </w:t>
            </w:r>
            <w:r>
              <w:rPr>
                <w:rFonts w:ascii="Arial" w:cs="Arial" w:eastAsia="Arial" w:hAnsi="Arial"/>
                <w:sz w:val="9"/>
                <w:szCs w:val="9"/>
                <w:color w:val="auto"/>
              </w:rPr>
              <w:t>(7)</w:t>
            </w:r>
          </w:p>
        </w:tc>
        <w:tc>
          <w:tcPr>
            <w:tcW w:w="112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08/19/2026</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1,162,916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(23,258)</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3"/>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Maturity /</w:t>
            </w: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10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Spread Above</w:t>
            </w:r>
          </w:p>
        </w:tc>
        <w:tc>
          <w:tcPr>
            <w:tcW w:w="900" w:type="dxa"/>
            <w:vAlign w:val="bottom"/>
            <w:gridSpan w:val="2"/>
          </w:tcPr>
          <w:p>
            <w:pPr>
              <w:ind w:left="220"/>
              <w:spacing w:after="0" w:line="122" w:lineRule="exact"/>
              <w:rPr>
                <w:sz w:val="20"/>
                <w:szCs w:val="20"/>
                <w:color w:val="auto"/>
              </w:rPr>
            </w:pPr>
            <w:r>
              <w:rPr>
                <w:rFonts w:ascii="Arial" w:cs="Arial" w:eastAsia="Arial" w:hAnsi="Arial"/>
                <w:sz w:val="11"/>
                <w:szCs w:val="11"/>
                <w:b w:val="1"/>
                <w:bCs w:val="1"/>
                <w:color w:val="auto"/>
              </w:rPr>
              <w:t>Par /</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0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Borders>
              <w:bottom w:val="single" w:sz="8" w:color="CCECFF"/>
            </w:tcBorders>
          </w:tcPr>
          <w:p>
            <w:pPr>
              <w:spacing w:after="0"/>
              <w:rPr>
                <w:sz w:val="11"/>
                <w:szCs w:val="11"/>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Borders>
              <w:bottom w:val="single" w:sz="8" w:color="CCECFF"/>
            </w:tcBorders>
          </w:tcPr>
          <w:p>
            <w:pPr>
              <w:spacing w:after="0"/>
              <w:rPr>
                <w:sz w:val="11"/>
                <w:szCs w:val="11"/>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Coupon</w:t>
            </w:r>
          </w:p>
        </w:tc>
        <w:tc>
          <w:tcPr>
            <w:tcW w:w="260" w:type="dxa"/>
            <w:vAlign w:val="bottom"/>
            <w:tcBorders>
              <w:bottom w:val="single" w:sz="8" w:color="CCECFF"/>
            </w:tcBorders>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2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(3)</w:t>
            </w:r>
          </w:p>
        </w:tc>
        <w:tc>
          <w:tcPr>
            <w:tcW w:w="100" w:type="dxa"/>
            <w:vAlign w:val="bottom"/>
            <w:tcBorders>
              <w:bottom w:val="single" w:sz="8" w:color="CCECFF"/>
            </w:tcBorders>
          </w:tcPr>
          <w:p>
            <w:pPr>
              <w:spacing w:after="0"/>
              <w:rPr>
                <w:sz w:val="11"/>
                <w:szCs w:val="11"/>
                <w:color w:val="auto"/>
              </w:rPr>
            </w:pPr>
          </w:p>
        </w:tc>
      </w:tr>
      <w:tr>
        <w:trPr>
          <w:trHeight w:val="128"/>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OIS Management Services, LLC</w:t>
            </w:r>
          </w:p>
        </w:tc>
        <w:tc>
          <w:tcPr>
            <w:tcW w:w="76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rPr>
              <w:t>07/09/2026</w:t>
            </w:r>
          </w:p>
        </w:tc>
        <w:tc>
          <w:tcPr>
            <w:tcW w:w="1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5.75%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L+475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3,892,500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3,842,568</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3,834,113</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OIS Management Services, LLC </w:t>
            </w:r>
            <w:r>
              <w:rPr>
                <w:rFonts w:ascii="Arial" w:cs="Arial" w:eastAsia="Arial" w:hAnsi="Arial"/>
                <w:sz w:val="9"/>
                <w:szCs w:val="9"/>
                <w:color w:val="auto"/>
              </w:rPr>
              <w:t>(7)</w:t>
            </w:r>
          </w:p>
        </w:tc>
        <w:tc>
          <w:tcPr>
            <w:tcW w:w="760" w:type="dxa"/>
            <w:vAlign w:val="bottom"/>
            <w:gridSpan w:val="2"/>
          </w:tcPr>
          <w:p>
            <w:pPr>
              <w:ind w:left="180"/>
              <w:spacing w:after="0"/>
              <w:rPr>
                <w:sz w:val="20"/>
                <w:szCs w:val="20"/>
                <w:color w:val="auto"/>
              </w:rPr>
            </w:pPr>
            <w:r>
              <w:rPr>
                <w:rFonts w:ascii="Arial" w:cs="Arial" w:eastAsia="Arial" w:hAnsi="Arial"/>
                <w:sz w:val="11"/>
                <w:szCs w:val="11"/>
                <w:color w:val="auto"/>
              </w:rPr>
              <w:t>07/09/2023</w:t>
            </w:r>
          </w:p>
        </w:tc>
        <w:tc>
          <w:tcPr>
            <w:tcW w:w="1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1,433,333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(10,750)</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OIS Management Services, LLC (Revolver) </w:t>
            </w:r>
            <w:r>
              <w:rPr>
                <w:rFonts w:ascii="Arial" w:cs="Arial" w:eastAsia="Arial" w:hAnsi="Arial"/>
                <w:sz w:val="9"/>
                <w:szCs w:val="9"/>
                <w:color w:val="auto"/>
              </w:rPr>
              <w:t>(7)</w:t>
            </w:r>
          </w:p>
        </w:tc>
        <w:tc>
          <w:tcPr>
            <w:tcW w:w="76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rPr>
              <w:t>07/09/2026</w:t>
            </w:r>
          </w:p>
        </w:tc>
        <w:tc>
          <w:tcPr>
            <w:tcW w:w="1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333,333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(5,000)</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One Stop Mailing, LLC</w:t>
            </w:r>
          </w:p>
        </w:tc>
        <w:tc>
          <w:tcPr>
            <w:tcW w:w="760" w:type="dxa"/>
            <w:vAlign w:val="bottom"/>
            <w:gridSpan w:val="2"/>
          </w:tcPr>
          <w:p>
            <w:pPr>
              <w:ind w:left="180"/>
              <w:spacing w:after="0"/>
              <w:rPr>
                <w:sz w:val="20"/>
                <w:szCs w:val="20"/>
                <w:color w:val="auto"/>
              </w:rPr>
            </w:pPr>
            <w:r>
              <w:rPr>
                <w:rFonts w:ascii="Arial" w:cs="Arial" w:eastAsia="Arial" w:hAnsi="Arial"/>
                <w:sz w:val="11"/>
                <w:szCs w:val="11"/>
                <w:color w:val="auto"/>
              </w:rPr>
              <w:t>05/07/2027</w:t>
            </w:r>
          </w:p>
        </w:tc>
        <w:tc>
          <w:tcPr>
            <w:tcW w:w="1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Cargo Transport</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tcPr>
          <w:p>
            <w:pPr>
              <w:jc w:val="right"/>
              <w:spacing w:after="0"/>
              <w:rPr>
                <w:sz w:val="20"/>
                <w:szCs w:val="20"/>
                <w:color w:val="auto"/>
              </w:rPr>
            </w:pPr>
            <w:r>
              <w:rPr>
                <w:rFonts w:ascii="Arial" w:cs="Arial" w:eastAsia="Arial" w:hAnsi="Arial"/>
                <w:sz w:val="11"/>
                <w:szCs w:val="11"/>
                <w:color w:val="auto"/>
              </w:rPr>
              <w:t>14,919,643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14,630,941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14,658,549</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ORL Acquisition, Inc.</w:t>
            </w:r>
          </w:p>
        </w:tc>
        <w:tc>
          <w:tcPr>
            <w:tcW w:w="76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rPr>
              <w:t>09/03/2027</w:t>
            </w:r>
          </w:p>
        </w:tc>
        <w:tc>
          <w:tcPr>
            <w:tcW w:w="1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5,040,902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4,940,826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4,940,084</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ORL Acquisition, Inc. (Revolver) </w:t>
            </w:r>
            <w:r>
              <w:rPr>
                <w:rFonts w:ascii="Arial" w:cs="Arial" w:eastAsia="Arial" w:hAnsi="Arial"/>
                <w:sz w:val="9"/>
                <w:szCs w:val="9"/>
                <w:color w:val="auto"/>
              </w:rPr>
              <w:t>(7)</w:t>
            </w:r>
          </w:p>
        </w:tc>
        <w:tc>
          <w:tcPr>
            <w:tcW w:w="760" w:type="dxa"/>
            <w:vAlign w:val="bottom"/>
            <w:gridSpan w:val="2"/>
          </w:tcPr>
          <w:p>
            <w:pPr>
              <w:ind w:left="180"/>
              <w:spacing w:after="0"/>
              <w:rPr>
                <w:sz w:val="20"/>
                <w:szCs w:val="20"/>
                <w:color w:val="auto"/>
              </w:rPr>
            </w:pPr>
            <w:r>
              <w:rPr>
                <w:rFonts w:ascii="Arial" w:cs="Arial" w:eastAsia="Arial" w:hAnsi="Arial"/>
                <w:sz w:val="11"/>
                <w:szCs w:val="11"/>
                <w:color w:val="auto"/>
              </w:rPr>
              <w:t>09/03/2027</w:t>
            </w:r>
          </w:p>
        </w:tc>
        <w:tc>
          <w:tcPr>
            <w:tcW w:w="1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596,963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Ox Two, LLC</w:t>
            </w:r>
          </w:p>
        </w:tc>
        <w:tc>
          <w:tcPr>
            <w:tcW w:w="76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rPr>
              <w:t>05/18/2026</w:t>
            </w:r>
          </w:p>
        </w:tc>
        <w:tc>
          <w:tcPr>
            <w:tcW w:w="1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4"/>
              </w:rPr>
              <w:t>Building Materials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15,671,250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15,435,477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15,357,825</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Ox Two, LLC (Revolver)</w:t>
            </w:r>
          </w:p>
        </w:tc>
        <w:tc>
          <w:tcPr>
            <w:tcW w:w="760" w:type="dxa"/>
            <w:vAlign w:val="bottom"/>
            <w:gridSpan w:val="2"/>
          </w:tcPr>
          <w:p>
            <w:pPr>
              <w:ind w:left="180"/>
              <w:spacing w:after="0"/>
              <w:rPr>
                <w:sz w:val="20"/>
                <w:szCs w:val="20"/>
                <w:color w:val="auto"/>
              </w:rPr>
            </w:pPr>
            <w:r>
              <w:rPr>
                <w:rFonts w:ascii="Arial" w:cs="Arial" w:eastAsia="Arial" w:hAnsi="Arial"/>
                <w:sz w:val="11"/>
                <w:szCs w:val="11"/>
                <w:color w:val="auto"/>
              </w:rPr>
              <w:t>05/18/2026</w:t>
            </w:r>
          </w:p>
        </w:tc>
        <w:tc>
          <w:tcPr>
            <w:tcW w:w="1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Building Materials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L+600</w:t>
            </w:r>
          </w:p>
        </w:tc>
        <w:tc>
          <w:tcPr>
            <w:tcW w:w="660" w:type="dxa"/>
            <w:vAlign w:val="bottom"/>
          </w:tcPr>
          <w:p>
            <w:pPr>
              <w:jc w:val="right"/>
              <w:spacing w:after="0"/>
              <w:rPr>
                <w:sz w:val="20"/>
                <w:szCs w:val="20"/>
                <w:color w:val="auto"/>
              </w:rPr>
            </w:pPr>
            <w:r>
              <w:rPr>
                <w:rFonts w:ascii="Arial" w:cs="Arial" w:eastAsia="Arial" w:hAnsi="Arial"/>
                <w:sz w:val="11"/>
                <w:szCs w:val="11"/>
                <w:color w:val="auto"/>
              </w:rPr>
              <w:t>645,161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645,161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632,258</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9"/>
                <w:szCs w:val="9"/>
                <w:color w:val="auto"/>
              </w:rPr>
              <w:t>(7)</w:t>
            </w:r>
          </w:p>
        </w:tc>
        <w:tc>
          <w:tcPr>
            <w:tcW w:w="76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rPr>
              <w:t>05/18/2026</w:t>
            </w:r>
          </w:p>
        </w:tc>
        <w:tc>
          <w:tcPr>
            <w:tcW w:w="1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4"/>
              </w:rPr>
              <w:t>Building Materials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1,774,194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(35,484)</w:t>
            </w:r>
          </w:p>
        </w:tc>
      </w:tr>
      <w:tr>
        <w:trPr>
          <w:trHeight w:val="139"/>
        </w:trPr>
        <w:tc>
          <w:tcPr>
            <w:tcW w:w="3020" w:type="dxa"/>
            <w:vAlign w:val="bottom"/>
          </w:tcPr>
          <w:p>
            <w:pPr>
              <w:spacing w:after="0"/>
              <w:rPr>
                <w:sz w:val="20"/>
                <w:szCs w:val="20"/>
                <w:color w:val="auto"/>
              </w:rPr>
            </w:pPr>
            <w:r>
              <w:rPr>
                <w:rFonts w:ascii="Arial" w:cs="Arial" w:eastAsia="Arial" w:hAnsi="Arial"/>
                <w:sz w:val="11"/>
                <w:szCs w:val="11"/>
                <w:color w:val="auto"/>
              </w:rPr>
              <w:t>PRA Events, Inc.</w:t>
            </w:r>
          </w:p>
        </w:tc>
        <w:tc>
          <w:tcPr>
            <w:tcW w:w="760" w:type="dxa"/>
            <w:vAlign w:val="bottom"/>
            <w:gridSpan w:val="2"/>
          </w:tcPr>
          <w:p>
            <w:pPr>
              <w:ind w:left="180"/>
              <w:spacing w:after="0"/>
              <w:rPr>
                <w:sz w:val="20"/>
                <w:szCs w:val="20"/>
                <w:color w:val="auto"/>
              </w:rPr>
            </w:pPr>
            <w:r>
              <w:rPr>
                <w:rFonts w:ascii="Arial" w:cs="Arial" w:eastAsia="Arial" w:hAnsi="Arial"/>
                <w:sz w:val="11"/>
                <w:szCs w:val="11"/>
                <w:color w:val="auto"/>
              </w:rPr>
              <w:t>08/07/2025</w:t>
            </w:r>
          </w:p>
        </w:tc>
        <w:tc>
          <w:tcPr>
            <w:tcW w:w="120" w:type="dxa"/>
            <w:vAlign w:val="bottom"/>
          </w:tcPr>
          <w:p>
            <w:pPr>
              <w:spacing w:after="0"/>
              <w:rPr>
                <w:sz w:val="12"/>
                <w:szCs w:val="12"/>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11.50%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L+1,050</w:t>
            </w:r>
          </w:p>
        </w:tc>
        <w:tc>
          <w:tcPr>
            <w:tcW w:w="660" w:type="dxa"/>
            <w:vAlign w:val="bottom"/>
          </w:tcPr>
          <w:p>
            <w:pPr>
              <w:jc w:val="right"/>
              <w:spacing w:after="0"/>
              <w:rPr>
                <w:sz w:val="20"/>
                <w:szCs w:val="20"/>
                <w:color w:val="auto"/>
              </w:rPr>
            </w:pPr>
            <w:r>
              <w:rPr>
                <w:rFonts w:ascii="Arial" w:cs="Arial" w:eastAsia="Arial" w:hAnsi="Arial"/>
                <w:sz w:val="11"/>
                <w:szCs w:val="11"/>
                <w:color w:val="auto"/>
              </w:rPr>
              <w:t>23,674,669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20,421,188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22,372,562</w:t>
            </w:r>
          </w:p>
        </w:tc>
        <w:tc>
          <w:tcPr>
            <w:tcW w:w="100" w:type="dxa"/>
            <w:vAlign w:val="bottom"/>
          </w:tcPr>
          <w:p>
            <w:pPr>
              <w:spacing w:after="0"/>
              <w:rPr>
                <w:sz w:val="12"/>
                <w:szCs w:val="12"/>
                <w:color w:val="auto"/>
              </w:rPr>
            </w:pPr>
          </w:p>
        </w:tc>
      </w:tr>
      <w:tr>
        <w:trPr>
          <w:trHeight w:val="131"/>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11.50%)</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PRA Events, Inc. (Revolver)</w:t>
            </w:r>
          </w:p>
        </w:tc>
        <w:tc>
          <w:tcPr>
            <w:tcW w:w="76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rPr>
              <w:t>08/07/2025</w:t>
            </w:r>
          </w:p>
        </w:tc>
        <w:tc>
          <w:tcPr>
            <w:tcW w:w="1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11.50%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L+1,050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2,461,198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2,122,969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2,325,832</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11.50%)</w:t>
            </w: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Quantic Electronics, LLC</w:t>
            </w:r>
          </w:p>
        </w:tc>
        <w:tc>
          <w:tcPr>
            <w:tcW w:w="760" w:type="dxa"/>
            <w:vAlign w:val="bottom"/>
            <w:gridSpan w:val="2"/>
          </w:tcPr>
          <w:p>
            <w:pPr>
              <w:ind w:left="180"/>
              <w:spacing w:after="0"/>
              <w:rPr>
                <w:sz w:val="20"/>
                <w:szCs w:val="20"/>
                <w:color w:val="auto"/>
              </w:rPr>
            </w:pPr>
            <w:r>
              <w:rPr>
                <w:rFonts w:ascii="Arial" w:cs="Arial" w:eastAsia="Arial" w:hAnsi="Arial"/>
                <w:sz w:val="11"/>
                <w:szCs w:val="11"/>
                <w:color w:val="auto"/>
              </w:rPr>
              <w:t>11/19/2026</w:t>
            </w:r>
          </w:p>
        </w:tc>
        <w:tc>
          <w:tcPr>
            <w:tcW w:w="1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tcPr>
          <w:p>
            <w:pPr>
              <w:jc w:val="right"/>
              <w:spacing w:after="0"/>
              <w:rPr>
                <w:sz w:val="20"/>
                <w:szCs w:val="20"/>
                <w:color w:val="auto"/>
              </w:rPr>
            </w:pPr>
            <w:r>
              <w:rPr>
                <w:rFonts w:ascii="Arial" w:cs="Arial" w:eastAsia="Arial" w:hAnsi="Arial"/>
                <w:sz w:val="11"/>
                <w:szCs w:val="11"/>
                <w:color w:val="auto"/>
              </w:rPr>
              <w:t>6,187,790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6,094,679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6,064,035</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Quantic Electronics, LLC </w:t>
            </w:r>
            <w:r>
              <w:rPr>
                <w:rFonts w:ascii="Arial" w:cs="Arial" w:eastAsia="Arial" w:hAnsi="Arial"/>
                <w:sz w:val="9"/>
                <w:szCs w:val="9"/>
                <w:color w:val="auto"/>
              </w:rPr>
              <w:t>(7)</w:t>
            </w:r>
          </w:p>
        </w:tc>
        <w:tc>
          <w:tcPr>
            <w:tcW w:w="76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rPr>
              <w:t>11/19/2026</w:t>
            </w:r>
          </w:p>
        </w:tc>
        <w:tc>
          <w:tcPr>
            <w:tcW w:w="1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2,093,825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(20,938)</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Quantic Electronics, LLC (Revolver) </w:t>
            </w:r>
            <w:r>
              <w:rPr>
                <w:rFonts w:ascii="Arial" w:cs="Arial" w:eastAsia="Arial" w:hAnsi="Arial"/>
                <w:sz w:val="9"/>
                <w:szCs w:val="9"/>
                <w:color w:val="auto"/>
              </w:rPr>
              <w:t>(7)</w:t>
            </w:r>
          </w:p>
        </w:tc>
        <w:tc>
          <w:tcPr>
            <w:tcW w:w="760" w:type="dxa"/>
            <w:vAlign w:val="bottom"/>
            <w:gridSpan w:val="2"/>
          </w:tcPr>
          <w:p>
            <w:pPr>
              <w:ind w:left="180"/>
              <w:spacing w:after="0"/>
              <w:rPr>
                <w:sz w:val="20"/>
                <w:szCs w:val="20"/>
                <w:color w:val="auto"/>
              </w:rPr>
            </w:pPr>
            <w:r>
              <w:rPr>
                <w:rFonts w:ascii="Arial" w:cs="Arial" w:eastAsia="Arial" w:hAnsi="Arial"/>
                <w:sz w:val="11"/>
                <w:szCs w:val="11"/>
                <w:color w:val="auto"/>
              </w:rPr>
              <w:t>11/19/2026</w:t>
            </w:r>
          </w:p>
        </w:tc>
        <w:tc>
          <w:tcPr>
            <w:tcW w:w="1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528,486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(10,570)</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Questex, LLC</w:t>
            </w:r>
          </w:p>
        </w:tc>
        <w:tc>
          <w:tcPr>
            <w:tcW w:w="76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rPr>
              <w:t>09/09/2024</w:t>
            </w:r>
          </w:p>
        </w:tc>
        <w:tc>
          <w:tcPr>
            <w:tcW w:w="1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3"/>
              </w:rPr>
              <w:t>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6.00%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21,825,000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21,583,560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20,515,500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Questex, LLC (Revolver)</w:t>
            </w:r>
          </w:p>
        </w:tc>
        <w:tc>
          <w:tcPr>
            <w:tcW w:w="760" w:type="dxa"/>
            <w:vAlign w:val="bottom"/>
            <w:gridSpan w:val="2"/>
          </w:tcPr>
          <w:p>
            <w:pPr>
              <w:ind w:left="180"/>
              <w:spacing w:after="0"/>
              <w:rPr>
                <w:sz w:val="20"/>
                <w:szCs w:val="20"/>
                <w:color w:val="auto"/>
              </w:rPr>
            </w:pPr>
            <w:r>
              <w:rPr>
                <w:rFonts w:ascii="Arial" w:cs="Arial" w:eastAsia="Arial" w:hAnsi="Arial"/>
                <w:sz w:val="11"/>
                <w:szCs w:val="11"/>
                <w:color w:val="auto"/>
              </w:rPr>
              <w:t>09/09/2024</w:t>
            </w:r>
          </w:p>
        </w:tc>
        <w:tc>
          <w:tcPr>
            <w:tcW w:w="120" w:type="dxa"/>
            <w:vAlign w:val="bottom"/>
          </w:tcPr>
          <w:p>
            <w:pPr>
              <w:spacing w:after="0"/>
              <w:rPr>
                <w:sz w:val="11"/>
                <w:szCs w:val="11"/>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tcPr>
          <w:p>
            <w:pPr>
              <w:jc w:val="right"/>
              <w:spacing w:after="0"/>
              <w:rPr>
                <w:sz w:val="20"/>
                <w:szCs w:val="20"/>
                <w:color w:val="auto"/>
              </w:rPr>
            </w:pPr>
            <w:r>
              <w:rPr>
                <w:rFonts w:ascii="Arial" w:cs="Arial" w:eastAsia="Arial" w:hAnsi="Arial"/>
                <w:sz w:val="11"/>
                <w:szCs w:val="11"/>
                <w:color w:val="auto"/>
              </w:rPr>
              <w:t>2,154,255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2,154,255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2,025,000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9"/>
                <w:szCs w:val="9"/>
                <w:color w:val="auto"/>
              </w:rPr>
              <w:t>(7)</w:t>
            </w:r>
          </w:p>
        </w:tc>
        <w:tc>
          <w:tcPr>
            <w:tcW w:w="76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rPr>
              <w:t>09/09/2024</w:t>
            </w:r>
          </w:p>
        </w:tc>
        <w:tc>
          <w:tcPr>
            <w:tcW w:w="1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3"/>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1,436,170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(86,170)</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Radius Aerospace, Inc. (Revolver) </w:t>
            </w:r>
            <w:r>
              <w:rPr>
                <w:rFonts w:ascii="Arial" w:cs="Arial" w:eastAsia="Arial" w:hAnsi="Arial"/>
                <w:sz w:val="9"/>
                <w:szCs w:val="9"/>
                <w:color w:val="auto"/>
              </w:rPr>
              <w:t>(7)</w:t>
            </w:r>
          </w:p>
        </w:tc>
        <w:tc>
          <w:tcPr>
            <w:tcW w:w="760" w:type="dxa"/>
            <w:vAlign w:val="bottom"/>
            <w:gridSpan w:val="2"/>
          </w:tcPr>
          <w:p>
            <w:pPr>
              <w:ind w:left="180"/>
              <w:spacing w:after="0"/>
              <w:rPr>
                <w:sz w:val="20"/>
                <w:szCs w:val="20"/>
                <w:color w:val="auto"/>
              </w:rPr>
            </w:pPr>
            <w:r>
              <w:rPr>
                <w:rFonts w:ascii="Arial" w:cs="Arial" w:eastAsia="Arial" w:hAnsi="Arial"/>
                <w:sz w:val="11"/>
                <w:szCs w:val="11"/>
                <w:color w:val="auto"/>
              </w:rPr>
              <w:t>03/31/2025</w:t>
            </w:r>
          </w:p>
        </w:tc>
        <w:tc>
          <w:tcPr>
            <w:tcW w:w="1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2,227,142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(62,805)</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Rancho Health MSO, Inc. </w:t>
            </w:r>
            <w:r>
              <w:rPr>
                <w:rFonts w:ascii="Arial" w:cs="Arial" w:eastAsia="Arial" w:hAnsi="Arial"/>
                <w:sz w:val="9"/>
                <w:szCs w:val="9"/>
                <w:color w:val="auto"/>
              </w:rPr>
              <w:t>(7)</w:t>
            </w:r>
          </w:p>
        </w:tc>
        <w:tc>
          <w:tcPr>
            <w:tcW w:w="76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rPr>
              <w:t>12/18/2025</w:t>
            </w:r>
          </w:p>
        </w:tc>
        <w:tc>
          <w:tcPr>
            <w:tcW w:w="1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Rancho Health MSO, Inc. (Revolver) </w:t>
            </w:r>
            <w:r>
              <w:rPr>
                <w:rFonts w:ascii="Arial" w:cs="Arial" w:eastAsia="Arial" w:hAnsi="Arial"/>
                <w:sz w:val="9"/>
                <w:szCs w:val="9"/>
                <w:color w:val="auto"/>
              </w:rPr>
              <w:t>(7)</w:t>
            </w:r>
          </w:p>
        </w:tc>
        <w:tc>
          <w:tcPr>
            <w:tcW w:w="760" w:type="dxa"/>
            <w:vAlign w:val="bottom"/>
            <w:gridSpan w:val="2"/>
          </w:tcPr>
          <w:p>
            <w:pPr>
              <w:ind w:left="180"/>
              <w:spacing w:after="0"/>
              <w:rPr>
                <w:sz w:val="20"/>
                <w:szCs w:val="20"/>
                <w:color w:val="auto"/>
              </w:rPr>
            </w:pPr>
            <w:r>
              <w:rPr>
                <w:rFonts w:ascii="Arial" w:cs="Arial" w:eastAsia="Arial" w:hAnsi="Arial"/>
                <w:sz w:val="11"/>
                <w:szCs w:val="11"/>
                <w:color w:val="auto"/>
              </w:rPr>
              <w:t>12/18/2025</w:t>
            </w:r>
          </w:p>
        </w:tc>
        <w:tc>
          <w:tcPr>
            <w:tcW w:w="1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525,000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Recteq, LLC (Revolver) </w:t>
            </w:r>
            <w:r>
              <w:rPr>
                <w:rFonts w:ascii="Arial" w:cs="Arial" w:eastAsia="Arial" w:hAnsi="Arial"/>
                <w:sz w:val="9"/>
                <w:szCs w:val="9"/>
                <w:color w:val="auto"/>
              </w:rPr>
              <w:t>(7)</w:t>
            </w:r>
          </w:p>
        </w:tc>
        <w:tc>
          <w:tcPr>
            <w:tcW w:w="76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rPr>
              <w:t>01/29/2026</w:t>
            </w:r>
          </w:p>
        </w:tc>
        <w:tc>
          <w:tcPr>
            <w:tcW w:w="1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Consumer Products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1,126,761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(11,268)</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Research Horizons, LLC</w:t>
            </w:r>
          </w:p>
        </w:tc>
        <w:tc>
          <w:tcPr>
            <w:tcW w:w="760" w:type="dxa"/>
            <w:vAlign w:val="bottom"/>
            <w:gridSpan w:val="2"/>
          </w:tcPr>
          <w:p>
            <w:pPr>
              <w:ind w:left="180"/>
              <w:spacing w:after="0"/>
              <w:rPr>
                <w:sz w:val="20"/>
                <w:szCs w:val="20"/>
                <w:color w:val="auto"/>
              </w:rPr>
            </w:pPr>
            <w:r>
              <w:rPr>
                <w:rFonts w:ascii="Arial" w:cs="Arial" w:eastAsia="Arial" w:hAnsi="Arial"/>
                <w:sz w:val="11"/>
                <w:szCs w:val="11"/>
                <w:color w:val="auto"/>
              </w:rPr>
              <w:t>06/28/2022</w:t>
            </w:r>
          </w:p>
        </w:tc>
        <w:tc>
          <w:tcPr>
            <w:tcW w:w="120" w:type="dxa"/>
            <w:vAlign w:val="bottom"/>
          </w:tcPr>
          <w:p>
            <w:pPr>
              <w:spacing w:after="0"/>
              <w:rPr>
                <w:sz w:val="11"/>
                <w:szCs w:val="11"/>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tcPr>
          <w:p>
            <w:pPr>
              <w:jc w:val="right"/>
              <w:spacing w:after="0"/>
              <w:rPr>
                <w:sz w:val="20"/>
                <w:szCs w:val="20"/>
                <w:color w:val="auto"/>
              </w:rPr>
            </w:pPr>
            <w:r>
              <w:rPr>
                <w:rFonts w:ascii="Arial" w:cs="Arial" w:eastAsia="Arial" w:hAnsi="Arial"/>
                <w:sz w:val="11"/>
                <w:szCs w:val="11"/>
                <w:color w:val="auto"/>
              </w:rPr>
              <w:t>28,796,453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28,682,356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28,508,488</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Research Now Group, Inc. and Dynata, LLC</w:t>
            </w:r>
          </w:p>
        </w:tc>
        <w:tc>
          <w:tcPr>
            <w:tcW w:w="76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rPr>
              <w:t>12/20/2024</w:t>
            </w:r>
          </w:p>
        </w:tc>
        <w:tc>
          <w:tcPr>
            <w:tcW w:w="1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2,883,769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2,883,769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2,847,117</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9"/>
                <w:szCs w:val="9"/>
                <w:color w:val="auto"/>
              </w:rPr>
              <w:t>(7)</w:t>
            </w:r>
          </w:p>
        </w:tc>
        <w:tc>
          <w:tcPr>
            <w:tcW w:w="760" w:type="dxa"/>
            <w:vAlign w:val="bottom"/>
            <w:gridSpan w:val="2"/>
          </w:tcPr>
          <w:p>
            <w:pPr>
              <w:ind w:left="180"/>
              <w:spacing w:after="0"/>
              <w:rPr>
                <w:sz w:val="20"/>
                <w:szCs w:val="20"/>
                <w:color w:val="auto"/>
              </w:rPr>
            </w:pPr>
            <w:r>
              <w:rPr>
                <w:rFonts w:ascii="Arial" w:cs="Arial" w:eastAsia="Arial" w:hAnsi="Arial"/>
                <w:sz w:val="11"/>
                <w:szCs w:val="11"/>
                <w:color w:val="auto"/>
              </w:rPr>
              <w:t>06/20/2025</w:t>
            </w:r>
          </w:p>
        </w:tc>
        <w:tc>
          <w:tcPr>
            <w:tcW w:w="1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363,636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(4,473)</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Riverside Assessments, LLC</w:t>
            </w:r>
          </w:p>
        </w:tc>
        <w:tc>
          <w:tcPr>
            <w:tcW w:w="76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rPr>
              <w:t>03/10/2025</w:t>
            </w:r>
          </w:p>
        </w:tc>
        <w:tc>
          <w:tcPr>
            <w:tcW w:w="1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16,173,514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15,951,570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15,769,176</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Sales Benchmark Index LLC (Revolver) </w:t>
            </w:r>
            <w:r>
              <w:rPr>
                <w:rFonts w:ascii="Arial" w:cs="Arial" w:eastAsia="Arial" w:hAnsi="Arial"/>
                <w:sz w:val="9"/>
                <w:szCs w:val="9"/>
                <w:color w:val="auto"/>
              </w:rPr>
              <w:t>(7)</w:t>
            </w:r>
          </w:p>
        </w:tc>
        <w:tc>
          <w:tcPr>
            <w:tcW w:w="760" w:type="dxa"/>
            <w:vAlign w:val="bottom"/>
            <w:gridSpan w:val="2"/>
          </w:tcPr>
          <w:p>
            <w:pPr>
              <w:ind w:left="180"/>
              <w:spacing w:after="0"/>
              <w:rPr>
                <w:sz w:val="20"/>
                <w:szCs w:val="20"/>
                <w:color w:val="auto"/>
              </w:rPr>
            </w:pPr>
            <w:r>
              <w:rPr>
                <w:rFonts w:ascii="Arial" w:cs="Arial" w:eastAsia="Arial" w:hAnsi="Arial"/>
                <w:sz w:val="11"/>
                <w:szCs w:val="11"/>
                <w:color w:val="auto"/>
              </w:rPr>
              <w:t>01/03/2025</w:t>
            </w:r>
          </w:p>
        </w:tc>
        <w:tc>
          <w:tcPr>
            <w:tcW w:w="1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731,707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(18,293)</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Sargent &amp; Greenleaf Inc. (Revolver)</w:t>
            </w:r>
          </w:p>
        </w:tc>
        <w:tc>
          <w:tcPr>
            <w:tcW w:w="76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rPr>
              <w:t>12/20/2024</w:t>
            </w:r>
          </w:p>
        </w:tc>
        <w:tc>
          <w:tcPr>
            <w:tcW w:w="1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298,972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298,972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298,972</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Sargent &amp; Greenleaf Inc. (Revolver) </w:t>
            </w:r>
            <w:r>
              <w:rPr>
                <w:rFonts w:ascii="Arial" w:cs="Arial" w:eastAsia="Arial" w:hAnsi="Arial"/>
                <w:sz w:val="9"/>
                <w:szCs w:val="9"/>
                <w:color w:val="auto"/>
              </w:rPr>
              <w:t>(7)</w:t>
            </w:r>
          </w:p>
        </w:tc>
        <w:tc>
          <w:tcPr>
            <w:tcW w:w="760" w:type="dxa"/>
            <w:vAlign w:val="bottom"/>
            <w:gridSpan w:val="2"/>
          </w:tcPr>
          <w:p>
            <w:pPr>
              <w:ind w:left="180"/>
              <w:spacing w:after="0"/>
              <w:rPr>
                <w:sz w:val="20"/>
                <w:szCs w:val="20"/>
                <w:color w:val="auto"/>
              </w:rPr>
            </w:pPr>
            <w:r>
              <w:rPr>
                <w:rFonts w:ascii="Arial" w:cs="Arial" w:eastAsia="Arial" w:hAnsi="Arial"/>
                <w:sz w:val="11"/>
                <w:szCs w:val="11"/>
                <w:color w:val="auto"/>
              </w:rPr>
              <w:t>12/20/2024</w:t>
            </w:r>
          </w:p>
        </w:tc>
        <w:tc>
          <w:tcPr>
            <w:tcW w:w="120" w:type="dxa"/>
            <w:vAlign w:val="bottom"/>
          </w:tcPr>
          <w:p>
            <w:pPr>
              <w:spacing w:after="0"/>
              <w:rPr>
                <w:sz w:val="11"/>
                <w:szCs w:val="11"/>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298,972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Schlesinger Global, Inc.</w:t>
            </w:r>
          </w:p>
        </w:tc>
        <w:tc>
          <w:tcPr>
            <w:tcW w:w="76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rPr>
              <w:t>07/14/2025</w:t>
            </w:r>
          </w:p>
        </w:tc>
        <w:tc>
          <w:tcPr>
            <w:tcW w:w="1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L+700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512,170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507,440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489,123</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1.00%)</w:t>
            </w: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9"/>
        </w:trPr>
        <w:tc>
          <w:tcPr>
            <w:tcW w:w="3020" w:type="dxa"/>
            <w:vAlign w:val="bottom"/>
          </w:tcPr>
          <w:p>
            <w:pPr>
              <w:spacing w:after="0"/>
              <w:rPr>
                <w:sz w:val="20"/>
                <w:szCs w:val="20"/>
                <w:color w:val="auto"/>
              </w:rPr>
            </w:pPr>
            <w:r>
              <w:rPr>
                <w:rFonts w:ascii="Arial" w:cs="Arial" w:eastAsia="Arial" w:hAnsi="Arial"/>
                <w:sz w:val="11"/>
                <w:szCs w:val="11"/>
                <w:color w:val="auto"/>
              </w:rPr>
              <w:t>Schlesinger Global, Inc. (Revolver)</w:t>
            </w:r>
          </w:p>
        </w:tc>
        <w:tc>
          <w:tcPr>
            <w:tcW w:w="760" w:type="dxa"/>
            <w:vAlign w:val="bottom"/>
            <w:gridSpan w:val="2"/>
          </w:tcPr>
          <w:p>
            <w:pPr>
              <w:ind w:left="180"/>
              <w:spacing w:after="0"/>
              <w:rPr>
                <w:sz w:val="20"/>
                <w:szCs w:val="20"/>
                <w:color w:val="auto"/>
              </w:rPr>
            </w:pPr>
            <w:r>
              <w:rPr>
                <w:rFonts w:ascii="Arial" w:cs="Arial" w:eastAsia="Arial" w:hAnsi="Arial"/>
                <w:sz w:val="11"/>
                <w:szCs w:val="11"/>
                <w:color w:val="auto"/>
              </w:rPr>
              <w:t>07/14/2025</w:t>
            </w:r>
          </w:p>
        </w:tc>
        <w:tc>
          <w:tcPr>
            <w:tcW w:w="120" w:type="dxa"/>
            <w:vAlign w:val="bottom"/>
          </w:tcPr>
          <w:p>
            <w:pPr>
              <w:spacing w:after="0"/>
              <w:rPr>
                <w:sz w:val="12"/>
                <w:szCs w:val="12"/>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L+700</w:t>
            </w:r>
          </w:p>
        </w:tc>
        <w:tc>
          <w:tcPr>
            <w:tcW w:w="660" w:type="dxa"/>
            <w:vAlign w:val="bottom"/>
          </w:tcPr>
          <w:p>
            <w:pPr>
              <w:jc w:val="right"/>
              <w:spacing w:after="0"/>
              <w:rPr>
                <w:sz w:val="20"/>
                <w:szCs w:val="20"/>
                <w:color w:val="auto"/>
              </w:rPr>
            </w:pPr>
            <w:r>
              <w:rPr>
                <w:rFonts w:ascii="Arial" w:cs="Arial" w:eastAsia="Arial" w:hAnsi="Arial"/>
                <w:sz w:val="11"/>
                <w:szCs w:val="11"/>
                <w:color w:val="auto"/>
              </w:rPr>
              <w:t>24,235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24,235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23,144</w:t>
            </w:r>
          </w:p>
        </w:tc>
        <w:tc>
          <w:tcPr>
            <w:tcW w:w="100" w:type="dxa"/>
            <w:vAlign w:val="bottom"/>
          </w:tcPr>
          <w:p>
            <w:pPr>
              <w:spacing w:after="0"/>
              <w:rPr>
                <w:sz w:val="12"/>
                <w:szCs w:val="12"/>
                <w:color w:val="auto"/>
              </w:rPr>
            </w:pPr>
          </w:p>
        </w:tc>
      </w:tr>
      <w:tr>
        <w:trPr>
          <w:trHeight w:val="131"/>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1.00%)</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Schlesinger Global, Inc. (Revolver)</w:t>
            </w:r>
            <w:r>
              <w:rPr>
                <w:rFonts w:ascii="Arial" w:cs="Arial" w:eastAsia="Arial" w:hAnsi="Arial"/>
                <w:sz w:val="9"/>
                <w:szCs w:val="9"/>
                <w:color w:val="auto"/>
              </w:rPr>
              <w:t>(7)</w:t>
            </w:r>
          </w:p>
        </w:tc>
        <w:tc>
          <w:tcPr>
            <w:tcW w:w="76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rPr>
              <w:t>07/14/2025</w:t>
            </w:r>
          </w:p>
        </w:tc>
        <w:tc>
          <w:tcPr>
            <w:tcW w:w="1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14,089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(634)</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Sigma Defense Systems, LLC</w:t>
            </w:r>
          </w:p>
        </w:tc>
        <w:tc>
          <w:tcPr>
            <w:tcW w:w="760" w:type="dxa"/>
            <w:vAlign w:val="bottom"/>
            <w:gridSpan w:val="2"/>
          </w:tcPr>
          <w:p>
            <w:pPr>
              <w:ind w:left="180"/>
              <w:spacing w:after="0"/>
              <w:rPr>
                <w:sz w:val="20"/>
                <w:szCs w:val="20"/>
                <w:color w:val="auto"/>
              </w:rPr>
            </w:pPr>
            <w:r>
              <w:rPr>
                <w:rFonts w:ascii="Arial" w:cs="Arial" w:eastAsia="Arial" w:hAnsi="Arial"/>
                <w:sz w:val="11"/>
                <w:szCs w:val="11"/>
                <w:color w:val="auto"/>
              </w:rPr>
              <w:t>12/18/2025</w:t>
            </w:r>
          </w:p>
        </w:tc>
        <w:tc>
          <w:tcPr>
            <w:tcW w:w="1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9.75%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L+875</w:t>
            </w:r>
          </w:p>
        </w:tc>
        <w:tc>
          <w:tcPr>
            <w:tcW w:w="660" w:type="dxa"/>
            <w:vAlign w:val="bottom"/>
          </w:tcPr>
          <w:p>
            <w:pPr>
              <w:jc w:val="right"/>
              <w:spacing w:after="0"/>
              <w:rPr>
                <w:sz w:val="20"/>
                <w:szCs w:val="20"/>
                <w:color w:val="auto"/>
              </w:rPr>
            </w:pPr>
            <w:r>
              <w:rPr>
                <w:rFonts w:ascii="Arial" w:cs="Arial" w:eastAsia="Arial" w:hAnsi="Arial"/>
                <w:sz w:val="11"/>
                <w:szCs w:val="11"/>
                <w:color w:val="auto"/>
              </w:rPr>
              <w:t>6,519,875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6,378,184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6,405,777</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Sigma Defense Systems, LLC (Revolver) </w:t>
            </w:r>
            <w:r>
              <w:rPr>
                <w:rFonts w:ascii="Arial" w:cs="Arial" w:eastAsia="Arial" w:hAnsi="Arial"/>
                <w:sz w:val="9"/>
                <w:szCs w:val="9"/>
                <w:color w:val="auto"/>
              </w:rPr>
              <w:t>(7)</w:t>
            </w:r>
          </w:p>
        </w:tc>
        <w:tc>
          <w:tcPr>
            <w:tcW w:w="76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rPr>
              <w:t>12/18/2025</w:t>
            </w:r>
          </w:p>
        </w:tc>
        <w:tc>
          <w:tcPr>
            <w:tcW w:w="1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950,869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(16,640)</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Signature Systems Holding Company - Term Loan II</w:t>
            </w:r>
          </w:p>
        </w:tc>
        <w:tc>
          <w:tcPr>
            <w:tcW w:w="760" w:type="dxa"/>
            <w:vAlign w:val="bottom"/>
            <w:gridSpan w:val="2"/>
          </w:tcPr>
          <w:p>
            <w:pPr>
              <w:ind w:left="180"/>
              <w:spacing w:after="0"/>
              <w:rPr>
                <w:sz w:val="20"/>
                <w:szCs w:val="20"/>
                <w:color w:val="auto"/>
              </w:rPr>
            </w:pPr>
            <w:r>
              <w:rPr>
                <w:rFonts w:ascii="Arial" w:cs="Arial" w:eastAsia="Arial" w:hAnsi="Arial"/>
                <w:sz w:val="11"/>
                <w:szCs w:val="11"/>
                <w:color w:val="auto"/>
              </w:rPr>
              <w:t>12/31/2021</w:t>
            </w:r>
          </w:p>
        </w:tc>
        <w:tc>
          <w:tcPr>
            <w:tcW w:w="120" w:type="dxa"/>
            <w:vAlign w:val="bottom"/>
          </w:tcPr>
          <w:p>
            <w:pPr>
              <w:spacing w:after="0"/>
              <w:rPr>
                <w:sz w:val="11"/>
                <w:szCs w:val="11"/>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8.50%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L+750</w:t>
            </w:r>
          </w:p>
        </w:tc>
        <w:tc>
          <w:tcPr>
            <w:tcW w:w="660" w:type="dxa"/>
            <w:vAlign w:val="bottom"/>
          </w:tcPr>
          <w:p>
            <w:pPr>
              <w:jc w:val="right"/>
              <w:spacing w:after="0"/>
              <w:rPr>
                <w:sz w:val="20"/>
                <w:szCs w:val="20"/>
                <w:color w:val="auto"/>
              </w:rPr>
            </w:pPr>
            <w:r>
              <w:rPr>
                <w:rFonts w:ascii="Arial" w:cs="Arial" w:eastAsia="Arial" w:hAnsi="Arial"/>
                <w:sz w:val="11"/>
                <w:szCs w:val="11"/>
                <w:color w:val="auto"/>
              </w:rPr>
              <w:t>806,452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802,420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798,387</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Signature Systems Holding Company (Revolver)</w:t>
            </w:r>
          </w:p>
        </w:tc>
        <w:tc>
          <w:tcPr>
            <w:tcW w:w="76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rPr>
              <w:t>05/03/2024</w:t>
            </w:r>
          </w:p>
        </w:tc>
        <w:tc>
          <w:tcPr>
            <w:tcW w:w="1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8.50%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L+750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483,871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483,871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479,032</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9"/>
                <w:szCs w:val="9"/>
                <w:color w:val="auto"/>
              </w:rPr>
              <w:t>(7)</w:t>
            </w:r>
          </w:p>
        </w:tc>
        <w:tc>
          <w:tcPr>
            <w:tcW w:w="760" w:type="dxa"/>
            <w:vAlign w:val="bottom"/>
            <w:gridSpan w:val="2"/>
          </w:tcPr>
          <w:p>
            <w:pPr>
              <w:ind w:left="180"/>
              <w:spacing w:after="0"/>
              <w:rPr>
                <w:sz w:val="20"/>
                <w:szCs w:val="20"/>
                <w:color w:val="auto"/>
              </w:rPr>
            </w:pPr>
            <w:r>
              <w:rPr>
                <w:rFonts w:ascii="Arial" w:cs="Arial" w:eastAsia="Arial" w:hAnsi="Arial"/>
                <w:sz w:val="11"/>
                <w:szCs w:val="11"/>
                <w:color w:val="auto"/>
              </w:rPr>
              <w:t>05/03/2024</w:t>
            </w:r>
          </w:p>
        </w:tc>
        <w:tc>
          <w:tcPr>
            <w:tcW w:w="120" w:type="dxa"/>
            <w:vAlign w:val="bottom"/>
          </w:tcPr>
          <w:p>
            <w:pPr>
              <w:spacing w:after="0"/>
              <w:rPr>
                <w:sz w:val="11"/>
                <w:szCs w:val="11"/>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1,532,258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(15,323)</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Solutionreach, Inc. (Revolver) </w:t>
            </w:r>
            <w:r>
              <w:rPr>
                <w:rFonts w:ascii="Arial" w:cs="Arial" w:eastAsia="Arial" w:hAnsi="Arial"/>
                <w:sz w:val="9"/>
                <w:szCs w:val="9"/>
                <w:color w:val="auto"/>
              </w:rPr>
              <w:t>(7)</w:t>
            </w:r>
          </w:p>
        </w:tc>
        <w:tc>
          <w:tcPr>
            <w:tcW w:w="76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rPr>
              <w:t>01/17/2024</w:t>
            </w:r>
          </w:p>
        </w:tc>
        <w:tc>
          <w:tcPr>
            <w:tcW w:w="1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Communications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1,665,000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Spear Education, LLC</w:t>
            </w:r>
          </w:p>
        </w:tc>
        <w:tc>
          <w:tcPr>
            <w:tcW w:w="760" w:type="dxa"/>
            <w:vAlign w:val="bottom"/>
            <w:gridSpan w:val="2"/>
          </w:tcPr>
          <w:p>
            <w:pPr>
              <w:ind w:left="180"/>
              <w:spacing w:after="0"/>
              <w:rPr>
                <w:sz w:val="20"/>
                <w:szCs w:val="20"/>
                <w:color w:val="auto"/>
              </w:rPr>
            </w:pPr>
            <w:r>
              <w:rPr>
                <w:rFonts w:ascii="Arial" w:cs="Arial" w:eastAsia="Arial" w:hAnsi="Arial"/>
                <w:sz w:val="11"/>
                <w:szCs w:val="11"/>
                <w:color w:val="auto"/>
              </w:rPr>
              <w:t>02/26/2025</w:t>
            </w:r>
          </w:p>
        </w:tc>
        <w:tc>
          <w:tcPr>
            <w:tcW w:w="120" w:type="dxa"/>
            <w:vAlign w:val="bottom"/>
          </w:tcPr>
          <w:p>
            <w:pPr>
              <w:spacing w:after="0"/>
              <w:rPr>
                <w:sz w:val="11"/>
                <w:szCs w:val="11"/>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tcPr>
          <w:p>
            <w:pPr>
              <w:jc w:val="right"/>
              <w:spacing w:after="0"/>
              <w:rPr>
                <w:sz w:val="20"/>
                <w:szCs w:val="20"/>
                <w:color w:val="auto"/>
              </w:rPr>
            </w:pPr>
            <w:r>
              <w:rPr>
                <w:rFonts w:ascii="Arial" w:cs="Arial" w:eastAsia="Arial" w:hAnsi="Arial"/>
                <w:sz w:val="11"/>
                <w:szCs w:val="11"/>
                <w:color w:val="auto"/>
              </w:rPr>
              <w:t>14,898,125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14,780,767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14,898,125</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Spear Education, LLC </w:t>
            </w:r>
            <w:r>
              <w:rPr>
                <w:rFonts w:ascii="Arial" w:cs="Arial" w:eastAsia="Arial" w:hAnsi="Arial"/>
                <w:sz w:val="9"/>
                <w:szCs w:val="9"/>
                <w:color w:val="auto"/>
              </w:rPr>
              <w:t>(7)</w:t>
            </w:r>
          </w:p>
        </w:tc>
        <w:tc>
          <w:tcPr>
            <w:tcW w:w="76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rPr>
              <w:t>02/26/2022</w:t>
            </w:r>
          </w:p>
        </w:tc>
        <w:tc>
          <w:tcPr>
            <w:tcW w:w="1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6,875,000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Spectacle Gary Holdings, LLC</w:t>
            </w:r>
          </w:p>
        </w:tc>
        <w:tc>
          <w:tcPr>
            <w:tcW w:w="760" w:type="dxa"/>
            <w:vAlign w:val="bottom"/>
            <w:gridSpan w:val="2"/>
          </w:tcPr>
          <w:p>
            <w:pPr>
              <w:ind w:left="180"/>
              <w:spacing w:after="0"/>
              <w:rPr>
                <w:sz w:val="20"/>
                <w:szCs w:val="20"/>
                <w:color w:val="auto"/>
              </w:rPr>
            </w:pPr>
            <w:r>
              <w:rPr>
                <w:rFonts w:ascii="Arial" w:cs="Arial" w:eastAsia="Arial" w:hAnsi="Arial"/>
                <w:sz w:val="11"/>
                <w:szCs w:val="11"/>
                <w:color w:val="auto"/>
              </w:rPr>
              <w:t>12/23/2025</w:t>
            </w:r>
          </w:p>
        </w:tc>
        <w:tc>
          <w:tcPr>
            <w:tcW w:w="120" w:type="dxa"/>
            <w:vAlign w:val="bottom"/>
          </w:tcPr>
          <w:p>
            <w:pPr>
              <w:spacing w:after="0"/>
              <w:rPr>
                <w:sz w:val="11"/>
                <w:szCs w:val="11"/>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Hotels, Motels, Inns and Gaming</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11.00%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L+900</w:t>
            </w:r>
          </w:p>
        </w:tc>
        <w:tc>
          <w:tcPr>
            <w:tcW w:w="660" w:type="dxa"/>
            <w:vAlign w:val="bottom"/>
          </w:tcPr>
          <w:p>
            <w:pPr>
              <w:jc w:val="right"/>
              <w:spacing w:after="0"/>
              <w:rPr>
                <w:sz w:val="20"/>
                <w:szCs w:val="20"/>
                <w:color w:val="auto"/>
              </w:rPr>
            </w:pPr>
            <w:r>
              <w:rPr>
                <w:rFonts w:ascii="Arial" w:cs="Arial" w:eastAsia="Arial" w:hAnsi="Arial"/>
                <w:sz w:val="11"/>
                <w:szCs w:val="11"/>
                <w:color w:val="auto"/>
              </w:rPr>
              <w:t>21,546,000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20,971,842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23,390,984</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TAC LifePort Purchaser, LLC (Revolver) </w:t>
            </w:r>
            <w:r>
              <w:rPr>
                <w:rFonts w:ascii="Arial" w:cs="Arial" w:eastAsia="Arial" w:hAnsi="Arial"/>
                <w:sz w:val="9"/>
                <w:szCs w:val="9"/>
                <w:color w:val="auto"/>
              </w:rPr>
              <w:t>(7)</w:t>
            </w:r>
          </w:p>
        </w:tc>
        <w:tc>
          <w:tcPr>
            <w:tcW w:w="76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rPr>
              <w:t>03/01/2026</w:t>
            </w:r>
          </w:p>
        </w:tc>
        <w:tc>
          <w:tcPr>
            <w:tcW w:w="1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620,155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(200)</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The Bluebird Group LLC</w:t>
            </w:r>
          </w:p>
        </w:tc>
        <w:tc>
          <w:tcPr>
            <w:tcW w:w="760" w:type="dxa"/>
            <w:vAlign w:val="bottom"/>
            <w:gridSpan w:val="2"/>
          </w:tcPr>
          <w:p>
            <w:pPr>
              <w:ind w:left="180"/>
              <w:spacing w:after="0"/>
              <w:rPr>
                <w:sz w:val="20"/>
                <w:szCs w:val="20"/>
                <w:color w:val="auto"/>
              </w:rPr>
            </w:pPr>
            <w:r>
              <w:rPr>
                <w:rFonts w:ascii="Arial" w:cs="Arial" w:eastAsia="Arial" w:hAnsi="Arial"/>
                <w:sz w:val="11"/>
                <w:szCs w:val="11"/>
                <w:color w:val="auto"/>
              </w:rPr>
              <w:t>07/27/2026</w:t>
            </w:r>
          </w:p>
        </w:tc>
        <w:tc>
          <w:tcPr>
            <w:tcW w:w="1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L+700</w:t>
            </w:r>
          </w:p>
        </w:tc>
        <w:tc>
          <w:tcPr>
            <w:tcW w:w="660" w:type="dxa"/>
            <w:vAlign w:val="bottom"/>
          </w:tcPr>
          <w:p>
            <w:pPr>
              <w:jc w:val="right"/>
              <w:spacing w:after="0"/>
              <w:rPr>
                <w:sz w:val="20"/>
                <w:szCs w:val="20"/>
                <w:color w:val="auto"/>
              </w:rPr>
            </w:pPr>
            <w:r>
              <w:rPr>
                <w:rFonts w:ascii="Arial" w:cs="Arial" w:eastAsia="Arial" w:hAnsi="Arial"/>
                <w:sz w:val="11"/>
                <w:szCs w:val="11"/>
                <w:color w:val="auto"/>
              </w:rPr>
              <w:t>5,605,539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5,495,767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5,570,223</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The Bluebird Group LLC (Revolver) </w:t>
            </w:r>
            <w:r>
              <w:rPr>
                <w:rFonts w:ascii="Arial" w:cs="Arial" w:eastAsia="Arial" w:hAnsi="Arial"/>
                <w:sz w:val="9"/>
                <w:szCs w:val="9"/>
                <w:color w:val="auto"/>
              </w:rPr>
              <w:t>(7)</w:t>
            </w:r>
          </w:p>
        </w:tc>
        <w:tc>
          <w:tcPr>
            <w:tcW w:w="76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rPr>
              <w:t>07/27/2026</w:t>
            </w:r>
          </w:p>
        </w:tc>
        <w:tc>
          <w:tcPr>
            <w:tcW w:w="1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733,737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(4,623)</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The Vertex Companies, LLC</w:t>
            </w:r>
          </w:p>
        </w:tc>
        <w:tc>
          <w:tcPr>
            <w:tcW w:w="760" w:type="dxa"/>
            <w:vAlign w:val="bottom"/>
            <w:gridSpan w:val="2"/>
          </w:tcPr>
          <w:p>
            <w:pPr>
              <w:ind w:left="180"/>
              <w:spacing w:after="0"/>
              <w:rPr>
                <w:sz w:val="20"/>
                <w:szCs w:val="20"/>
                <w:color w:val="auto"/>
              </w:rPr>
            </w:pPr>
            <w:r>
              <w:rPr>
                <w:rFonts w:ascii="Arial" w:cs="Arial" w:eastAsia="Arial" w:hAnsi="Arial"/>
                <w:sz w:val="11"/>
                <w:szCs w:val="11"/>
                <w:color w:val="auto"/>
              </w:rPr>
              <w:t>08/30/2027</w:t>
            </w:r>
          </w:p>
        </w:tc>
        <w:tc>
          <w:tcPr>
            <w:tcW w:w="1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tcPr>
          <w:p>
            <w:pPr>
              <w:jc w:val="right"/>
              <w:spacing w:after="0"/>
              <w:rPr>
                <w:sz w:val="20"/>
                <w:szCs w:val="20"/>
                <w:color w:val="auto"/>
              </w:rPr>
            </w:pPr>
            <w:r>
              <w:rPr>
                <w:rFonts w:ascii="Arial" w:cs="Arial" w:eastAsia="Arial" w:hAnsi="Arial"/>
                <w:sz w:val="11"/>
                <w:szCs w:val="11"/>
                <w:color w:val="auto"/>
              </w:rPr>
              <w:t>4,577,116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4,486,280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4,491,420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The Vertex Companies, LLC </w:t>
            </w:r>
            <w:r>
              <w:rPr>
                <w:rFonts w:ascii="Arial" w:cs="Arial" w:eastAsia="Arial" w:hAnsi="Arial"/>
                <w:sz w:val="9"/>
                <w:szCs w:val="9"/>
                <w:color w:val="auto"/>
              </w:rPr>
              <w:t>(7)</w:t>
            </w:r>
          </w:p>
        </w:tc>
        <w:tc>
          <w:tcPr>
            <w:tcW w:w="76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rPr>
              <w:t>08/30/2027</w:t>
            </w:r>
          </w:p>
        </w:tc>
        <w:tc>
          <w:tcPr>
            <w:tcW w:w="1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2,220,985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(19,373)</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The Vertex Companies, LLC (Revolver) </w:t>
            </w:r>
            <w:r>
              <w:rPr>
                <w:rFonts w:ascii="Arial" w:cs="Arial" w:eastAsia="Arial" w:hAnsi="Arial"/>
                <w:sz w:val="9"/>
                <w:szCs w:val="9"/>
                <w:color w:val="auto"/>
              </w:rPr>
              <w:t>(7)</w:t>
            </w:r>
          </w:p>
        </w:tc>
        <w:tc>
          <w:tcPr>
            <w:tcW w:w="760" w:type="dxa"/>
            <w:vAlign w:val="bottom"/>
            <w:gridSpan w:val="2"/>
          </w:tcPr>
          <w:p>
            <w:pPr>
              <w:ind w:left="180"/>
              <w:spacing w:after="0"/>
              <w:rPr>
                <w:sz w:val="20"/>
                <w:szCs w:val="20"/>
                <w:color w:val="auto"/>
              </w:rPr>
            </w:pPr>
            <w:r>
              <w:rPr>
                <w:rFonts w:ascii="Arial" w:cs="Arial" w:eastAsia="Arial" w:hAnsi="Arial"/>
                <w:sz w:val="11"/>
                <w:szCs w:val="11"/>
                <w:color w:val="auto"/>
              </w:rPr>
              <w:t>08/30/2027</w:t>
            </w:r>
          </w:p>
        </w:tc>
        <w:tc>
          <w:tcPr>
            <w:tcW w:w="1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740,328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(13,861)</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TPC Canada Parent, Inc. and TPC US Parent, LLC </w:t>
            </w:r>
            <w:r>
              <w:rPr>
                <w:rFonts w:ascii="Arial" w:cs="Arial" w:eastAsia="Arial" w:hAnsi="Arial"/>
                <w:sz w:val="9"/>
                <w:szCs w:val="9"/>
                <w:color w:val="auto"/>
              </w:rPr>
              <w:t>(8),(11)</w:t>
            </w:r>
          </w:p>
        </w:tc>
        <w:tc>
          <w:tcPr>
            <w:tcW w:w="76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rPr>
              <w:t>11/24/2025</w:t>
            </w:r>
          </w:p>
        </w:tc>
        <w:tc>
          <w:tcPr>
            <w:tcW w:w="1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Food</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1,771,084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1,771,084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1,717,952</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TVC Enterprises, LLC</w:t>
            </w:r>
          </w:p>
        </w:tc>
        <w:tc>
          <w:tcPr>
            <w:tcW w:w="760" w:type="dxa"/>
            <w:vAlign w:val="bottom"/>
            <w:gridSpan w:val="2"/>
          </w:tcPr>
          <w:p>
            <w:pPr>
              <w:ind w:left="180"/>
              <w:spacing w:after="0"/>
              <w:rPr>
                <w:sz w:val="20"/>
                <w:szCs w:val="20"/>
                <w:color w:val="auto"/>
              </w:rPr>
            </w:pPr>
            <w:r>
              <w:rPr>
                <w:rFonts w:ascii="Arial" w:cs="Arial" w:eastAsia="Arial" w:hAnsi="Arial"/>
                <w:sz w:val="11"/>
                <w:szCs w:val="11"/>
                <w:color w:val="auto"/>
              </w:rPr>
              <w:t>03/26/2026</w:t>
            </w:r>
          </w:p>
        </w:tc>
        <w:tc>
          <w:tcPr>
            <w:tcW w:w="120" w:type="dxa"/>
            <w:vAlign w:val="bottom"/>
          </w:tcPr>
          <w:p>
            <w:pPr>
              <w:spacing w:after="0"/>
              <w:rPr>
                <w:sz w:val="11"/>
                <w:szCs w:val="11"/>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Transportation</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L+575</w:t>
            </w:r>
          </w:p>
        </w:tc>
        <w:tc>
          <w:tcPr>
            <w:tcW w:w="660" w:type="dxa"/>
            <w:vAlign w:val="bottom"/>
          </w:tcPr>
          <w:p>
            <w:pPr>
              <w:jc w:val="right"/>
              <w:spacing w:after="0"/>
              <w:rPr>
                <w:sz w:val="20"/>
                <w:szCs w:val="20"/>
                <w:color w:val="auto"/>
              </w:rPr>
            </w:pPr>
            <w:r>
              <w:rPr>
                <w:rFonts w:ascii="Arial" w:cs="Arial" w:eastAsia="Arial" w:hAnsi="Arial"/>
                <w:sz w:val="11"/>
                <w:szCs w:val="11"/>
                <w:color w:val="auto"/>
              </w:rPr>
              <w:t>15,506,132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15,347,022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15,506,132</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9"/>
                <w:szCs w:val="9"/>
                <w:color w:val="auto"/>
              </w:rPr>
              <w:t>(7)</w:t>
            </w:r>
          </w:p>
        </w:tc>
        <w:tc>
          <w:tcPr>
            <w:tcW w:w="76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rPr>
              <w:t>03/26/2026</w:t>
            </w:r>
          </w:p>
        </w:tc>
        <w:tc>
          <w:tcPr>
            <w:tcW w:w="1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Transportation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2,702,152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TWS Acquisition Corporation</w:t>
            </w:r>
          </w:p>
        </w:tc>
        <w:tc>
          <w:tcPr>
            <w:tcW w:w="760" w:type="dxa"/>
            <w:vAlign w:val="bottom"/>
            <w:gridSpan w:val="2"/>
          </w:tcPr>
          <w:p>
            <w:pPr>
              <w:ind w:left="180"/>
              <w:spacing w:after="0"/>
              <w:rPr>
                <w:sz w:val="20"/>
                <w:szCs w:val="20"/>
                <w:color w:val="auto"/>
              </w:rPr>
            </w:pPr>
            <w:r>
              <w:rPr>
                <w:rFonts w:ascii="Arial" w:cs="Arial" w:eastAsia="Arial" w:hAnsi="Arial"/>
                <w:sz w:val="11"/>
                <w:szCs w:val="11"/>
                <w:color w:val="auto"/>
              </w:rPr>
              <w:t>06/16/2025</w:t>
            </w:r>
          </w:p>
        </w:tc>
        <w:tc>
          <w:tcPr>
            <w:tcW w:w="120" w:type="dxa"/>
            <w:vAlign w:val="bottom"/>
          </w:tcPr>
          <w:p>
            <w:pPr>
              <w:spacing w:after="0"/>
              <w:rPr>
                <w:sz w:val="11"/>
                <w:szCs w:val="11"/>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tcPr>
          <w:p>
            <w:pPr>
              <w:jc w:val="right"/>
              <w:spacing w:after="0"/>
              <w:rPr>
                <w:sz w:val="20"/>
                <w:szCs w:val="20"/>
                <w:color w:val="auto"/>
              </w:rPr>
            </w:pPr>
            <w:r>
              <w:rPr>
                <w:rFonts w:ascii="Arial" w:cs="Arial" w:eastAsia="Arial" w:hAnsi="Arial"/>
                <w:sz w:val="11"/>
                <w:szCs w:val="11"/>
                <w:color w:val="auto"/>
              </w:rPr>
              <w:t>4,136,641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4,136,641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4,136,641</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9"/>
                <w:szCs w:val="9"/>
                <w:color w:val="auto"/>
              </w:rPr>
              <w:t>(7)</w:t>
            </w:r>
          </w:p>
        </w:tc>
        <w:tc>
          <w:tcPr>
            <w:tcW w:w="76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rPr>
              <w:t>06/16/2025</w:t>
            </w:r>
          </w:p>
        </w:tc>
        <w:tc>
          <w:tcPr>
            <w:tcW w:w="1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1,643,571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Tyto Athene, LLC (Revolver) </w:t>
            </w:r>
            <w:r>
              <w:rPr>
                <w:rFonts w:ascii="Arial" w:cs="Arial" w:eastAsia="Arial" w:hAnsi="Arial"/>
                <w:sz w:val="9"/>
                <w:szCs w:val="9"/>
                <w:color w:val="auto"/>
              </w:rPr>
              <w:t>(7)</w:t>
            </w:r>
          </w:p>
        </w:tc>
        <w:tc>
          <w:tcPr>
            <w:tcW w:w="760" w:type="dxa"/>
            <w:vAlign w:val="bottom"/>
            <w:gridSpan w:val="2"/>
          </w:tcPr>
          <w:p>
            <w:pPr>
              <w:ind w:left="180"/>
              <w:spacing w:after="0"/>
              <w:rPr>
                <w:sz w:val="20"/>
                <w:szCs w:val="20"/>
                <w:color w:val="auto"/>
              </w:rPr>
            </w:pPr>
            <w:r>
              <w:rPr>
                <w:rFonts w:ascii="Arial" w:cs="Arial" w:eastAsia="Arial" w:hAnsi="Arial"/>
                <w:sz w:val="11"/>
                <w:szCs w:val="11"/>
                <w:color w:val="auto"/>
              </w:rPr>
              <w:t>04/01/2026</w:t>
            </w:r>
          </w:p>
        </w:tc>
        <w:tc>
          <w:tcPr>
            <w:tcW w:w="1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363,610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Walker Edison Furniture Company LLC</w:t>
            </w:r>
          </w:p>
        </w:tc>
        <w:tc>
          <w:tcPr>
            <w:tcW w:w="76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rPr>
              <w:t>03/31/2027</w:t>
            </w:r>
          </w:p>
        </w:tc>
        <w:tc>
          <w:tcPr>
            <w:tcW w:w="1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Home and Office Furnishings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24,875,000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24,293,307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23,942,188</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Wildcat Buyerco, Inc.</w:t>
            </w:r>
          </w:p>
        </w:tc>
        <w:tc>
          <w:tcPr>
            <w:tcW w:w="760" w:type="dxa"/>
            <w:vAlign w:val="bottom"/>
            <w:gridSpan w:val="2"/>
          </w:tcPr>
          <w:p>
            <w:pPr>
              <w:ind w:left="180"/>
              <w:spacing w:after="0"/>
              <w:rPr>
                <w:sz w:val="20"/>
                <w:szCs w:val="20"/>
                <w:color w:val="auto"/>
              </w:rPr>
            </w:pPr>
            <w:r>
              <w:rPr>
                <w:rFonts w:ascii="Arial" w:cs="Arial" w:eastAsia="Arial" w:hAnsi="Arial"/>
                <w:sz w:val="11"/>
                <w:szCs w:val="11"/>
                <w:color w:val="auto"/>
              </w:rPr>
              <w:t>02/27/2026</w:t>
            </w:r>
          </w:p>
        </w:tc>
        <w:tc>
          <w:tcPr>
            <w:tcW w:w="120" w:type="dxa"/>
            <w:vAlign w:val="bottom"/>
          </w:tcPr>
          <w:p>
            <w:pPr>
              <w:spacing w:after="0"/>
              <w:rPr>
                <w:sz w:val="11"/>
                <w:szCs w:val="11"/>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tcPr>
          <w:p>
            <w:pPr>
              <w:jc w:val="right"/>
              <w:spacing w:after="0"/>
              <w:rPr>
                <w:sz w:val="20"/>
                <w:szCs w:val="20"/>
                <w:color w:val="auto"/>
              </w:rPr>
            </w:pPr>
            <w:r>
              <w:rPr>
                <w:rFonts w:ascii="Arial" w:cs="Arial" w:eastAsia="Arial" w:hAnsi="Arial"/>
                <w:sz w:val="11"/>
                <w:szCs w:val="11"/>
                <w:color w:val="auto"/>
              </w:rPr>
              <w:t>1,628,686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1,612,485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1,620,542</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Wildcat Buyerco, Inc. </w:t>
            </w:r>
            <w:r>
              <w:rPr>
                <w:rFonts w:ascii="Arial" w:cs="Arial" w:eastAsia="Arial" w:hAnsi="Arial"/>
                <w:sz w:val="9"/>
                <w:szCs w:val="9"/>
                <w:color w:val="auto"/>
              </w:rPr>
              <w:t>(7)</w:t>
            </w:r>
          </w:p>
        </w:tc>
        <w:tc>
          <w:tcPr>
            <w:tcW w:w="76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rPr>
              <w:t>02/27/2022</w:t>
            </w:r>
          </w:p>
        </w:tc>
        <w:tc>
          <w:tcPr>
            <w:tcW w:w="1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2,573,529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16,085</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Wildcat Buyerco, Inc. (Revolver) </w:t>
            </w:r>
            <w:r>
              <w:rPr>
                <w:rFonts w:ascii="Arial" w:cs="Arial" w:eastAsia="Arial" w:hAnsi="Arial"/>
                <w:sz w:val="9"/>
                <w:szCs w:val="9"/>
                <w:color w:val="auto"/>
              </w:rPr>
              <w:t>(7)</w:t>
            </w:r>
          </w:p>
        </w:tc>
        <w:tc>
          <w:tcPr>
            <w:tcW w:w="760" w:type="dxa"/>
            <w:vAlign w:val="bottom"/>
            <w:gridSpan w:val="2"/>
          </w:tcPr>
          <w:p>
            <w:pPr>
              <w:ind w:left="180"/>
              <w:spacing w:after="0"/>
              <w:rPr>
                <w:sz w:val="20"/>
                <w:szCs w:val="20"/>
                <w:color w:val="auto"/>
              </w:rPr>
            </w:pPr>
            <w:r>
              <w:rPr>
                <w:rFonts w:ascii="Arial" w:cs="Arial" w:eastAsia="Arial" w:hAnsi="Arial"/>
                <w:sz w:val="11"/>
                <w:szCs w:val="11"/>
                <w:color w:val="auto"/>
              </w:rPr>
              <w:t>02/27/2026</w:t>
            </w:r>
          </w:p>
        </w:tc>
        <w:tc>
          <w:tcPr>
            <w:tcW w:w="120" w:type="dxa"/>
            <w:vAlign w:val="bottom"/>
          </w:tcPr>
          <w:p>
            <w:pPr>
              <w:spacing w:after="0"/>
              <w:rPr>
                <w:sz w:val="11"/>
                <w:szCs w:val="11"/>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551,471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(7,279)</w:t>
            </w:r>
          </w:p>
        </w:tc>
      </w:tr>
      <w:tr>
        <w:trPr>
          <w:trHeight w:val="128"/>
        </w:trPr>
        <w:tc>
          <w:tcPr>
            <w:tcW w:w="302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tcBorders>
              <w:top w:val="single" w:sz="8" w:color="CCECFF"/>
            </w:tcBorders>
            <w:shd w:val="clear" w:color="auto" w:fill="CCECFF"/>
          </w:tcPr>
          <w:p>
            <w:pPr>
              <w:spacing w:after="0"/>
              <w:rPr>
                <w:sz w:val="11"/>
                <w:szCs w:val="11"/>
                <w:color w:val="auto"/>
              </w:rPr>
            </w:pPr>
          </w:p>
        </w:tc>
        <w:tc>
          <w:tcPr>
            <w:tcW w:w="6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262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84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bottom w:val="single" w:sz="8" w:color="auto"/>
            </w:tcBorders>
            <w:shd w:val="clear" w:color="auto" w:fill="CCECFF"/>
          </w:tcPr>
          <w:p>
            <w:pPr>
              <w:spacing w:after="0"/>
              <w:rPr>
                <w:sz w:val="11"/>
                <w:szCs w:val="11"/>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1"/>
              </w:rPr>
              <w:t>509,046,239</w:t>
            </w: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spacing w:after="0"/>
              <w:rPr>
                <w:sz w:val="11"/>
                <w:szCs w:val="11"/>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1"/>
              </w:rPr>
              <w:t>511,405,396</w:t>
            </w:r>
          </w:p>
        </w:tc>
        <w:tc>
          <w:tcPr>
            <w:tcW w:w="100" w:type="dxa"/>
            <w:vAlign w:val="bottom"/>
            <w:tcBorders>
              <w:top w:val="single" w:sz="8" w:color="CCECFF"/>
            </w:tcBorders>
            <w:shd w:val="clear" w:color="auto" w:fill="CCECFF"/>
          </w:tcPr>
          <w:p>
            <w:pPr>
              <w:spacing w:after="0"/>
              <w:rPr>
                <w:sz w:val="11"/>
                <w:szCs w:val="11"/>
                <w:color w:val="auto"/>
              </w:rPr>
            </w:pPr>
          </w:p>
        </w:tc>
      </w:tr>
      <w:tr>
        <w:trPr>
          <w:trHeight w:val="128"/>
        </w:trPr>
        <w:tc>
          <w:tcPr>
            <w:tcW w:w="3020" w:type="dxa"/>
            <w:vAlign w:val="bottom"/>
          </w:tcPr>
          <w:p>
            <w:pPr>
              <w:spacing w:after="0"/>
              <w:rPr>
                <w:sz w:val="20"/>
                <w:szCs w:val="20"/>
                <w:color w:val="auto"/>
              </w:rPr>
            </w:pPr>
            <w:r>
              <w:rPr>
                <w:rFonts w:ascii="Arial" w:cs="Arial" w:eastAsia="Arial" w:hAnsi="Arial"/>
                <w:sz w:val="11"/>
                <w:szCs w:val="11"/>
                <w:b w:val="1"/>
                <w:bCs w:val="1"/>
                <w:color w:val="auto"/>
              </w:rPr>
              <w:t>Second Lien Secured Debt—16.2%</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Atlas Purchaser, Inc</w:t>
            </w:r>
          </w:p>
        </w:tc>
        <w:tc>
          <w:tcPr>
            <w:tcW w:w="76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rPr>
              <w:t>05/07/2029</w:t>
            </w:r>
          </w:p>
        </w:tc>
        <w:tc>
          <w:tcPr>
            <w:tcW w:w="1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9.75%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L+900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17,000,000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16,506,150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16,872,500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Data Axle, Inc.</w:t>
            </w:r>
          </w:p>
        </w:tc>
        <w:tc>
          <w:tcPr>
            <w:tcW w:w="760" w:type="dxa"/>
            <w:vAlign w:val="bottom"/>
            <w:gridSpan w:val="2"/>
          </w:tcPr>
          <w:p>
            <w:pPr>
              <w:ind w:left="180"/>
              <w:spacing w:after="0"/>
              <w:rPr>
                <w:sz w:val="20"/>
                <w:szCs w:val="20"/>
                <w:color w:val="auto"/>
              </w:rPr>
            </w:pPr>
            <w:r>
              <w:rPr>
                <w:rFonts w:ascii="Arial" w:cs="Arial" w:eastAsia="Arial" w:hAnsi="Arial"/>
                <w:sz w:val="11"/>
                <w:szCs w:val="11"/>
                <w:color w:val="auto"/>
              </w:rPr>
              <w:t>04/03/2024</w:t>
            </w:r>
          </w:p>
        </w:tc>
        <w:tc>
          <w:tcPr>
            <w:tcW w:w="1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Other Media</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10.25%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L+925</w:t>
            </w:r>
          </w:p>
        </w:tc>
        <w:tc>
          <w:tcPr>
            <w:tcW w:w="660" w:type="dxa"/>
            <w:vAlign w:val="bottom"/>
          </w:tcPr>
          <w:p>
            <w:pPr>
              <w:jc w:val="right"/>
              <w:spacing w:after="0"/>
              <w:rPr>
                <w:sz w:val="20"/>
                <w:szCs w:val="20"/>
                <w:color w:val="auto"/>
              </w:rPr>
            </w:pPr>
            <w:r>
              <w:rPr>
                <w:rFonts w:ascii="Arial" w:cs="Arial" w:eastAsia="Arial" w:hAnsi="Arial"/>
                <w:sz w:val="11"/>
                <w:szCs w:val="11"/>
                <w:color w:val="auto"/>
              </w:rPr>
              <w:t>20,400,000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20,220,262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20,400,000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ENC Parent Corporation</w:t>
            </w:r>
          </w:p>
        </w:tc>
        <w:tc>
          <w:tcPr>
            <w:tcW w:w="76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rPr>
              <w:t>08/19/2029</w:t>
            </w:r>
          </w:p>
        </w:tc>
        <w:tc>
          <w:tcPr>
            <w:tcW w:w="1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8.25%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L+750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7,500,000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7,425,504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7,425,000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Halo Buyer, Inc.</w:t>
            </w:r>
          </w:p>
        </w:tc>
        <w:tc>
          <w:tcPr>
            <w:tcW w:w="760" w:type="dxa"/>
            <w:vAlign w:val="bottom"/>
            <w:gridSpan w:val="2"/>
          </w:tcPr>
          <w:p>
            <w:pPr>
              <w:ind w:left="180"/>
              <w:spacing w:after="0"/>
              <w:rPr>
                <w:sz w:val="20"/>
                <w:szCs w:val="20"/>
                <w:color w:val="auto"/>
              </w:rPr>
            </w:pPr>
            <w:r>
              <w:rPr>
                <w:rFonts w:ascii="Arial" w:cs="Arial" w:eastAsia="Arial" w:hAnsi="Arial"/>
                <w:sz w:val="11"/>
                <w:szCs w:val="11"/>
                <w:color w:val="auto"/>
              </w:rPr>
              <w:t>07/06/2026</w:t>
            </w:r>
          </w:p>
        </w:tc>
        <w:tc>
          <w:tcPr>
            <w:tcW w:w="1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Consumer Products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L+825</w:t>
            </w:r>
          </w:p>
        </w:tc>
        <w:tc>
          <w:tcPr>
            <w:tcW w:w="660" w:type="dxa"/>
            <w:vAlign w:val="bottom"/>
          </w:tcPr>
          <w:p>
            <w:pPr>
              <w:jc w:val="right"/>
              <w:spacing w:after="0"/>
              <w:rPr>
                <w:sz w:val="20"/>
                <w:szCs w:val="20"/>
                <w:color w:val="auto"/>
              </w:rPr>
            </w:pPr>
            <w:r>
              <w:rPr>
                <w:rFonts w:ascii="Arial" w:cs="Arial" w:eastAsia="Arial" w:hAnsi="Arial"/>
                <w:sz w:val="11"/>
                <w:szCs w:val="11"/>
                <w:color w:val="auto"/>
              </w:rPr>
              <w:t>32,500,000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32,105,964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31,118,750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Inventus Power, Inc.</w:t>
            </w:r>
          </w:p>
        </w:tc>
        <w:tc>
          <w:tcPr>
            <w:tcW w:w="76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rPr>
              <w:t>09/29/2024</w:t>
            </w:r>
          </w:p>
        </w:tc>
        <w:tc>
          <w:tcPr>
            <w:tcW w:w="1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9.50%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L+850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16,593,290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16,292,435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16,261,424</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QuantiTech LLC</w:t>
            </w:r>
          </w:p>
        </w:tc>
        <w:tc>
          <w:tcPr>
            <w:tcW w:w="760" w:type="dxa"/>
            <w:vAlign w:val="bottom"/>
            <w:gridSpan w:val="2"/>
          </w:tcPr>
          <w:p>
            <w:pPr>
              <w:ind w:left="180"/>
              <w:spacing w:after="0"/>
              <w:rPr>
                <w:sz w:val="20"/>
                <w:szCs w:val="20"/>
                <w:color w:val="auto"/>
              </w:rPr>
            </w:pPr>
            <w:r>
              <w:rPr>
                <w:rFonts w:ascii="Arial" w:cs="Arial" w:eastAsia="Arial" w:hAnsi="Arial"/>
                <w:sz w:val="11"/>
                <w:szCs w:val="11"/>
                <w:color w:val="auto"/>
              </w:rPr>
              <w:t>02/04/2027</w:t>
            </w:r>
          </w:p>
        </w:tc>
        <w:tc>
          <w:tcPr>
            <w:tcW w:w="1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11.00%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L+1,000</w:t>
            </w:r>
          </w:p>
        </w:tc>
        <w:tc>
          <w:tcPr>
            <w:tcW w:w="660" w:type="dxa"/>
            <w:vAlign w:val="bottom"/>
          </w:tcPr>
          <w:p>
            <w:pPr>
              <w:jc w:val="right"/>
              <w:spacing w:after="0"/>
              <w:rPr>
                <w:sz w:val="20"/>
                <w:szCs w:val="20"/>
                <w:color w:val="auto"/>
              </w:rPr>
            </w:pPr>
            <w:r>
              <w:rPr>
                <w:rFonts w:ascii="Arial" w:cs="Arial" w:eastAsia="Arial" w:hAnsi="Arial"/>
                <w:sz w:val="11"/>
                <w:szCs w:val="11"/>
                <w:color w:val="auto"/>
              </w:rPr>
              <w:t>150,000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147,229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147,375</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VT Topco, Inc.</w:t>
            </w:r>
          </w:p>
        </w:tc>
        <w:tc>
          <w:tcPr>
            <w:tcW w:w="76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rPr>
              <w:t>08/17/2026</w:t>
            </w:r>
          </w:p>
        </w:tc>
        <w:tc>
          <w:tcPr>
            <w:tcW w:w="1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7.06%</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15,000,000</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14,921,967</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15,000,000</w:t>
            </w:r>
          </w:p>
        </w:tc>
        <w:tc>
          <w:tcPr>
            <w:tcW w:w="100" w:type="dxa"/>
            <w:vAlign w:val="bottom"/>
            <w:shd w:val="clear" w:color="auto" w:fill="CCECFF"/>
          </w:tcPr>
          <w:p>
            <w:pPr>
              <w:spacing w:after="0"/>
              <w:rPr>
                <w:sz w:val="11"/>
                <w:szCs w:val="11"/>
                <w:color w:val="auto"/>
              </w:rPr>
            </w:pPr>
          </w:p>
        </w:tc>
      </w:tr>
      <w:tr>
        <w:trPr>
          <w:trHeight w:val="129"/>
        </w:trPr>
        <w:tc>
          <w:tcPr>
            <w:tcW w:w="302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tcBorders>
              <w:bottom w:val="single" w:sz="8" w:color="CCECFF"/>
            </w:tcBorders>
          </w:tcPr>
          <w:p>
            <w:pPr>
              <w:spacing w:after="0"/>
              <w:rPr>
                <w:sz w:val="11"/>
                <w:szCs w:val="11"/>
                <w:color w:val="auto"/>
              </w:rPr>
            </w:pPr>
          </w:p>
        </w:tc>
        <w:tc>
          <w:tcPr>
            <w:tcW w:w="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107,619,511</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107,225,049</w:t>
            </w:r>
          </w:p>
        </w:tc>
        <w:tc>
          <w:tcPr>
            <w:tcW w:w="100" w:type="dxa"/>
            <w:vAlign w:val="bottom"/>
            <w:tcBorders>
              <w:bottom w:val="single" w:sz="8" w:color="CCECFF"/>
            </w:tcBorders>
          </w:tcPr>
          <w:p>
            <w:pPr>
              <w:spacing w:after="0"/>
              <w:rPr>
                <w:sz w:val="11"/>
                <w:szCs w:val="11"/>
                <w:color w:val="auto"/>
              </w:rPr>
            </w:pPr>
          </w:p>
        </w:tc>
      </w:tr>
      <w:tr>
        <w:trPr>
          <w:trHeight w:val="128"/>
        </w:trPr>
        <w:tc>
          <w:tcPr>
            <w:tcW w:w="302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Subordinated Debt/Corporate Notes—8.6%</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9"/>
        </w:trPr>
        <w:tc>
          <w:tcPr>
            <w:tcW w:w="3020" w:type="dxa"/>
            <w:vAlign w:val="bottom"/>
          </w:tcPr>
          <w:p>
            <w:pPr>
              <w:spacing w:after="0"/>
              <w:rPr>
                <w:sz w:val="20"/>
                <w:szCs w:val="20"/>
                <w:color w:val="auto"/>
              </w:rPr>
            </w:pPr>
            <w:r>
              <w:rPr>
                <w:rFonts w:ascii="Arial" w:cs="Arial" w:eastAsia="Arial" w:hAnsi="Arial"/>
                <w:sz w:val="11"/>
                <w:szCs w:val="11"/>
                <w:color w:val="auto"/>
              </w:rPr>
              <w:t>Blackhawk Industrial Distribution, Inc.</w:t>
            </w:r>
          </w:p>
        </w:tc>
        <w:tc>
          <w:tcPr>
            <w:tcW w:w="760" w:type="dxa"/>
            <w:vAlign w:val="bottom"/>
            <w:gridSpan w:val="2"/>
          </w:tcPr>
          <w:p>
            <w:pPr>
              <w:ind w:left="180"/>
              <w:spacing w:after="0"/>
              <w:rPr>
                <w:sz w:val="20"/>
                <w:szCs w:val="20"/>
                <w:color w:val="auto"/>
              </w:rPr>
            </w:pPr>
            <w:r>
              <w:rPr>
                <w:rFonts w:ascii="Arial" w:cs="Arial" w:eastAsia="Arial" w:hAnsi="Arial"/>
                <w:sz w:val="11"/>
                <w:szCs w:val="11"/>
                <w:color w:val="auto"/>
              </w:rPr>
              <w:t>03/17/2025</w:t>
            </w:r>
          </w:p>
        </w:tc>
        <w:tc>
          <w:tcPr>
            <w:tcW w:w="120" w:type="dxa"/>
            <w:vAlign w:val="bottom"/>
          </w:tcPr>
          <w:p>
            <w:pPr>
              <w:spacing w:after="0"/>
              <w:rPr>
                <w:sz w:val="12"/>
                <w:szCs w:val="12"/>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12.00%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14,334,994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14,165,120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14,334,994</w:t>
            </w:r>
          </w:p>
        </w:tc>
        <w:tc>
          <w:tcPr>
            <w:tcW w:w="100" w:type="dxa"/>
            <w:vAlign w:val="bottom"/>
          </w:tcPr>
          <w:p>
            <w:pPr>
              <w:spacing w:after="0"/>
              <w:rPr>
                <w:sz w:val="12"/>
                <w:szCs w:val="12"/>
                <w:color w:val="auto"/>
              </w:rPr>
            </w:pPr>
          </w:p>
        </w:tc>
      </w:tr>
      <w:tr>
        <w:trPr>
          <w:trHeight w:val="131"/>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2.00%)</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Cascade Environmental LLC</w:t>
            </w:r>
          </w:p>
        </w:tc>
        <w:tc>
          <w:tcPr>
            <w:tcW w:w="76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rPr>
              <w:t>12/30/2023</w:t>
            </w:r>
          </w:p>
        </w:tc>
        <w:tc>
          <w:tcPr>
            <w:tcW w:w="1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13.00%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42,467,662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42,150,188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42,680,001</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13.00%)</w:t>
            </w: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28"/>
        </w:trPr>
        <w:tc>
          <w:tcPr>
            <w:tcW w:w="3020" w:type="dxa"/>
            <w:vAlign w:val="bottom"/>
          </w:tcPr>
          <w:p>
            <w:pPr>
              <w:spacing w:after="0"/>
              <w:rPr>
                <w:sz w:val="20"/>
                <w:szCs w:val="20"/>
                <w:color w:val="auto"/>
              </w:rPr>
            </w:pPr>
            <w:r>
              <w:rPr>
                <w:rFonts w:ascii="Arial" w:cs="Arial" w:eastAsia="Arial" w:hAnsi="Arial"/>
                <w:sz w:val="11"/>
                <w:szCs w:val="11"/>
                <w:b w:val="1"/>
                <w:bCs w:val="1"/>
                <w:color w:val="auto"/>
              </w:rPr>
              <w:t>Total Subordinated Debt/Corporate Notes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56,315,308</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57,014,995</w:t>
            </w:r>
          </w:p>
        </w:tc>
        <w:tc>
          <w:tcPr>
            <w:tcW w:w="100" w:type="dxa"/>
            <w:vAlign w:val="bottom"/>
          </w:tcPr>
          <w:p>
            <w:pPr>
              <w:spacing w:after="0"/>
              <w:rPr>
                <w:sz w:val="11"/>
                <w:szCs w:val="1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0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3"/>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3040" w:type="dxa"/>
            <w:vAlign w:val="bottom"/>
          </w:tcPr>
          <w:p>
            <w:pPr>
              <w:spacing w:after="0"/>
              <w:rPr>
                <w:sz w:val="10"/>
                <w:szCs w:val="10"/>
                <w:color w:val="auto"/>
              </w:rPr>
            </w:pPr>
          </w:p>
        </w:tc>
        <w:tc>
          <w:tcPr>
            <w:tcW w:w="92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Maturity /</w:t>
            </w: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380"/>
              <w:spacing w:after="0" w:line="122" w:lineRule="exact"/>
              <w:rPr>
                <w:sz w:val="20"/>
                <w:szCs w:val="20"/>
                <w:color w:val="auto"/>
              </w:rPr>
            </w:pPr>
            <w:r>
              <w:rPr>
                <w:rFonts w:ascii="Arial" w:cs="Arial" w:eastAsia="Arial" w:hAnsi="Arial"/>
                <w:sz w:val="11"/>
                <w:szCs w:val="11"/>
                <w:b w:val="1"/>
                <w:bCs w:val="1"/>
                <w:color w:val="auto"/>
              </w:rPr>
              <w:t>Current</w:t>
            </w:r>
          </w:p>
        </w:tc>
        <w:tc>
          <w:tcPr>
            <w:tcW w:w="10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Spread Above</w:t>
            </w: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2"/>
              </w:rPr>
              <w:t>Par /</w:t>
            </w: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27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Industry</w:t>
            </w:r>
          </w:p>
        </w:tc>
        <w:tc>
          <w:tcPr>
            <w:tcW w:w="90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Coupon</w:t>
            </w:r>
          </w:p>
        </w:tc>
        <w:tc>
          <w:tcPr>
            <w:tcW w:w="10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1"/>
              </w:rPr>
              <w:t>Shares</w:t>
            </w:r>
          </w:p>
        </w:tc>
        <w:tc>
          <w:tcPr>
            <w:tcW w:w="900" w:type="dxa"/>
            <w:vAlign w:val="bottom"/>
            <w:gridSpan w:val="2"/>
          </w:tcPr>
          <w:p>
            <w:pPr>
              <w:ind w:left="220"/>
              <w:spacing w:after="0"/>
              <w:rPr>
                <w:sz w:val="20"/>
                <w:szCs w:val="20"/>
                <w:color w:val="auto"/>
              </w:rPr>
            </w:pPr>
            <w:r>
              <w:rPr>
                <w:rFonts w:ascii="Arial" w:cs="Arial" w:eastAsia="Arial" w:hAnsi="Arial"/>
                <w:sz w:val="11"/>
                <w:szCs w:val="11"/>
                <w:b w:val="1"/>
                <w:bCs w:val="1"/>
                <w:color w:val="auto"/>
              </w:rPr>
              <w:t>Cost</w:t>
            </w:r>
          </w:p>
        </w:tc>
        <w:tc>
          <w:tcPr>
            <w:tcW w:w="80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(3)</w:t>
            </w:r>
          </w:p>
        </w:tc>
      </w:tr>
      <w:tr>
        <w:trPr>
          <w:trHeight w:val="128"/>
        </w:trPr>
        <w:tc>
          <w:tcPr>
            <w:tcW w:w="304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 xml:space="preserve">Preferred Equity/Partnership Interests—3.9% </w:t>
            </w:r>
            <w:r>
              <w:rPr>
                <w:rFonts w:ascii="Arial" w:cs="Arial" w:eastAsia="Arial" w:hAnsi="Arial"/>
                <w:sz w:val="9"/>
                <w:szCs w:val="9"/>
                <w:b w:val="1"/>
                <w:bCs w:val="1"/>
                <w:color w:val="auto"/>
              </w:rPr>
              <w:t>(6)</w:t>
            </w:r>
          </w:p>
        </w:tc>
        <w:tc>
          <w:tcPr>
            <w:tcW w:w="920" w:type="dxa"/>
            <w:vAlign w:val="bottom"/>
            <w:tcBorders>
              <w:top w:val="single" w:sz="8" w:color="auto"/>
            </w:tcBorders>
          </w:tcPr>
          <w:p>
            <w:pPr>
              <w:spacing w:after="0"/>
              <w:rPr>
                <w:sz w:val="11"/>
                <w:szCs w:val="11"/>
                <w:color w:val="auto"/>
              </w:rPr>
            </w:pPr>
          </w:p>
        </w:tc>
        <w:tc>
          <w:tcPr>
            <w:tcW w:w="2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Ad.net Holdings, Inc. </w:t>
            </w:r>
            <w:r>
              <w:rPr>
                <w:rFonts w:ascii="Arial" w:cs="Arial" w:eastAsia="Arial" w:hAnsi="Arial"/>
                <w:sz w:val="9"/>
                <w:szCs w:val="9"/>
                <w:color w:val="auto"/>
              </w:rPr>
              <w:t>(9)</w:t>
            </w:r>
          </w:p>
        </w:tc>
        <w:tc>
          <w:tcPr>
            <w:tcW w:w="920" w:type="dxa"/>
            <w:vAlign w:val="bottom"/>
            <w:shd w:val="clear" w:color="auto" w:fill="CCECFF"/>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93"/>
              </w:rPr>
              <w:t>Media</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CFF"/>
          </w:tcPr>
          <w:p>
            <w:pPr>
              <w:ind w:left="7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240,000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240,000</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AH Newco Equityholdings, LLC</w:t>
            </w:r>
          </w:p>
        </w:tc>
        <w:tc>
          <w:tcPr>
            <w:tcW w:w="920" w:type="dxa"/>
            <w:vAlign w:val="bottom"/>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6.00%</w:t>
            </w:r>
          </w:p>
        </w:tc>
        <w:tc>
          <w:tcPr>
            <w:tcW w:w="108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211</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500,000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944,468</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Cascade Environmental LLC</w:t>
            </w:r>
          </w:p>
        </w:tc>
        <w:tc>
          <w:tcPr>
            <w:tcW w:w="920" w:type="dxa"/>
            <w:vAlign w:val="bottom"/>
            <w:shd w:val="clear" w:color="auto" w:fill="CCECFF"/>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8"/>
              </w:rPr>
              <w:t>Environmental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16.00%</w:t>
            </w:r>
          </w:p>
        </w:tc>
        <w:tc>
          <w:tcPr>
            <w:tcW w:w="1080" w:type="dxa"/>
            <w:vAlign w:val="bottom"/>
            <w:gridSpan w:val="2"/>
            <w:shd w:val="clear" w:color="auto" w:fill="CCECFF"/>
          </w:tcPr>
          <w:p>
            <w:pPr>
              <w:ind w:left="7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178,304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17,607,478</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21,133,488</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Mars Intermediate Holdings II, Inc</w:t>
            </w:r>
          </w:p>
        </w:tc>
        <w:tc>
          <w:tcPr>
            <w:tcW w:w="920" w:type="dxa"/>
            <w:vAlign w:val="bottom"/>
          </w:tcPr>
          <w:p>
            <w:pPr>
              <w:spacing w:after="0"/>
              <w:rPr>
                <w:sz w:val="11"/>
                <w:szCs w:val="11"/>
                <w:color w:val="auto"/>
              </w:rPr>
            </w:pPr>
          </w:p>
        </w:tc>
        <w:tc>
          <w:tcPr>
            <w:tcW w:w="2700" w:type="dxa"/>
            <w:vAlign w:val="bottom"/>
            <w:gridSpan w:val="2"/>
          </w:tcPr>
          <w:p>
            <w:pPr>
              <w:jc w:val="center"/>
              <w:ind w:right="180"/>
              <w:spacing w:after="0"/>
              <w:rPr>
                <w:sz w:val="20"/>
                <w:szCs w:val="20"/>
                <w:color w:val="auto"/>
              </w:rPr>
            </w:pPr>
            <w:r>
              <w:rPr>
                <w:rFonts w:ascii="Arial" w:cs="Arial" w:eastAsia="Arial" w:hAnsi="Arial"/>
                <w:sz w:val="11"/>
                <w:szCs w:val="11"/>
                <w:color w:val="auto"/>
                <w:w w:val="93"/>
              </w:rPr>
              <w:t>Media</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414</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414,000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432,109</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9"/>
                <w:szCs w:val="9"/>
                <w:color w:val="auto"/>
              </w:rPr>
              <w:t>(9)</w:t>
            </w:r>
          </w:p>
        </w:tc>
        <w:tc>
          <w:tcPr>
            <w:tcW w:w="920" w:type="dxa"/>
            <w:vAlign w:val="bottom"/>
            <w:shd w:val="clear" w:color="auto" w:fill="CCECFF"/>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93"/>
              </w:rPr>
              <w:t>Media</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CFF"/>
          </w:tcPr>
          <w:p>
            <w:pPr>
              <w:ind w:left="7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540,000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692,857</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NXOF Holdings, Inc. (Tyto Athene, LLC)</w:t>
            </w:r>
          </w:p>
        </w:tc>
        <w:tc>
          <w:tcPr>
            <w:tcW w:w="920" w:type="dxa"/>
            <w:vAlign w:val="bottom"/>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160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159,808</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202,082</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ORL Holdco, Inc.</w:t>
            </w:r>
          </w:p>
        </w:tc>
        <w:tc>
          <w:tcPr>
            <w:tcW w:w="920" w:type="dxa"/>
            <w:vAlign w:val="bottom"/>
            <w:shd w:val="clear" w:color="auto" w:fill="CCECFF"/>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CFF"/>
          </w:tcPr>
          <w:p>
            <w:pPr>
              <w:ind w:left="7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575</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57,461</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57,461</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Signature CR Intermediate Holdco, Inc.</w:t>
            </w:r>
          </w:p>
        </w:tc>
        <w:tc>
          <w:tcPr>
            <w:tcW w:w="920" w:type="dxa"/>
            <w:vAlign w:val="bottom"/>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1"/>
                <w:szCs w:val="11"/>
                <w:color w:val="auto"/>
                <w:w w:val="88"/>
              </w:rPr>
              <w:t>Chemicals, Plastics and Rubber</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12.00%</w:t>
            </w:r>
          </w:p>
        </w:tc>
        <w:tc>
          <w:tcPr>
            <w:tcW w:w="108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1,527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1,527,026</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1,878,601</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9"/>
                <w:szCs w:val="9"/>
                <w:color w:val="auto"/>
              </w:rPr>
              <w:t>(8),(11)</w:t>
            </w:r>
          </w:p>
        </w:tc>
        <w:tc>
          <w:tcPr>
            <w:tcW w:w="920" w:type="dxa"/>
            <w:vAlign w:val="bottom"/>
            <w:shd w:val="clear" w:color="auto" w:fill="CCECFF"/>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7"/>
              </w:rPr>
              <w:t>Food</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CFF"/>
          </w:tcPr>
          <w:p>
            <w:pPr>
              <w:ind w:left="7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219</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219,012</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262,278</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TWD Parent Holdings, LLC (The Vertex Companies, LLC)</w:t>
            </w:r>
          </w:p>
        </w:tc>
        <w:tc>
          <w:tcPr>
            <w:tcW w:w="920" w:type="dxa"/>
            <w:vAlign w:val="bottom"/>
            <w:tcBorders>
              <w:bottom w:val="single" w:sz="8" w:color="CCECFF"/>
            </w:tcBorders>
          </w:tcPr>
          <w:p>
            <w:pPr>
              <w:ind w:left="360"/>
              <w:spacing w:after="0"/>
              <w:rPr>
                <w:sz w:val="20"/>
                <w:szCs w:val="20"/>
                <w:color w:val="auto"/>
              </w:rPr>
            </w:pPr>
            <w:r>
              <w:rPr>
                <w:rFonts w:ascii="Arial" w:cs="Arial" w:eastAsia="Arial" w:hAnsi="Arial"/>
                <w:sz w:val="11"/>
                <w:szCs w:val="11"/>
                <w:color w:val="auto"/>
              </w:rPr>
              <w:t>—</w:t>
            </w:r>
          </w:p>
        </w:tc>
        <w:tc>
          <w:tcPr>
            <w:tcW w:w="2700" w:type="dxa"/>
            <w:vAlign w:val="bottom"/>
            <w:tcBorders>
              <w:bottom w:val="single" w:sz="8" w:color="CCECFF"/>
            </w:tcBorders>
            <w:gridSpan w:val="2"/>
          </w:tcPr>
          <w:p>
            <w:pPr>
              <w:jc w:val="center"/>
              <w:ind w:right="200"/>
              <w:spacing w:after="0"/>
              <w:rPr>
                <w:sz w:val="20"/>
                <w:szCs w:val="20"/>
                <w:color w:val="auto"/>
              </w:rPr>
            </w:pPr>
            <w:r>
              <w:rPr>
                <w:rFonts w:ascii="Arial" w:cs="Arial" w:eastAsia="Arial" w:hAnsi="Arial"/>
                <w:sz w:val="11"/>
                <w:szCs w:val="11"/>
                <w:color w:val="auto"/>
                <w:w w:val="86"/>
              </w:rPr>
              <w:t>Business Services</w:t>
            </w:r>
          </w:p>
        </w:tc>
        <w:tc>
          <w:tcPr>
            <w:tcW w:w="90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CCECFF"/>
            </w:tcBorders>
            <w:gridSpan w:val="2"/>
          </w:tcPr>
          <w:p>
            <w:pPr>
              <w:ind w:left="7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30</w:t>
            </w: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29,804</w:t>
            </w:r>
          </w:p>
        </w:tc>
        <w:tc>
          <w:tcPr>
            <w:tcW w:w="22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29,804</w:t>
            </w:r>
          </w:p>
        </w:tc>
        <w:tc>
          <w:tcPr>
            <w:tcW w:w="100" w:type="dxa"/>
            <w:vAlign w:val="bottom"/>
            <w:tcBorders>
              <w:bottom w:val="single" w:sz="8" w:color="CCECFF"/>
            </w:tcBorders>
          </w:tcPr>
          <w:p>
            <w:pPr>
              <w:spacing w:after="0"/>
              <w:rPr>
                <w:sz w:val="11"/>
                <w:szCs w:val="11"/>
                <w:color w:val="auto"/>
              </w:rPr>
            </w:pPr>
          </w:p>
        </w:tc>
      </w:tr>
      <w:tr>
        <w:trPr>
          <w:trHeight w:val="128"/>
        </w:trPr>
        <w:tc>
          <w:tcPr>
            <w:tcW w:w="304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Preferred Equity/Partnership Interests</w:t>
            </w:r>
          </w:p>
        </w:tc>
        <w:tc>
          <w:tcPr>
            <w:tcW w:w="92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21,294,589</w:t>
            </w:r>
          </w:p>
        </w:tc>
        <w:tc>
          <w:tcPr>
            <w:tcW w:w="220" w:type="dxa"/>
            <w:vAlign w:val="bottom"/>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25,873,148</w:t>
            </w:r>
          </w:p>
        </w:tc>
        <w:tc>
          <w:tcPr>
            <w:tcW w:w="100" w:type="dxa"/>
            <w:vAlign w:val="bottom"/>
            <w:shd w:val="clear" w:color="auto" w:fill="CCECFF"/>
          </w:tcPr>
          <w:p>
            <w:pPr>
              <w:spacing w:after="0"/>
              <w:rPr>
                <w:sz w:val="11"/>
                <w:szCs w:val="11"/>
                <w:color w:val="auto"/>
              </w:rPr>
            </w:pPr>
          </w:p>
        </w:tc>
      </w:tr>
      <w:tr>
        <w:trPr>
          <w:trHeight w:val="128"/>
        </w:trPr>
        <w:tc>
          <w:tcPr>
            <w:tcW w:w="3040" w:type="dxa"/>
            <w:vAlign w:val="bottom"/>
          </w:tcPr>
          <w:p>
            <w:pPr>
              <w:spacing w:after="0"/>
              <w:rPr>
                <w:sz w:val="20"/>
                <w:szCs w:val="20"/>
                <w:color w:val="auto"/>
              </w:rPr>
            </w:pPr>
            <w:r>
              <w:rPr>
                <w:rFonts w:ascii="Arial" w:cs="Arial" w:eastAsia="Arial" w:hAnsi="Arial"/>
                <w:sz w:val="11"/>
                <w:szCs w:val="11"/>
                <w:b w:val="1"/>
                <w:bCs w:val="1"/>
                <w:color w:val="auto"/>
                <w:w w:val="99"/>
              </w:rPr>
              <w:t xml:space="preserve">Common Equity/Partnership Interests/Warrants—18.0% </w:t>
            </w:r>
            <w:r>
              <w:rPr>
                <w:rFonts w:ascii="Arial" w:cs="Arial" w:eastAsia="Arial" w:hAnsi="Arial"/>
                <w:sz w:val="9"/>
                <w:szCs w:val="9"/>
                <w:b w:val="1"/>
                <w:bCs w:val="1"/>
                <w:color w:val="auto"/>
                <w:w w:val="99"/>
              </w:rPr>
              <w:t>(6)</w:t>
            </w:r>
          </w:p>
        </w:tc>
        <w:tc>
          <w:tcPr>
            <w:tcW w:w="9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Ad.net Holdings, Inc. (9)</w:t>
            </w:r>
          </w:p>
        </w:tc>
        <w:tc>
          <w:tcPr>
            <w:tcW w:w="920" w:type="dxa"/>
            <w:vAlign w:val="bottom"/>
            <w:shd w:val="clear" w:color="auto" w:fill="CCECFF"/>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93"/>
              </w:rPr>
              <w:t>Media</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CFF"/>
          </w:tcPr>
          <w:p>
            <w:pPr>
              <w:ind w:left="7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2,667</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26,667</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49,105</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Affinion Group Holdings, Inc. (Warrants)</w:t>
            </w:r>
          </w:p>
        </w:tc>
        <w:tc>
          <w:tcPr>
            <w:tcW w:w="920" w:type="dxa"/>
            <w:vAlign w:val="bottom"/>
          </w:tcPr>
          <w:p>
            <w:pPr>
              <w:ind w:left="120"/>
              <w:spacing w:after="0"/>
              <w:rPr>
                <w:sz w:val="20"/>
                <w:szCs w:val="20"/>
                <w:color w:val="auto"/>
              </w:rPr>
            </w:pPr>
            <w:r>
              <w:rPr>
                <w:rFonts w:ascii="Arial" w:cs="Arial" w:eastAsia="Arial" w:hAnsi="Arial"/>
                <w:sz w:val="11"/>
                <w:szCs w:val="11"/>
                <w:color w:val="auto"/>
              </w:rPr>
              <w:t>04/10/2024</w:t>
            </w:r>
          </w:p>
        </w:tc>
        <w:tc>
          <w:tcPr>
            <w:tcW w:w="2700" w:type="dxa"/>
            <w:vAlign w:val="bottom"/>
            <w:gridSpan w:val="2"/>
          </w:tcPr>
          <w:p>
            <w:pPr>
              <w:jc w:val="center"/>
              <w:ind w:right="200"/>
              <w:spacing w:after="0"/>
              <w:rPr>
                <w:sz w:val="20"/>
                <w:szCs w:val="20"/>
                <w:color w:val="auto"/>
              </w:rPr>
            </w:pPr>
            <w:r>
              <w:rPr>
                <w:rFonts w:ascii="Arial" w:cs="Arial" w:eastAsia="Arial" w:hAnsi="Arial"/>
                <w:sz w:val="11"/>
                <w:szCs w:val="11"/>
                <w:color w:val="auto"/>
                <w:w w:val="88"/>
              </w:rPr>
              <w:t>Consumer Products</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77,190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2,126,399</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(9)</w:t>
            </w:r>
          </w:p>
        </w:tc>
        <w:tc>
          <w:tcPr>
            <w:tcW w:w="920" w:type="dxa"/>
            <w:vAlign w:val="bottom"/>
            <w:shd w:val="clear" w:color="auto" w:fill="CCECFF"/>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CFF"/>
          </w:tcPr>
          <w:p>
            <w:pPr>
              <w:ind w:left="7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805,164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805,164</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1,192,367</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(7), (9)</w:t>
            </w:r>
          </w:p>
        </w:tc>
        <w:tc>
          <w:tcPr>
            <w:tcW w:w="920" w:type="dxa"/>
            <w:vAlign w:val="bottom"/>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194,836</w:t>
            </w:r>
          </w:p>
        </w:tc>
        <w:tc>
          <w:tcPr>
            <w:tcW w:w="2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Altamira Intermediate Company II, Inc.</w:t>
            </w:r>
          </w:p>
        </w:tc>
        <w:tc>
          <w:tcPr>
            <w:tcW w:w="920" w:type="dxa"/>
            <w:vAlign w:val="bottom"/>
            <w:shd w:val="clear" w:color="auto" w:fill="CCECFF"/>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CFF"/>
          </w:tcPr>
          <w:p>
            <w:pPr>
              <w:ind w:left="7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125,000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125,000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32,859</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Atlas Investment Aggregator, LLC </w:t>
            </w:r>
            <w:r>
              <w:rPr>
                <w:rFonts w:ascii="Arial" w:cs="Arial" w:eastAsia="Arial" w:hAnsi="Arial"/>
                <w:sz w:val="9"/>
                <w:szCs w:val="9"/>
                <w:color w:val="auto"/>
              </w:rPr>
              <w:t>(9)</w:t>
            </w:r>
          </w:p>
        </w:tc>
        <w:tc>
          <w:tcPr>
            <w:tcW w:w="920" w:type="dxa"/>
            <w:vAlign w:val="bottom"/>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1"/>
                <w:szCs w:val="11"/>
                <w:color w:val="auto"/>
                <w:w w:val="89"/>
              </w:rPr>
              <w:t>Telecomunications</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1,700,000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1,700,000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1,710,022</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Cascade Environmental Holdings, LLC </w:t>
            </w:r>
            <w:r>
              <w:rPr>
                <w:rFonts w:ascii="Arial" w:cs="Arial" w:eastAsia="Arial" w:hAnsi="Arial"/>
                <w:sz w:val="9"/>
                <w:szCs w:val="9"/>
                <w:color w:val="auto"/>
              </w:rPr>
              <w:t>(9)</w:t>
            </w:r>
          </w:p>
        </w:tc>
        <w:tc>
          <w:tcPr>
            <w:tcW w:w="920" w:type="dxa"/>
            <w:vAlign w:val="bottom"/>
            <w:shd w:val="clear" w:color="auto" w:fill="CCECFF"/>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8"/>
              </w:rPr>
              <w:t>Environmental Services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CFF"/>
          </w:tcPr>
          <w:p>
            <w:pPr>
              <w:ind w:left="7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33,901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2,852,080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478,175</w:t>
            </w:r>
          </w:p>
        </w:tc>
        <w:tc>
          <w:tcPr>
            <w:tcW w:w="100" w:type="dxa"/>
            <w:vAlign w:val="bottom"/>
            <w:shd w:val="clear" w:color="auto" w:fill="CCECFF"/>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CI (Allied) Investment Holdings, LLC</w:t>
            </w:r>
          </w:p>
        </w:tc>
        <w:tc>
          <w:tcPr>
            <w:tcW w:w="920" w:type="dxa"/>
            <w:vAlign w:val="bottom"/>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120,962</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1,243,217</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475,439</w:t>
            </w:r>
          </w:p>
        </w:tc>
        <w:tc>
          <w:tcPr>
            <w:tcW w:w="100" w:type="dxa"/>
            <w:vAlign w:val="bottom"/>
          </w:tcPr>
          <w:p>
            <w:pPr>
              <w:spacing w:after="0"/>
              <w:rPr>
                <w:sz w:val="12"/>
                <w:szCs w:val="12"/>
                <w:color w:val="auto"/>
              </w:rPr>
            </w:pPr>
          </w:p>
        </w:tc>
      </w:tr>
      <w:tr>
        <w:trPr>
          <w:trHeight w:val="131"/>
        </w:trPr>
        <w:tc>
          <w:tcPr>
            <w:tcW w:w="3040" w:type="dxa"/>
            <w:vAlign w:val="bottom"/>
          </w:tcPr>
          <w:p>
            <w:pPr>
              <w:ind w:left="140"/>
              <w:spacing w:after="0"/>
              <w:rPr>
                <w:sz w:val="20"/>
                <w:szCs w:val="20"/>
                <w:color w:val="auto"/>
              </w:rPr>
            </w:pPr>
            <w:r>
              <w:rPr>
                <w:rFonts w:ascii="Arial" w:cs="Arial" w:eastAsia="Arial" w:hAnsi="Arial"/>
                <w:sz w:val="11"/>
                <w:szCs w:val="11"/>
                <w:color w:val="auto"/>
              </w:rPr>
              <w:t xml:space="preserve">(PRA Events, Inc.) </w:t>
            </w:r>
            <w:r>
              <w:rPr>
                <w:rFonts w:ascii="Arial" w:cs="Arial" w:eastAsia="Arial" w:hAnsi="Arial"/>
                <w:sz w:val="9"/>
                <w:szCs w:val="9"/>
                <w:color w:val="auto"/>
              </w:rPr>
              <w:t>(9)</w:t>
            </w:r>
          </w:p>
        </w:tc>
        <w:tc>
          <w:tcPr>
            <w:tcW w:w="9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Connatix Parent, LLC</w:t>
            </w:r>
          </w:p>
        </w:tc>
        <w:tc>
          <w:tcPr>
            <w:tcW w:w="920" w:type="dxa"/>
            <w:vAlign w:val="bottom"/>
            <w:shd w:val="clear" w:color="auto" w:fill="CCECFF"/>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93"/>
              </w:rPr>
              <w:t>Media</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CFF"/>
          </w:tcPr>
          <w:p>
            <w:pPr>
              <w:ind w:left="7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57,416</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631,576</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635,147</w:t>
            </w:r>
          </w:p>
        </w:tc>
        <w:tc>
          <w:tcPr>
            <w:tcW w:w="100" w:type="dxa"/>
            <w:vAlign w:val="bottom"/>
            <w:shd w:val="clear" w:color="auto" w:fill="CCECFF"/>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Cowboy Parent LLC</w:t>
            </w:r>
          </w:p>
        </w:tc>
        <w:tc>
          <w:tcPr>
            <w:tcW w:w="920" w:type="dxa"/>
            <w:vAlign w:val="bottom"/>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80"/>
              <w:spacing w:after="0"/>
              <w:rPr>
                <w:sz w:val="20"/>
                <w:szCs w:val="20"/>
                <w:color w:val="auto"/>
              </w:rPr>
            </w:pPr>
            <w:r>
              <w:rPr>
                <w:rFonts w:ascii="Arial" w:cs="Arial" w:eastAsia="Arial" w:hAnsi="Arial"/>
                <w:sz w:val="11"/>
                <w:szCs w:val="11"/>
                <w:color w:val="auto"/>
                <w:w w:val="94"/>
              </w:rPr>
              <w:t>Distribution</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22,500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2,250,000</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1,902,358</w:t>
            </w:r>
          </w:p>
        </w:tc>
        <w:tc>
          <w:tcPr>
            <w:tcW w:w="100" w:type="dxa"/>
            <w:vAlign w:val="bottom"/>
          </w:tcPr>
          <w:p>
            <w:pPr>
              <w:spacing w:after="0"/>
              <w:rPr>
                <w:sz w:val="12"/>
                <w:szCs w:val="12"/>
                <w:color w:val="auto"/>
              </w:rPr>
            </w:pPr>
          </w:p>
        </w:tc>
      </w:tr>
      <w:tr>
        <w:trPr>
          <w:trHeight w:val="131"/>
        </w:trPr>
        <w:tc>
          <w:tcPr>
            <w:tcW w:w="3040" w:type="dxa"/>
            <w:vAlign w:val="bottom"/>
          </w:tcPr>
          <w:p>
            <w:pPr>
              <w:ind w:left="140"/>
              <w:spacing w:after="0"/>
              <w:rPr>
                <w:sz w:val="20"/>
                <w:szCs w:val="20"/>
                <w:color w:val="auto"/>
              </w:rPr>
            </w:pPr>
            <w:r>
              <w:rPr>
                <w:rFonts w:ascii="Arial" w:cs="Arial" w:eastAsia="Arial" w:hAnsi="Arial"/>
                <w:sz w:val="11"/>
                <w:szCs w:val="11"/>
                <w:color w:val="auto"/>
              </w:rPr>
              <w:t>(Blackhawk Industrial Distribution, Inc.)</w:t>
            </w:r>
          </w:p>
        </w:tc>
        <w:tc>
          <w:tcPr>
            <w:tcW w:w="9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Crane 1 Acquisition Parent Holdings, L.P.</w:t>
            </w:r>
          </w:p>
        </w:tc>
        <w:tc>
          <w:tcPr>
            <w:tcW w:w="920" w:type="dxa"/>
            <w:vAlign w:val="bottom"/>
            <w:shd w:val="clear" w:color="auto" w:fill="CCECFF"/>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6"/>
              </w:rPr>
              <w:t>Personal, Food and Miscellaneous Services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CFF"/>
          </w:tcPr>
          <w:p>
            <w:pPr>
              <w:ind w:left="7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113</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104,000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104,001</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Crash Champion Holdings, LLC </w:t>
            </w:r>
            <w:r>
              <w:rPr>
                <w:rFonts w:ascii="Arial" w:cs="Arial" w:eastAsia="Arial" w:hAnsi="Arial"/>
                <w:sz w:val="9"/>
                <w:szCs w:val="9"/>
                <w:color w:val="auto"/>
              </w:rPr>
              <w:t>(9)</w:t>
            </w:r>
          </w:p>
        </w:tc>
        <w:tc>
          <w:tcPr>
            <w:tcW w:w="920" w:type="dxa"/>
            <w:vAlign w:val="bottom"/>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80"/>
              <w:spacing w:after="0"/>
              <w:rPr>
                <w:sz w:val="20"/>
                <w:szCs w:val="20"/>
                <w:color w:val="auto"/>
              </w:rPr>
            </w:pPr>
            <w:r>
              <w:rPr>
                <w:rFonts w:ascii="Arial" w:cs="Arial" w:eastAsia="Arial" w:hAnsi="Arial"/>
                <w:sz w:val="11"/>
                <w:szCs w:val="11"/>
                <w:color w:val="auto"/>
                <w:w w:val="90"/>
              </w:rPr>
              <w:t>Auto Sector</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36</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327,778</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369,273</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Delta InvestCo LP (Sigma Defense Systems, LLC) </w:t>
            </w:r>
            <w:r>
              <w:rPr>
                <w:rFonts w:ascii="Arial" w:cs="Arial" w:eastAsia="Arial" w:hAnsi="Arial"/>
                <w:sz w:val="9"/>
                <w:szCs w:val="9"/>
                <w:color w:val="auto"/>
              </w:rPr>
              <w:t>(9)</w:t>
            </w:r>
          </w:p>
        </w:tc>
        <w:tc>
          <w:tcPr>
            <w:tcW w:w="920" w:type="dxa"/>
            <w:vAlign w:val="bottom"/>
            <w:shd w:val="clear" w:color="auto" w:fill="CCECFF"/>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9"/>
              </w:rPr>
              <w:t>Telecommunications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CFF"/>
          </w:tcPr>
          <w:p>
            <w:pPr>
              <w:ind w:left="7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570,522</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570,522</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488,103</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Delta InvestCo LP (Sigma Defense Systems, LLC) </w:t>
            </w:r>
            <w:r>
              <w:rPr>
                <w:rFonts w:ascii="Arial" w:cs="Arial" w:eastAsia="Arial" w:hAnsi="Arial"/>
                <w:sz w:val="9"/>
                <w:szCs w:val="9"/>
                <w:color w:val="auto"/>
              </w:rPr>
              <w:t>(7), (9)</w:t>
            </w:r>
          </w:p>
        </w:tc>
        <w:tc>
          <w:tcPr>
            <w:tcW w:w="920" w:type="dxa"/>
            <w:vAlign w:val="bottom"/>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1"/>
                <w:szCs w:val="11"/>
                <w:color w:val="auto"/>
                <w:w w:val="89"/>
              </w:rPr>
              <w:t>Telecommunications</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570,522</w:t>
            </w:r>
          </w:p>
        </w:tc>
        <w:tc>
          <w:tcPr>
            <w:tcW w:w="2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(82,419)</w:t>
            </w: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ECM Investors, LLC </w:t>
            </w:r>
            <w:r>
              <w:rPr>
                <w:rFonts w:ascii="Arial" w:cs="Arial" w:eastAsia="Arial" w:hAnsi="Arial"/>
                <w:sz w:val="9"/>
                <w:szCs w:val="9"/>
                <w:color w:val="auto"/>
              </w:rPr>
              <w:t>(9)</w:t>
            </w:r>
          </w:p>
        </w:tc>
        <w:tc>
          <w:tcPr>
            <w:tcW w:w="920" w:type="dxa"/>
            <w:vAlign w:val="bottom"/>
            <w:shd w:val="clear" w:color="auto" w:fill="CCECFF"/>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92"/>
              </w:rPr>
              <w:t>Electronics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CFF"/>
          </w:tcPr>
          <w:p>
            <w:pPr>
              <w:ind w:left="7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167,537</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40,735</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564,506</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eCommission Holding Corporation </w:t>
            </w:r>
            <w:r>
              <w:rPr>
                <w:rFonts w:ascii="Arial" w:cs="Arial" w:eastAsia="Arial" w:hAnsi="Arial"/>
                <w:sz w:val="9"/>
                <w:szCs w:val="9"/>
                <w:color w:val="auto"/>
              </w:rPr>
              <w:t>(11)</w:t>
            </w:r>
          </w:p>
        </w:tc>
        <w:tc>
          <w:tcPr>
            <w:tcW w:w="920" w:type="dxa"/>
            <w:vAlign w:val="bottom"/>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1"/>
                <w:szCs w:val="11"/>
                <w:color w:val="auto"/>
                <w:w w:val="87"/>
              </w:rPr>
              <w:t>Financial Services</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1,004,625</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1,152,560</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FedHC InvestCo LP </w:t>
            </w:r>
            <w:r>
              <w:rPr>
                <w:rFonts w:ascii="Arial" w:cs="Arial" w:eastAsia="Arial" w:hAnsi="Arial"/>
                <w:sz w:val="9"/>
                <w:szCs w:val="9"/>
                <w:color w:val="auto"/>
              </w:rPr>
              <w:t>(9)</w:t>
            </w:r>
          </w:p>
        </w:tc>
        <w:tc>
          <w:tcPr>
            <w:tcW w:w="920" w:type="dxa"/>
            <w:vAlign w:val="bottom"/>
            <w:shd w:val="clear" w:color="auto" w:fill="CCECFF"/>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CFF"/>
          </w:tcPr>
          <w:p>
            <w:pPr>
              <w:ind w:left="7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3,331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333,128</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338,986</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FedHC InvestCo LP </w:t>
            </w:r>
            <w:r>
              <w:rPr>
                <w:rFonts w:ascii="Arial" w:cs="Arial" w:eastAsia="Arial" w:hAnsi="Arial"/>
                <w:sz w:val="9"/>
                <w:szCs w:val="9"/>
                <w:color w:val="auto"/>
              </w:rPr>
              <w:t>(7),(9)</w:t>
            </w:r>
          </w:p>
        </w:tc>
        <w:tc>
          <w:tcPr>
            <w:tcW w:w="920" w:type="dxa"/>
            <w:vAlign w:val="bottom"/>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4,072</w:t>
            </w:r>
          </w:p>
        </w:tc>
        <w:tc>
          <w:tcPr>
            <w:tcW w:w="2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Gauge Lash Coinvest LLC</w:t>
            </w:r>
          </w:p>
        </w:tc>
        <w:tc>
          <w:tcPr>
            <w:tcW w:w="920" w:type="dxa"/>
            <w:vAlign w:val="bottom"/>
            <w:shd w:val="clear" w:color="auto" w:fill="CCECFF"/>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8"/>
              </w:rPr>
              <w:t>Consumer Products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CFF"/>
          </w:tcPr>
          <w:p>
            <w:pPr>
              <w:ind w:left="7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889,376</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135,598</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3,557,503</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Gauge Schlesinger Coinvest, LLC</w:t>
            </w:r>
          </w:p>
        </w:tc>
        <w:tc>
          <w:tcPr>
            <w:tcW w:w="920" w:type="dxa"/>
            <w:vAlign w:val="bottom"/>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9</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8,896</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8,944</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Gauge TVC Coinvest, LLC</w:t>
            </w:r>
          </w:p>
        </w:tc>
        <w:tc>
          <w:tcPr>
            <w:tcW w:w="920" w:type="dxa"/>
            <w:vAlign w:val="bottom"/>
            <w:shd w:val="clear" w:color="auto" w:fill="CCECFF"/>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7"/>
              </w:rPr>
              <w:t>Transportation</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CFF"/>
          </w:tcPr>
          <w:p>
            <w:pPr>
              <w:ind w:left="7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810,645</w:t>
            </w:r>
          </w:p>
        </w:tc>
        <w:tc>
          <w:tcPr>
            <w:tcW w:w="2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2,662,736</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shd w:val="clear" w:color="auto" w:fill="CCECFF"/>
          </w:tcPr>
          <w:p>
            <w:pPr>
              <w:ind w:left="140"/>
              <w:spacing w:after="0"/>
              <w:rPr>
                <w:sz w:val="20"/>
                <w:szCs w:val="20"/>
                <w:color w:val="auto"/>
              </w:rPr>
            </w:pPr>
            <w:r>
              <w:rPr>
                <w:rFonts w:ascii="Arial" w:cs="Arial" w:eastAsia="Arial" w:hAnsi="Arial"/>
                <w:sz w:val="11"/>
                <w:szCs w:val="11"/>
                <w:color w:val="auto"/>
              </w:rPr>
              <w:t>(TVC Enterprises, LLC)</w:t>
            </w:r>
          </w:p>
        </w:tc>
        <w:tc>
          <w:tcPr>
            <w:tcW w:w="92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GCOM InvestCo LP </w:t>
            </w:r>
            <w:r>
              <w:rPr>
                <w:rFonts w:ascii="Arial" w:cs="Arial" w:eastAsia="Arial" w:hAnsi="Arial"/>
                <w:sz w:val="9"/>
                <w:szCs w:val="9"/>
                <w:color w:val="auto"/>
              </w:rPr>
              <w:t>(9)</w:t>
            </w:r>
          </w:p>
        </w:tc>
        <w:tc>
          <w:tcPr>
            <w:tcW w:w="920" w:type="dxa"/>
            <w:vAlign w:val="bottom"/>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1,855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809,488</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351,789</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GCOM InvestCo LP </w:t>
            </w:r>
            <w:r>
              <w:rPr>
                <w:rFonts w:ascii="Arial" w:cs="Arial" w:eastAsia="Arial" w:hAnsi="Arial"/>
                <w:sz w:val="9"/>
                <w:szCs w:val="9"/>
                <w:color w:val="auto"/>
              </w:rPr>
              <w:t>(7),(9)</w:t>
            </w:r>
          </w:p>
        </w:tc>
        <w:tc>
          <w:tcPr>
            <w:tcW w:w="920" w:type="dxa"/>
            <w:vAlign w:val="bottom"/>
            <w:shd w:val="clear" w:color="auto" w:fill="CCECFF"/>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CFF"/>
          </w:tcPr>
          <w:p>
            <w:pPr>
              <w:ind w:left="7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965</w:t>
            </w:r>
          </w:p>
        </w:tc>
        <w:tc>
          <w:tcPr>
            <w:tcW w:w="2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Go Dawgs Capital III, LP</w:t>
            </w:r>
          </w:p>
        </w:tc>
        <w:tc>
          <w:tcPr>
            <w:tcW w:w="920" w:type="dxa"/>
            <w:vAlign w:val="bottom"/>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1"/>
                <w:szCs w:val="11"/>
                <w:color w:val="auto"/>
                <w:w w:val="94"/>
              </w:rPr>
              <w:t>Building Materials</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675,325</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675,325</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844,156</w:t>
            </w:r>
          </w:p>
        </w:tc>
        <w:tc>
          <w:tcPr>
            <w:tcW w:w="100" w:type="dxa"/>
            <w:vAlign w:val="bottom"/>
          </w:tcPr>
          <w:p>
            <w:pPr>
              <w:spacing w:after="0"/>
              <w:rPr>
                <w:sz w:val="12"/>
                <w:szCs w:val="12"/>
                <w:color w:val="auto"/>
              </w:rPr>
            </w:pPr>
          </w:p>
        </w:tc>
      </w:tr>
      <w:tr>
        <w:trPr>
          <w:trHeight w:val="131"/>
        </w:trPr>
        <w:tc>
          <w:tcPr>
            <w:tcW w:w="3040" w:type="dxa"/>
            <w:vAlign w:val="bottom"/>
          </w:tcPr>
          <w:p>
            <w:pPr>
              <w:ind w:left="140"/>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9"/>
                <w:szCs w:val="9"/>
                <w:color w:val="auto"/>
              </w:rPr>
              <w:t>(9)</w:t>
            </w:r>
          </w:p>
        </w:tc>
        <w:tc>
          <w:tcPr>
            <w:tcW w:w="9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Green Veracity Holdings, LP - Class A</w:t>
            </w:r>
          </w:p>
        </w:tc>
        <w:tc>
          <w:tcPr>
            <w:tcW w:w="920" w:type="dxa"/>
            <w:vAlign w:val="bottom"/>
            <w:shd w:val="clear" w:color="auto" w:fill="CCECFF"/>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CFF"/>
          </w:tcPr>
          <w:p>
            <w:pPr>
              <w:ind w:left="7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1,500,000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5,319,880</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shd w:val="clear" w:color="auto" w:fill="CCECFF"/>
          </w:tcPr>
          <w:p>
            <w:pPr>
              <w:ind w:left="140"/>
              <w:spacing w:after="0"/>
              <w:rPr>
                <w:sz w:val="20"/>
                <w:szCs w:val="20"/>
                <w:color w:val="auto"/>
              </w:rPr>
            </w:pPr>
            <w:r>
              <w:rPr>
                <w:rFonts w:ascii="Arial" w:cs="Arial" w:eastAsia="Arial" w:hAnsi="Arial"/>
                <w:sz w:val="11"/>
                <w:szCs w:val="11"/>
                <w:color w:val="auto"/>
              </w:rPr>
              <w:t>(VT Topco, Inc.)</w:t>
            </w:r>
          </w:p>
        </w:tc>
        <w:tc>
          <w:tcPr>
            <w:tcW w:w="92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Hancock Claims Consultants Investors, LLC </w:t>
            </w:r>
            <w:r>
              <w:rPr>
                <w:rFonts w:ascii="Arial" w:cs="Arial" w:eastAsia="Arial" w:hAnsi="Arial"/>
                <w:sz w:val="9"/>
                <w:szCs w:val="9"/>
                <w:color w:val="auto"/>
              </w:rPr>
              <w:t>(9)</w:t>
            </w:r>
          </w:p>
        </w:tc>
        <w:tc>
          <w:tcPr>
            <w:tcW w:w="920" w:type="dxa"/>
            <w:vAlign w:val="bottom"/>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1"/>
                <w:szCs w:val="11"/>
                <w:color w:val="auto"/>
                <w:w w:val="86"/>
              </w:rPr>
              <w:t>Insurance</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450,000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450,000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613,335</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Infogroup Parent Holdings, Inc. (Data Axle, Inc.)</w:t>
            </w:r>
          </w:p>
        </w:tc>
        <w:tc>
          <w:tcPr>
            <w:tcW w:w="920" w:type="dxa"/>
            <w:vAlign w:val="bottom"/>
            <w:shd w:val="clear" w:color="auto" w:fill="CCECFF"/>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9"/>
              </w:rPr>
              <w:t>Other Media</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CFF"/>
          </w:tcPr>
          <w:p>
            <w:pPr>
              <w:ind w:left="7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181,495</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2,040,000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3,220,546</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Ironclad Holdco, LLC (Applied Technical Services, LLC) </w:t>
            </w:r>
            <w:r>
              <w:rPr>
                <w:rFonts w:ascii="Arial" w:cs="Arial" w:eastAsia="Arial" w:hAnsi="Arial"/>
                <w:sz w:val="9"/>
                <w:szCs w:val="9"/>
                <w:color w:val="auto"/>
              </w:rPr>
              <w:t>(9)</w:t>
            </w:r>
          </w:p>
        </w:tc>
        <w:tc>
          <w:tcPr>
            <w:tcW w:w="920" w:type="dxa"/>
            <w:vAlign w:val="bottom"/>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1"/>
                <w:szCs w:val="11"/>
                <w:color w:val="auto"/>
                <w:w w:val="88"/>
              </w:rPr>
              <w:t>Environmental Services</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3,960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389,697</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433,917</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ITC Rumba, LLC (Cano Health, LLC) </w:t>
            </w:r>
            <w:r>
              <w:rPr>
                <w:rFonts w:ascii="Arial" w:cs="Arial" w:eastAsia="Arial" w:hAnsi="Arial"/>
                <w:sz w:val="9"/>
                <w:szCs w:val="9"/>
                <w:color w:val="auto"/>
              </w:rPr>
              <w:t>(9)</w:t>
            </w:r>
          </w:p>
        </w:tc>
        <w:tc>
          <w:tcPr>
            <w:tcW w:w="920" w:type="dxa"/>
            <w:vAlign w:val="bottom"/>
            <w:shd w:val="clear" w:color="auto" w:fill="CCECFF"/>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CFF"/>
          </w:tcPr>
          <w:p>
            <w:pPr>
              <w:ind w:left="7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375,675</w:t>
            </w:r>
          </w:p>
        </w:tc>
        <w:tc>
          <w:tcPr>
            <w:tcW w:w="2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60,807,873</w:t>
            </w:r>
          </w:p>
        </w:tc>
        <w:tc>
          <w:tcPr>
            <w:tcW w:w="100" w:type="dxa"/>
            <w:vAlign w:val="bottom"/>
            <w:shd w:val="clear" w:color="auto" w:fill="CCECFF"/>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JWC-WE Holdings, L.P.</w:t>
            </w:r>
          </w:p>
        </w:tc>
        <w:tc>
          <w:tcPr>
            <w:tcW w:w="920" w:type="dxa"/>
            <w:vAlign w:val="bottom"/>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1"/>
                <w:szCs w:val="11"/>
                <w:color w:val="auto"/>
                <w:w w:val="91"/>
              </w:rPr>
              <w:t>Home and Office Furnishings</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1,906,433</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6,616,373</w:t>
            </w:r>
          </w:p>
        </w:tc>
        <w:tc>
          <w:tcPr>
            <w:tcW w:w="100" w:type="dxa"/>
            <w:vAlign w:val="bottom"/>
          </w:tcPr>
          <w:p>
            <w:pPr>
              <w:spacing w:after="0"/>
              <w:rPr>
                <w:sz w:val="12"/>
                <w:szCs w:val="12"/>
                <w:color w:val="auto"/>
              </w:rPr>
            </w:pPr>
          </w:p>
        </w:tc>
      </w:tr>
      <w:tr>
        <w:trPr>
          <w:trHeight w:val="131"/>
        </w:trPr>
        <w:tc>
          <w:tcPr>
            <w:tcW w:w="3040" w:type="dxa"/>
            <w:vAlign w:val="bottom"/>
          </w:tcPr>
          <w:p>
            <w:pPr>
              <w:ind w:left="140"/>
              <w:spacing w:after="0"/>
              <w:rPr>
                <w:sz w:val="20"/>
                <w:szCs w:val="20"/>
                <w:color w:val="auto"/>
              </w:rPr>
            </w:pPr>
            <w:r>
              <w:rPr>
                <w:rFonts w:ascii="Arial" w:cs="Arial" w:eastAsia="Arial" w:hAnsi="Arial"/>
                <w:sz w:val="11"/>
                <w:szCs w:val="11"/>
                <w:color w:val="auto"/>
              </w:rPr>
              <w:t xml:space="preserve">(Walker Edison Furniture Company LLC) </w:t>
            </w:r>
            <w:r>
              <w:rPr>
                <w:rFonts w:ascii="Arial" w:cs="Arial" w:eastAsia="Arial" w:hAnsi="Arial"/>
                <w:sz w:val="9"/>
                <w:szCs w:val="9"/>
                <w:color w:val="auto"/>
              </w:rPr>
              <w:t>(9)</w:t>
            </w:r>
          </w:p>
        </w:tc>
        <w:tc>
          <w:tcPr>
            <w:tcW w:w="9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Kadmon Holdings, Inc. </w:t>
            </w:r>
            <w:r>
              <w:rPr>
                <w:rFonts w:ascii="Arial" w:cs="Arial" w:eastAsia="Arial" w:hAnsi="Arial"/>
                <w:sz w:val="9"/>
                <w:szCs w:val="9"/>
                <w:color w:val="auto"/>
              </w:rPr>
              <w:t>(5)</w:t>
            </w:r>
          </w:p>
        </w:tc>
        <w:tc>
          <w:tcPr>
            <w:tcW w:w="920" w:type="dxa"/>
            <w:vAlign w:val="bottom"/>
            <w:shd w:val="clear" w:color="auto" w:fill="CCECFF"/>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CFF"/>
          </w:tcPr>
          <w:p>
            <w:pPr>
              <w:ind w:left="7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252,014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2,265,639</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2,195,042</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Kentucky Racing Holdco, LLC (Warrants) </w:t>
            </w:r>
            <w:r>
              <w:rPr>
                <w:rFonts w:ascii="Arial" w:cs="Arial" w:eastAsia="Arial" w:hAnsi="Arial"/>
                <w:sz w:val="9"/>
                <w:szCs w:val="9"/>
                <w:color w:val="auto"/>
              </w:rPr>
              <w:t>(9)</w:t>
            </w:r>
          </w:p>
        </w:tc>
        <w:tc>
          <w:tcPr>
            <w:tcW w:w="920" w:type="dxa"/>
            <w:vAlign w:val="bottom"/>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1"/>
                <w:szCs w:val="11"/>
                <w:color w:val="auto"/>
                <w:w w:val="88"/>
              </w:rPr>
              <w:t>Hotels, Motels, Inns and Gaming</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161,252</w:t>
            </w:r>
          </w:p>
        </w:tc>
        <w:tc>
          <w:tcPr>
            <w:tcW w:w="2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1,147,039</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KL Stockton Co-Invest LP (Any Hour Services) </w:t>
            </w:r>
            <w:r>
              <w:rPr>
                <w:rFonts w:ascii="Arial" w:cs="Arial" w:eastAsia="Arial" w:hAnsi="Arial"/>
                <w:sz w:val="9"/>
                <w:szCs w:val="9"/>
                <w:color w:val="auto"/>
              </w:rPr>
              <w:t>(9)</w:t>
            </w:r>
          </w:p>
        </w:tc>
        <w:tc>
          <w:tcPr>
            <w:tcW w:w="920" w:type="dxa"/>
            <w:vAlign w:val="bottom"/>
            <w:shd w:val="clear" w:color="auto" w:fill="CCECFF"/>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6"/>
              </w:rPr>
              <w:t>Personal, Food and Miscellaneous Services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CFF"/>
          </w:tcPr>
          <w:p>
            <w:pPr>
              <w:ind w:left="7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382,353</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382,353</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382,353</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Lariat ecoserv Co-Invest Holdings, LLC </w:t>
            </w:r>
            <w:r>
              <w:rPr>
                <w:rFonts w:ascii="Arial" w:cs="Arial" w:eastAsia="Arial" w:hAnsi="Arial"/>
                <w:sz w:val="9"/>
                <w:szCs w:val="9"/>
                <w:color w:val="auto"/>
              </w:rPr>
              <w:t>(9)</w:t>
            </w:r>
          </w:p>
        </w:tc>
        <w:tc>
          <w:tcPr>
            <w:tcW w:w="920" w:type="dxa"/>
            <w:vAlign w:val="bottom"/>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1"/>
                <w:szCs w:val="11"/>
                <w:color w:val="auto"/>
                <w:w w:val="88"/>
              </w:rPr>
              <w:t>Environmental Services</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363,656</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363,656</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1,043,693</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Lightspeed Investment Holdco LLC</w:t>
            </w:r>
          </w:p>
        </w:tc>
        <w:tc>
          <w:tcPr>
            <w:tcW w:w="920" w:type="dxa"/>
            <w:vAlign w:val="bottom"/>
            <w:shd w:val="clear" w:color="auto" w:fill="CCECFF"/>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CFF"/>
          </w:tcPr>
          <w:p>
            <w:pPr>
              <w:ind w:left="7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273,143</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273,143</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314,579</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Mars Intermidiate Holdings II, Inc.</w:t>
            </w:r>
          </w:p>
        </w:tc>
        <w:tc>
          <w:tcPr>
            <w:tcW w:w="920" w:type="dxa"/>
            <w:vAlign w:val="bottom"/>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80"/>
              <w:spacing w:after="0"/>
              <w:rPr>
                <w:sz w:val="20"/>
                <w:szCs w:val="20"/>
                <w:color w:val="auto"/>
              </w:rPr>
            </w:pPr>
            <w:r>
              <w:rPr>
                <w:rFonts w:ascii="Arial" w:cs="Arial" w:eastAsia="Arial" w:hAnsi="Arial"/>
                <w:sz w:val="11"/>
                <w:szCs w:val="11"/>
                <w:color w:val="auto"/>
                <w:w w:val="93"/>
              </w:rPr>
              <w:t>Media</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414</w:t>
            </w:r>
          </w:p>
        </w:tc>
        <w:tc>
          <w:tcPr>
            <w:tcW w:w="2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169,217</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9"/>
                <w:szCs w:val="9"/>
                <w:color w:val="auto"/>
              </w:rPr>
              <w:t>(9)</w:t>
            </w:r>
          </w:p>
        </w:tc>
        <w:tc>
          <w:tcPr>
            <w:tcW w:w="920" w:type="dxa"/>
            <w:vAlign w:val="bottom"/>
            <w:shd w:val="clear" w:color="auto" w:fill="CCECFF"/>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93"/>
              </w:rPr>
              <w:t>Media</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CFF"/>
          </w:tcPr>
          <w:p>
            <w:pPr>
              <w:ind w:left="7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540</w:t>
            </w:r>
          </w:p>
        </w:tc>
        <w:tc>
          <w:tcPr>
            <w:tcW w:w="2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126,202</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Municipal Emergency Services, Inc.</w:t>
            </w:r>
          </w:p>
        </w:tc>
        <w:tc>
          <w:tcPr>
            <w:tcW w:w="920" w:type="dxa"/>
            <w:vAlign w:val="bottom"/>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80"/>
              <w:spacing w:after="0"/>
              <w:rPr>
                <w:sz w:val="20"/>
                <w:szCs w:val="20"/>
                <w:color w:val="auto"/>
              </w:rPr>
            </w:pPr>
            <w:r>
              <w:rPr>
                <w:rFonts w:ascii="Arial" w:cs="Arial" w:eastAsia="Arial" w:hAnsi="Arial"/>
                <w:sz w:val="11"/>
                <w:szCs w:val="11"/>
                <w:color w:val="auto"/>
                <w:w w:val="94"/>
              </w:rPr>
              <w:t>Distribution</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1,593,514</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1,593,514</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1,593,514</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NEPRT Parent Holdings, LLC (Recteq, LLC) </w:t>
            </w:r>
            <w:r>
              <w:rPr>
                <w:rFonts w:ascii="Arial" w:cs="Arial" w:eastAsia="Arial" w:hAnsi="Arial"/>
                <w:sz w:val="9"/>
                <w:szCs w:val="9"/>
                <w:color w:val="auto"/>
              </w:rPr>
              <w:t>(9)</w:t>
            </w:r>
          </w:p>
        </w:tc>
        <w:tc>
          <w:tcPr>
            <w:tcW w:w="920" w:type="dxa"/>
            <w:vAlign w:val="bottom"/>
            <w:shd w:val="clear" w:color="auto" w:fill="CCECFF"/>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8"/>
              </w:rPr>
              <w:t>Consumer Products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CFF"/>
          </w:tcPr>
          <w:p>
            <w:pPr>
              <w:ind w:left="7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1,299</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1,262,435</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1,536,711</w:t>
            </w:r>
          </w:p>
        </w:tc>
        <w:tc>
          <w:tcPr>
            <w:tcW w:w="100" w:type="dxa"/>
            <w:vAlign w:val="bottom"/>
            <w:shd w:val="clear" w:color="auto" w:fill="CCECFF"/>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NXOF Holdings, Inc.</w:t>
            </w:r>
          </w:p>
        </w:tc>
        <w:tc>
          <w:tcPr>
            <w:tcW w:w="920" w:type="dxa"/>
            <w:vAlign w:val="bottom"/>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3,261</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3,261</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186,421</w:t>
            </w:r>
          </w:p>
        </w:tc>
        <w:tc>
          <w:tcPr>
            <w:tcW w:w="100" w:type="dxa"/>
            <w:vAlign w:val="bottom"/>
          </w:tcPr>
          <w:p>
            <w:pPr>
              <w:spacing w:after="0"/>
              <w:rPr>
                <w:sz w:val="12"/>
                <w:szCs w:val="12"/>
                <w:color w:val="auto"/>
              </w:rPr>
            </w:pPr>
          </w:p>
        </w:tc>
      </w:tr>
      <w:tr>
        <w:trPr>
          <w:trHeight w:val="131"/>
        </w:trPr>
        <w:tc>
          <w:tcPr>
            <w:tcW w:w="3040" w:type="dxa"/>
            <w:vAlign w:val="bottom"/>
          </w:tcPr>
          <w:p>
            <w:pPr>
              <w:ind w:left="140"/>
              <w:spacing w:after="0"/>
              <w:rPr>
                <w:sz w:val="20"/>
                <w:szCs w:val="20"/>
                <w:color w:val="auto"/>
              </w:rPr>
            </w:pPr>
            <w:r>
              <w:rPr>
                <w:rFonts w:ascii="Arial" w:cs="Arial" w:eastAsia="Arial" w:hAnsi="Arial"/>
                <w:sz w:val="11"/>
                <w:szCs w:val="11"/>
                <w:color w:val="auto"/>
              </w:rPr>
              <w:t>(Tyto Athene, LLC)</w:t>
            </w:r>
          </w:p>
        </w:tc>
        <w:tc>
          <w:tcPr>
            <w:tcW w:w="9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OceanSound Discovery Equity, LP</w:t>
            </w:r>
          </w:p>
        </w:tc>
        <w:tc>
          <w:tcPr>
            <w:tcW w:w="920" w:type="dxa"/>
            <w:vAlign w:val="bottom"/>
            <w:shd w:val="clear" w:color="auto" w:fill="CCECFF"/>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CFF"/>
          </w:tcPr>
          <w:p>
            <w:pPr>
              <w:ind w:left="7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98,286</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978,695</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1,624,567</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(Holdco Sands Intermediate, LLC) </w:t>
            </w:r>
            <w:r>
              <w:rPr>
                <w:rFonts w:ascii="Arial" w:cs="Arial" w:eastAsia="Arial" w:hAnsi="Arial"/>
                <w:sz w:val="9"/>
                <w:szCs w:val="9"/>
                <w:color w:val="auto"/>
              </w:rPr>
              <w:t>(9)</w:t>
            </w:r>
          </w:p>
        </w:tc>
        <w:tc>
          <w:tcPr>
            <w:tcW w:w="92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Oral Surgery (ITC) Holdings, LLC </w:t>
            </w:r>
            <w:r>
              <w:rPr>
                <w:rFonts w:ascii="Arial" w:cs="Arial" w:eastAsia="Arial" w:hAnsi="Arial"/>
                <w:sz w:val="9"/>
                <w:szCs w:val="9"/>
                <w:color w:val="auto"/>
              </w:rPr>
              <w:t>(9)</w:t>
            </w:r>
          </w:p>
        </w:tc>
        <w:tc>
          <w:tcPr>
            <w:tcW w:w="920" w:type="dxa"/>
            <w:vAlign w:val="bottom"/>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2,904</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62,500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62,501</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ORL Holdco, Inc.</w:t>
            </w:r>
          </w:p>
        </w:tc>
        <w:tc>
          <w:tcPr>
            <w:tcW w:w="920" w:type="dxa"/>
            <w:vAlign w:val="bottom"/>
            <w:shd w:val="clear" w:color="auto" w:fill="CCECFF"/>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CFF"/>
          </w:tcPr>
          <w:p>
            <w:pPr>
              <w:ind w:left="7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638</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6,385</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6,385</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9"/>
                <w:szCs w:val="9"/>
                <w:color w:val="auto"/>
              </w:rPr>
              <w:t>(9)</w:t>
            </w:r>
          </w:p>
        </w:tc>
        <w:tc>
          <w:tcPr>
            <w:tcW w:w="920" w:type="dxa"/>
            <w:vAlign w:val="bottom"/>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65,957</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365,036</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9"/>
                <w:szCs w:val="9"/>
                <w:color w:val="auto"/>
              </w:rPr>
              <w:t>(7),(9)</w:t>
            </w:r>
          </w:p>
        </w:tc>
        <w:tc>
          <w:tcPr>
            <w:tcW w:w="920" w:type="dxa"/>
            <w:vAlign w:val="bottom"/>
            <w:shd w:val="clear" w:color="auto" w:fill="CCECFF"/>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CFF"/>
          </w:tcPr>
          <w:p>
            <w:pPr>
              <w:ind w:left="7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967</w:t>
            </w:r>
          </w:p>
        </w:tc>
        <w:tc>
          <w:tcPr>
            <w:tcW w:w="2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QuantiTech InvestCo II LP </w:t>
            </w:r>
            <w:r>
              <w:rPr>
                <w:rFonts w:ascii="Arial" w:cs="Arial" w:eastAsia="Arial" w:hAnsi="Arial"/>
                <w:sz w:val="9"/>
                <w:szCs w:val="9"/>
                <w:color w:val="auto"/>
              </w:rPr>
              <w:t>(9)</w:t>
            </w:r>
          </w:p>
        </w:tc>
        <w:tc>
          <w:tcPr>
            <w:tcW w:w="920" w:type="dxa"/>
            <w:vAlign w:val="bottom"/>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24,000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20,625</w:t>
            </w: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RFMG Parent, LP (Rancho Health MSO, Inc.)</w:t>
            </w:r>
          </w:p>
        </w:tc>
        <w:tc>
          <w:tcPr>
            <w:tcW w:w="920" w:type="dxa"/>
            <w:vAlign w:val="bottom"/>
            <w:shd w:val="clear" w:color="auto" w:fill="CCECFF"/>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CFF"/>
          </w:tcPr>
          <w:p>
            <w:pPr>
              <w:ind w:left="7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1,050,000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1,050,000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1,253,055</w:t>
            </w:r>
          </w:p>
        </w:tc>
        <w:tc>
          <w:tcPr>
            <w:tcW w:w="100" w:type="dxa"/>
            <w:vAlign w:val="bottom"/>
            <w:shd w:val="clear" w:color="auto" w:fill="CCECFF"/>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SBI Holdings Investments LLC</w:t>
            </w:r>
          </w:p>
        </w:tc>
        <w:tc>
          <w:tcPr>
            <w:tcW w:w="920" w:type="dxa"/>
            <w:vAlign w:val="bottom"/>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36,585</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365,854</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278,256</w:t>
            </w:r>
          </w:p>
        </w:tc>
        <w:tc>
          <w:tcPr>
            <w:tcW w:w="100" w:type="dxa"/>
            <w:vAlign w:val="bottom"/>
          </w:tcPr>
          <w:p>
            <w:pPr>
              <w:spacing w:after="0"/>
              <w:rPr>
                <w:sz w:val="12"/>
                <w:szCs w:val="12"/>
                <w:color w:val="auto"/>
              </w:rPr>
            </w:pPr>
          </w:p>
        </w:tc>
      </w:tr>
      <w:tr>
        <w:trPr>
          <w:trHeight w:val="131"/>
        </w:trPr>
        <w:tc>
          <w:tcPr>
            <w:tcW w:w="3040" w:type="dxa"/>
            <w:vAlign w:val="bottom"/>
          </w:tcPr>
          <w:p>
            <w:pPr>
              <w:ind w:left="140"/>
              <w:spacing w:after="0"/>
              <w:rPr>
                <w:sz w:val="20"/>
                <w:szCs w:val="20"/>
                <w:color w:val="auto"/>
              </w:rPr>
            </w:pPr>
            <w:r>
              <w:rPr>
                <w:rFonts w:ascii="Arial" w:cs="Arial" w:eastAsia="Arial" w:hAnsi="Arial"/>
                <w:sz w:val="11"/>
                <w:szCs w:val="11"/>
                <w:color w:val="auto"/>
              </w:rPr>
              <w:t>(Sales Benchmark Index LLC)</w:t>
            </w:r>
          </w:p>
        </w:tc>
        <w:tc>
          <w:tcPr>
            <w:tcW w:w="9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Signature CR Intermediate Holdco, Inc.</w:t>
            </w:r>
          </w:p>
        </w:tc>
        <w:tc>
          <w:tcPr>
            <w:tcW w:w="920" w:type="dxa"/>
            <w:vAlign w:val="bottom"/>
            <w:shd w:val="clear" w:color="auto" w:fill="CCECFF"/>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8"/>
              </w:rPr>
              <w:t>Chemicals, Plastics and Rubber</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CFF"/>
          </w:tcPr>
          <w:p>
            <w:pPr>
              <w:ind w:left="7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80,370</w:t>
            </w:r>
          </w:p>
        </w:tc>
        <w:tc>
          <w:tcPr>
            <w:tcW w:w="22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SSC Dominion Holdings, LLC</w:t>
            </w:r>
          </w:p>
        </w:tc>
        <w:tc>
          <w:tcPr>
            <w:tcW w:w="920" w:type="dxa"/>
            <w:vAlign w:val="bottom"/>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1"/>
                <w:szCs w:val="11"/>
                <w:color w:val="auto"/>
                <w:w w:val="92"/>
              </w:rPr>
              <w:t>Electronics</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1,500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1,500,000</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1,889,568</w:t>
            </w:r>
          </w:p>
        </w:tc>
        <w:tc>
          <w:tcPr>
            <w:tcW w:w="100" w:type="dxa"/>
            <w:vAlign w:val="bottom"/>
          </w:tcPr>
          <w:p>
            <w:pPr>
              <w:spacing w:after="0"/>
              <w:rPr>
                <w:sz w:val="12"/>
                <w:szCs w:val="12"/>
                <w:color w:val="auto"/>
              </w:rPr>
            </w:pPr>
          </w:p>
        </w:tc>
      </w:tr>
      <w:tr>
        <w:trPr>
          <w:trHeight w:val="131"/>
        </w:trPr>
        <w:tc>
          <w:tcPr>
            <w:tcW w:w="3040" w:type="dxa"/>
            <w:vAlign w:val="bottom"/>
          </w:tcPr>
          <w:p>
            <w:pPr>
              <w:ind w:left="140"/>
              <w:spacing w:after="0"/>
              <w:rPr>
                <w:sz w:val="20"/>
                <w:szCs w:val="20"/>
                <w:color w:val="auto"/>
              </w:rPr>
            </w:pPr>
            <w:r>
              <w:rPr>
                <w:rFonts w:ascii="Arial" w:cs="Arial" w:eastAsia="Arial" w:hAnsi="Arial"/>
                <w:sz w:val="11"/>
                <w:szCs w:val="11"/>
                <w:color w:val="auto"/>
              </w:rPr>
              <w:t>Class A (US Dominion, Inc.)</w:t>
            </w:r>
          </w:p>
        </w:tc>
        <w:tc>
          <w:tcPr>
            <w:tcW w:w="9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SSC Dominion Holdings, LLC</w:t>
            </w:r>
          </w:p>
        </w:tc>
        <w:tc>
          <w:tcPr>
            <w:tcW w:w="920" w:type="dxa"/>
            <w:vAlign w:val="bottom"/>
            <w:shd w:val="clear" w:color="auto" w:fill="CCECFF"/>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92"/>
              </w:rPr>
              <w:t>Electronics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CFF"/>
          </w:tcPr>
          <w:p>
            <w:pPr>
              <w:ind w:left="7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w:t>
            </w:r>
          </w:p>
        </w:tc>
        <w:tc>
          <w:tcPr>
            <w:tcW w:w="2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3,534,020</w:t>
            </w:r>
          </w:p>
        </w:tc>
        <w:tc>
          <w:tcPr>
            <w:tcW w:w="100" w:type="dxa"/>
            <w:vAlign w:val="bottom"/>
            <w:shd w:val="clear" w:color="auto" w:fill="CCECFF"/>
          </w:tcPr>
          <w:p>
            <w:pPr>
              <w:spacing w:after="0"/>
              <w:rPr>
                <w:sz w:val="11"/>
                <w:szCs w:val="11"/>
                <w:color w:val="auto"/>
              </w:rPr>
            </w:pPr>
          </w:p>
        </w:tc>
      </w:tr>
      <w:tr>
        <w:trPr>
          <w:trHeight w:val="135"/>
        </w:trPr>
        <w:tc>
          <w:tcPr>
            <w:tcW w:w="3040" w:type="dxa"/>
            <w:vAlign w:val="bottom"/>
            <w:shd w:val="clear" w:color="auto" w:fill="CCECFF"/>
          </w:tcPr>
          <w:p>
            <w:pPr>
              <w:ind w:left="140"/>
              <w:spacing w:after="0"/>
              <w:rPr>
                <w:sz w:val="20"/>
                <w:szCs w:val="20"/>
                <w:color w:val="auto"/>
              </w:rPr>
            </w:pPr>
            <w:r>
              <w:rPr>
                <w:rFonts w:ascii="Arial" w:cs="Arial" w:eastAsia="Arial" w:hAnsi="Arial"/>
                <w:sz w:val="11"/>
                <w:szCs w:val="11"/>
                <w:color w:val="auto"/>
              </w:rPr>
              <w:t>Class B (US Dominion, Inc.)</w:t>
            </w:r>
          </w:p>
        </w:tc>
        <w:tc>
          <w:tcPr>
            <w:tcW w:w="92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40"/>
        </w:trPr>
        <w:tc>
          <w:tcPr>
            <w:tcW w:w="3040" w:type="dxa"/>
            <w:vAlign w:val="bottom"/>
          </w:tcPr>
          <w:p>
            <w:pPr>
              <w:spacing w:after="0"/>
              <w:rPr>
                <w:sz w:val="20"/>
                <w:szCs w:val="20"/>
                <w:color w:val="auto"/>
              </w:rPr>
            </w:pPr>
            <w:r>
              <w:rPr>
                <w:rFonts w:ascii="Arial" w:cs="Arial" w:eastAsia="Arial" w:hAnsi="Arial"/>
                <w:sz w:val="11"/>
                <w:szCs w:val="11"/>
                <w:color w:val="auto"/>
              </w:rPr>
              <w:t>StellPen Holdings, LLC (CF512, Inc.)</w:t>
            </w:r>
          </w:p>
        </w:tc>
        <w:tc>
          <w:tcPr>
            <w:tcW w:w="920" w:type="dxa"/>
            <w:vAlign w:val="bottom"/>
          </w:tcPr>
          <w:p>
            <w:pPr>
              <w:ind w:left="36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80"/>
              <w:spacing w:after="0"/>
              <w:rPr>
                <w:sz w:val="20"/>
                <w:szCs w:val="20"/>
                <w:color w:val="auto"/>
              </w:rPr>
            </w:pPr>
            <w:r>
              <w:rPr>
                <w:rFonts w:ascii="Arial" w:cs="Arial" w:eastAsia="Arial" w:hAnsi="Arial"/>
                <w:sz w:val="11"/>
                <w:szCs w:val="11"/>
                <w:color w:val="auto"/>
                <w:w w:val="93"/>
              </w:rPr>
              <w:t>Media</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7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153,846</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153,846</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153,846</w:t>
            </w:r>
          </w:p>
        </w:tc>
        <w:tc>
          <w:tcPr>
            <w:tcW w:w="10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83"/>
              </w:rPr>
              <w:t>Basis Point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Maturity /</w:t>
            </w: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Spread Above</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9"/>
              </w:rPr>
              <w:t>Expiration</w:t>
            </w:r>
          </w:p>
        </w:tc>
        <w:tc>
          <w:tcPr>
            <w:tcW w:w="240" w:type="dxa"/>
            <w:vAlign w:val="bottom"/>
          </w:tcPr>
          <w:p>
            <w:pPr>
              <w:spacing w:after="0"/>
              <w:rPr>
                <w:sz w:val="11"/>
                <w:szCs w:val="11"/>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11"/>
                <w:szCs w:val="11"/>
                <w:color w:val="auto"/>
              </w:rPr>
            </w:pPr>
          </w:p>
        </w:tc>
        <w:tc>
          <w:tcPr>
            <w:tcW w:w="6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Coupon</w:t>
            </w:r>
          </w:p>
        </w:tc>
        <w:tc>
          <w:tcPr>
            <w:tcW w:w="280" w:type="dxa"/>
            <w:vAlign w:val="bottom"/>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w w:val="92"/>
              </w:rPr>
              <w:t>Shares</w:t>
            </w: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9"/>
                <w:szCs w:val="9"/>
                <w:b w:val="1"/>
                <w:bCs w:val="1"/>
                <w:color w:val="auto"/>
                <w:w w:val="89"/>
              </w:rPr>
              <w:t>(3)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Pr>
          <w:p>
            <w:pPr>
              <w:spacing w:after="0"/>
              <w:rPr>
                <w:sz w:val="20"/>
                <w:szCs w:val="20"/>
                <w:color w:val="auto"/>
              </w:rPr>
            </w:pPr>
            <w:r>
              <w:rPr>
                <w:rFonts w:ascii="Arial" w:cs="Arial" w:eastAsia="Arial" w:hAnsi="Arial"/>
                <w:sz w:val="11"/>
                <w:szCs w:val="11"/>
                <w:color w:val="auto"/>
              </w:rPr>
              <w:t xml:space="preserve">TAC LifePort Holdings,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232,558</w:t>
            </w:r>
          </w:p>
        </w:tc>
        <w:tc>
          <w:tcPr>
            <w:tcW w:w="3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232,554</w:t>
            </w:r>
          </w:p>
        </w:tc>
        <w:tc>
          <w:tcPr>
            <w:tcW w:w="2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259,757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9"/>
                <w:szCs w:val="9"/>
                <w:color w:val="auto"/>
              </w:rPr>
              <w:t>(8). (11)</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Food</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11,527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11,527</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32,967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20"/>
                <w:szCs w:val="20"/>
                <w:color w:val="auto"/>
              </w:rPr>
            </w:pPr>
            <w:r>
              <w:rPr>
                <w:rFonts w:ascii="Arial" w:cs="Arial" w:eastAsia="Arial" w:hAnsi="Arial"/>
                <w:sz w:val="11"/>
                <w:szCs w:val="11"/>
                <w:color w:val="auto"/>
              </w:rPr>
              <w:t>TWD Parent Holdings, LLC (The Vertex Companies,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608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608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U.S. Well Services, Inc. - Class A </w:t>
            </w:r>
            <w:r>
              <w:rPr>
                <w:rFonts w:ascii="Arial" w:cs="Arial" w:eastAsia="Arial" w:hAnsi="Arial"/>
                <w:sz w:val="9"/>
                <w:szCs w:val="9"/>
                <w:color w:val="auto"/>
              </w:rPr>
              <w:t>(5), (11)</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1,261,201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3,021,880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914,497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20"/>
                <w:szCs w:val="20"/>
                <w:color w:val="auto"/>
              </w:rPr>
            </w:pPr>
            <w:r>
              <w:rPr>
                <w:rFonts w:ascii="Arial" w:cs="Arial" w:eastAsia="Arial" w:hAnsi="Arial"/>
                <w:sz w:val="11"/>
                <w:szCs w:val="11"/>
                <w:color w:val="auto"/>
              </w:rPr>
              <w:t>UniVista Insurance</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400,000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405,264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Wildcat Parent, LP (Wildcat Buyerco, Inc.)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2,314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231,400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411,287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960" w:type="dxa"/>
            <w:vAlign w:val="bottom"/>
          </w:tcPr>
          <w:p>
            <w:pPr>
              <w:spacing w:after="0"/>
              <w:rPr>
                <w:sz w:val="20"/>
                <w:szCs w:val="20"/>
                <w:color w:val="auto"/>
              </w:rPr>
            </w:pPr>
            <w:r>
              <w:rPr>
                <w:rFonts w:ascii="Arial" w:cs="Arial" w:eastAsia="Arial" w:hAnsi="Arial"/>
                <w:sz w:val="11"/>
                <w:szCs w:val="11"/>
                <w:color w:val="auto"/>
              </w:rPr>
              <w:t>ZS Juniper L.P.</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Personal, Food and Miscellaneous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1,056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1,056,250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5,226,979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960" w:type="dxa"/>
            <w:vAlign w:val="bottom"/>
            <w:tcBorders>
              <w:bottom w:val="single" w:sz="8" w:color="CCECFF"/>
            </w:tcBorders>
          </w:tcPr>
          <w:p>
            <w:pPr>
              <w:ind w:left="140"/>
              <w:spacing w:after="0"/>
              <w:rPr>
                <w:sz w:val="20"/>
                <w:szCs w:val="20"/>
                <w:color w:val="auto"/>
              </w:rPr>
            </w:pPr>
            <w:r>
              <w:rPr>
                <w:rFonts w:ascii="Arial" w:cs="Arial" w:eastAsia="Arial" w:hAnsi="Arial"/>
                <w:sz w:val="11"/>
                <w:szCs w:val="11"/>
                <w:color w:val="auto"/>
              </w:rPr>
              <w:t xml:space="preserve">(Juniper Landscaping of Florida, LLC) </w:t>
            </w:r>
            <w:r>
              <w:rPr>
                <w:rFonts w:ascii="Arial" w:cs="Arial" w:eastAsia="Arial" w:hAnsi="Arial"/>
                <w:sz w:val="9"/>
                <w:szCs w:val="9"/>
                <w:color w:val="auto"/>
              </w:rPr>
              <w:t>(9)</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Common Equity/Partnership Interests/Warrants</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35,535,722</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118,981,523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20" w:type="dxa"/>
            <w:vAlign w:val="bottom"/>
            <w:tcBorders>
              <w:bottom w:val="single" w:sz="8" w:color="CCECFF"/>
            </w:tcBorders>
            <w:gridSpan w:val="4"/>
          </w:tcPr>
          <w:p>
            <w:pPr>
              <w:spacing w:after="0"/>
              <w:rPr>
                <w:sz w:val="20"/>
                <w:szCs w:val="20"/>
                <w:color w:val="auto"/>
              </w:rPr>
            </w:pPr>
            <w:r>
              <w:rPr>
                <w:rFonts w:ascii="Arial" w:cs="Arial" w:eastAsia="Arial" w:hAnsi="Arial"/>
                <w:sz w:val="11"/>
                <w:szCs w:val="11"/>
                <w:b w:val="1"/>
                <w:bCs w:val="1"/>
                <w:color w:val="auto"/>
              </w:rPr>
              <w:t>Total Investments in Non-Controlled, Non-Affiliated Portfolio Companies</w:t>
            </w: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729,811,369</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820,500,111</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820" w:type="dxa"/>
            <w:vAlign w:val="bottom"/>
            <w:gridSpan w:val="4"/>
            <w:shd w:val="clear" w:color="auto" w:fill="CCECFF"/>
          </w:tcPr>
          <w:p>
            <w:pPr>
              <w:spacing w:after="0"/>
              <w:rPr>
                <w:sz w:val="20"/>
                <w:szCs w:val="20"/>
                <w:color w:val="auto"/>
              </w:rPr>
            </w:pPr>
            <w:r>
              <w:rPr>
                <w:rFonts w:ascii="Arial" w:cs="Arial" w:eastAsia="Arial" w:hAnsi="Arial"/>
                <w:sz w:val="11"/>
                <w:szCs w:val="11"/>
                <w:b w:val="1"/>
                <w:bCs w:val="1"/>
                <w:color w:val="auto"/>
                <w:w w:val="97"/>
              </w:rPr>
              <w:t xml:space="preserve">Investments in Non-Controlled, Affiliated Portfolio Companies—7.6% </w:t>
            </w:r>
            <w:r>
              <w:rPr>
                <w:rFonts w:ascii="Arial" w:cs="Arial" w:eastAsia="Arial" w:hAnsi="Arial"/>
                <w:sz w:val="9"/>
                <w:szCs w:val="9"/>
                <w:b w:val="1"/>
                <w:bCs w:val="1"/>
                <w:color w:val="auto"/>
                <w:w w:val="97"/>
              </w:rPr>
              <w:t>(1), (2)</w:t>
            </w: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20"/>
                <w:szCs w:val="20"/>
                <w:color w:val="auto"/>
              </w:rPr>
            </w:pPr>
            <w:r>
              <w:rPr>
                <w:rFonts w:ascii="Arial" w:cs="Arial" w:eastAsia="Arial" w:hAnsi="Arial"/>
                <w:sz w:val="11"/>
                <w:szCs w:val="11"/>
                <w:b w:val="1"/>
                <w:bCs w:val="1"/>
                <w:color w:val="auto"/>
              </w:rPr>
              <w:t xml:space="preserve">Preferred Equity/Partnership Interests—6.2% </w:t>
            </w:r>
            <w:r>
              <w:rPr>
                <w:rFonts w:ascii="Arial" w:cs="Arial" w:eastAsia="Arial" w:hAnsi="Arial"/>
                <w:sz w:val="9"/>
                <w:szCs w:val="9"/>
                <w:b w:val="1"/>
                <w:bCs w:val="1"/>
                <w:color w:val="auto"/>
              </w:rPr>
              <w:t>(6)</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ETX Energy,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61,732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6,173,200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20"/>
                <w:szCs w:val="20"/>
                <w:color w:val="auto"/>
              </w:rPr>
            </w:pPr>
            <w:r>
              <w:rPr>
                <w:rFonts w:ascii="Arial" w:cs="Arial" w:eastAsia="Arial" w:hAnsi="Arial"/>
                <w:sz w:val="11"/>
                <w:szCs w:val="11"/>
                <w:color w:val="auto"/>
              </w:rPr>
              <w:t xml:space="preserve">ETX Energy, LLC - Series X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10,944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1,094,400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MidOcean JF Holdings Corp.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153,922</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15,392,189</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41,022,520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Preferred Equity/Partnership Interests</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22,659,789</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41,022,520</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w w:val="98"/>
              </w:rPr>
              <w:t xml:space="preserve">Common Equity/Partnership Interests/Warrants—1.4% </w:t>
            </w:r>
            <w:r>
              <w:rPr>
                <w:rFonts w:ascii="Arial" w:cs="Arial" w:eastAsia="Arial" w:hAnsi="Arial"/>
                <w:sz w:val="9"/>
                <w:szCs w:val="9"/>
                <w:b w:val="1"/>
                <w:bCs w:val="1"/>
                <w:color w:val="auto"/>
                <w:w w:val="98"/>
              </w:rPr>
              <w:t>(6)</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20"/>
                <w:szCs w:val="20"/>
                <w:color w:val="auto"/>
              </w:rPr>
            </w:pPr>
            <w:r>
              <w:rPr>
                <w:rFonts w:ascii="Arial" w:cs="Arial" w:eastAsia="Arial" w:hAnsi="Arial"/>
                <w:sz w:val="11"/>
                <w:szCs w:val="11"/>
                <w:color w:val="auto"/>
              </w:rPr>
              <w:t xml:space="preserve">ETX Energy,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1,658,389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29,711,576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ETX Energy Management Company,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1,754,104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1,562,020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6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MidOcean JF Holdings Corp.</w:t>
            </w:r>
          </w:p>
        </w:tc>
        <w:tc>
          <w:tcPr>
            <w:tcW w:w="12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94"/>
              </w:rPr>
              <w:t>Distribution</w:t>
            </w:r>
          </w:p>
        </w:tc>
        <w:tc>
          <w:tcPr>
            <w:tcW w:w="940" w:type="dxa"/>
            <w:vAlign w:val="bottom"/>
            <w:tcBorders>
              <w:bottom w:val="single" w:sz="8" w:color="CCECFF"/>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65,933</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24,789,935</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9,138,871</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Common Equity/Partnership Interests/Warrants</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56,063,531</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9,138,871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20" w:type="dxa"/>
            <w:vAlign w:val="bottom"/>
            <w:tcBorders>
              <w:bottom w:val="single" w:sz="8" w:color="CCECFF"/>
            </w:tcBorders>
            <w:gridSpan w:val="4"/>
          </w:tcPr>
          <w:p>
            <w:pPr>
              <w:spacing w:after="0"/>
              <w:rPr>
                <w:sz w:val="20"/>
                <w:szCs w:val="20"/>
                <w:color w:val="auto"/>
              </w:rPr>
            </w:pPr>
            <w:r>
              <w:rPr>
                <w:rFonts w:ascii="Arial" w:cs="Arial" w:eastAsia="Arial" w:hAnsi="Arial"/>
                <w:sz w:val="11"/>
                <w:szCs w:val="11"/>
                <w:b w:val="1"/>
                <w:bCs w:val="1"/>
                <w:color w:val="auto"/>
              </w:rPr>
              <w:t>Total Investments in Non-Controlled, Affiliated Portfolio Companies</w:t>
            </w: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78,723,320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50,161,391</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20" w:type="dxa"/>
            <w:vAlign w:val="bottom"/>
            <w:gridSpan w:val="4"/>
            <w:shd w:val="clear" w:color="auto" w:fill="CCECFF"/>
          </w:tcPr>
          <w:p>
            <w:pPr>
              <w:spacing w:after="0"/>
              <w:rPr>
                <w:sz w:val="20"/>
                <w:szCs w:val="20"/>
                <w:color w:val="auto"/>
              </w:rPr>
            </w:pPr>
            <w:r>
              <w:rPr>
                <w:rFonts w:ascii="Arial" w:cs="Arial" w:eastAsia="Arial" w:hAnsi="Arial"/>
                <w:sz w:val="11"/>
                <w:szCs w:val="11"/>
                <w:b w:val="1"/>
                <w:bCs w:val="1"/>
                <w:color w:val="auto"/>
              </w:rPr>
              <w:t xml:space="preserve">Investments in Controlled, Affiliated Portfolio Companies—58.3% </w:t>
            </w:r>
            <w:r>
              <w:rPr>
                <w:rFonts w:ascii="Arial" w:cs="Arial" w:eastAsia="Arial" w:hAnsi="Arial"/>
                <w:sz w:val="9"/>
                <w:szCs w:val="9"/>
                <w:b w:val="1"/>
                <w:bCs w:val="1"/>
                <w:color w:val="auto"/>
              </w:rPr>
              <w:t>(1), (2)</w:t>
            </w: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20"/>
                <w:szCs w:val="20"/>
                <w:color w:val="auto"/>
              </w:rPr>
            </w:pPr>
            <w:r>
              <w:rPr>
                <w:rFonts w:ascii="Arial" w:cs="Arial" w:eastAsia="Arial" w:hAnsi="Arial"/>
                <w:sz w:val="11"/>
                <w:szCs w:val="11"/>
                <w:b w:val="1"/>
                <w:bCs w:val="1"/>
                <w:color w:val="auto"/>
              </w:rPr>
              <w:t>First Lien Secured Debt—6.2%</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AKW Holdings Limited </w:t>
            </w:r>
            <w:r>
              <w:rPr>
                <w:rFonts w:ascii="Arial" w:cs="Arial" w:eastAsia="Arial" w:hAnsi="Arial"/>
                <w:sz w:val="9"/>
                <w:szCs w:val="9"/>
                <w:color w:val="auto"/>
              </w:rPr>
              <w:t>(8), (10), (11)</w:t>
            </w:r>
          </w:p>
        </w:tc>
        <w:tc>
          <w:tcPr>
            <w:tcW w:w="62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87"/>
              </w:rPr>
              <w:t>03/13/2024</w:t>
            </w:r>
          </w:p>
        </w:tc>
        <w:tc>
          <w:tcPr>
            <w:tcW w:w="240" w:type="dxa"/>
            <w:vAlign w:val="bottom"/>
            <w:shd w:val="clear" w:color="auto" w:fill="CCECFF"/>
          </w:tcPr>
          <w:p>
            <w:pPr>
              <w:spacing w:after="0"/>
              <w:rPr>
                <w:sz w:val="11"/>
                <w:szCs w:val="11"/>
                <w:color w:val="auto"/>
              </w:rPr>
            </w:pP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7.50%</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L+700</w:t>
            </w:r>
          </w:p>
        </w:tc>
        <w:tc>
          <w:tcPr>
            <w:tcW w:w="3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30,500,000</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42,389,025</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41,124,675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6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42,389,025</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41,124,675</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Second Lien Secured Debt—10.6%</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960" w:type="dxa"/>
            <w:vAlign w:val="bottom"/>
          </w:tcPr>
          <w:p>
            <w:pPr>
              <w:spacing w:after="0"/>
              <w:rPr>
                <w:sz w:val="20"/>
                <w:szCs w:val="20"/>
                <w:color w:val="auto"/>
              </w:rPr>
            </w:pPr>
            <w:r>
              <w:rPr>
                <w:rFonts w:ascii="Arial" w:cs="Arial" w:eastAsia="Arial" w:hAnsi="Arial"/>
                <w:sz w:val="11"/>
                <w:szCs w:val="11"/>
                <w:color w:val="auto"/>
              </w:rPr>
              <w:t>Mailsouth Inc.</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04/23/2025</w:t>
            </w:r>
          </w:p>
        </w:tc>
        <w:tc>
          <w:tcPr>
            <w:tcW w:w="240" w:type="dxa"/>
            <w:vAlign w:val="bottom"/>
          </w:tcPr>
          <w:p>
            <w:pPr>
              <w:spacing w:after="0"/>
              <w:rPr>
                <w:sz w:val="12"/>
                <w:szCs w:val="12"/>
                <w:color w:val="auto"/>
              </w:rPr>
            </w:pPr>
          </w:p>
        </w:tc>
        <w:tc>
          <w:tcPr>
            <w:tcW w:w="270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Printing and Publishing</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15.00%</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94"/>
              </w:rPr>
              <w:t>11,086,944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11,086,944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11,086,944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15.00%)</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PT Network Intermediate Holdings, LLC</w:t>
            </w:r>
          </w:p>
        </w:tc>
        <w:tc>
          <w:tcPr>
            <w:tcW w:w="62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87"/>
              </w:rPr>
              <w:t>11/30/2024</w:t>
            </w:r>
          </w:p>
        </w:tc>
        <w:tc>
          <w:tcPr>
            <w:tcW w:w="240" w:type="dxa"/>
            <w:vAlign w:val="bottom"/>
            <w:shd w:val="clear" w:color="auto" w:fill="CCECFF"/>
          </w:tcPr>
          <w:p>
            <w:pPr>
              <w:spacing w:after="0"/>
              <w:rPr>
                <w:sz w:val="11"/>
                <w:szCs w:val="11"/>
                <w:color w:val="auto"/>
              </w:rPr>
            </w:pP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11.00%</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L+1,000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58,581,522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58,276,260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58,581,522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11.00%)</w:t>
            </w: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69,363,204</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69,668,466</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Subordinated Debt—9.7%</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 xml:space="preserve">PennantPark Senior Loan Fund, LLC </w:t>
            </w:r>
            <w:r>
              <w:rPr>
                <w:rFonts w:ascii="Arial" w:cs="Arial" w:eastAsia="Arial" w:hAnsi="Arial"/>
                <w:sz w:val="9"/>
                <w:szCs w:val="9"/>
                <w:color w:val="auto"/>
              </w:rPr>
              <w:t>(11)</w:t>
            </w:r>
          </w:p>
        </w:tc>
        <w:tc>
          <w:tcPr>
            <w:tcW w:w="620" w:type="dxa"/>
            <w:vAlign w:val="bottom"/>
            <w:tcBorders>
              <w:bottom w:val="single" w:sz="8" w:color="CCECFF"/>
            </w:tcBorders>
            <w:gridSpan w:val="2"/>
          </w:tcPr>
          <w:p>
            <w:pPr>
              <w:ind w:left="120"/>
              <w:spacing w:after="0"/>
              <w:rPr>
                <w:sz w:val="20"/>
                <w:szCs w:val="20"/>
                <w:color w:val="auto"/>
              </w:rPr>
            </w:pPr>
            <w:r>
              <w:rPr>
                <w:rFonts w:ascii="Arial" w:cs="Arial" w:eastAsia="Arial" w:hAnsi="Arial"/>
                <w:sz w:val="11"/>
                <w:szCs w:val="11"/>
                <w:color w:val="auto"/>
                <w:w w:val="87"/>
              </w:rPr>
              <w:t>07/31/2027</w:t>
            </w:r>
          </w:p>
        </w:tc>
        <w:tc>
          <w:tcPr>
            <w:tcW w:w="240" w:type="dxa"/>
            <w:vAlign w:val="bottom"/>
            <w:tcBorders>
              <w:bottom w:val="single" w:sz="8" w:color="CCECFF"/>
            </w:tcBorders>
          </w:tcPr>
          <w:p>
            <w:pPr>
              <w:spacing w:after="0"/>
              <w:rPr>
                <w:sz w:val="11"/>
                <w:szCs w:val="11"/>
                <w:color w:val="auto"/>
              </w:rPr>
            </w:pPr>
          </w:p>
        </w:tc>
        <w:tc>
          <w:tcPr>
            <w:tcW w:w="270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9"/>
              </w:rPr>
              <w:t>Financial Services</w:t>
            </w:r>
          </w:p>
        </w:tc>
        <w:tc>
          <w:tcPr>
            <w:tcW w:w="94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1"/>
                <w:szCs w:val="11"/>
                <w:color w:val="auto"/>
              </w:rPr>
              <w:t>9.00%</w:t>
            </w:r>
          </w:p>
        </w:tc>
        <w:tc>
          <w:tcPr>
            <w:tcW w:w="84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3M L+800</w:t>
            </w: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w w:val="94"/>
              </w:rPr>
              <w:t>64,154,570</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64,154,570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64,154,570</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Subordinated Debt</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64,154,570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64,154,570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Pr>
          <w:p>
            <w:pPr>
              <w:spacing w:after="0"/>
              <w:rPr>
                <w:sz w:val="20"/>
                <w:szCs w:val="20"/>
                <w:color w:val="auto"/>
              </w:rPr>
            </w:pPr>
            <w:r>
              <w:rPr>
                <w:rFonts w:ascii="Arial" w:cs="Arial" w:eastAsia="Arial" w:hAnsi="Arial"/>
                <w:sz w:val="11"/>
                <w:szCs w:val="11"/>
                <w:b w:val="1"/>
                <w:bCs w:val="1"/>
                <w:color w:val="auto"/>
              </w:rPr>
              <w:t xml:space="preserve">Preferred Equity—2.0% </w:t>
            </w:r>
            <w:r>
              <w:rPr>
                <w:rFonts w:ascii="Arial" w:cs="Arial" w:eastAsia="Arial" w:hAnsi="Arial"/>
                <w:sz w:val="9"/>
                <w:szCs w:val="9"/>
                <w:b w:val="1"/>
                <w:bCs w:val="1"/>
                <w:color w:val="auto"/>
              </w:rPr>
              <w:t>(6)</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CI (PTN) Investment Holdings II,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36,450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546,750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(9)</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70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1"/>
                <w:szCs w:val="11"/>
                <w:color w:val="auto"/>
              </w:rPr>
              <w:t>11.00%</w:t>
            </w:r>
          </w:p>
        </w:tc>
        <w:tc>
          <w:tcPr>
            <w:tcW w:w="84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3M L+1,000</w:t>
            </w: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833</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10,725,000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13,412,023</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Preferred Equity</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11,271,750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13,412,023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60" w:type="dxa"/>
            <w:vAlign w:val="bottom"/>
          </w:tcPr>
          <w:p>
            <w:pPr>
              <w:spacing w:after="0"/>
              <w:rPr>
                <w:sz w:val="20"/>
                <w:szCs w:val="20"/>
                <w:color w:val="auto"/>
              </w:rPr>
            </w:pPr>
            <w:r>
              <w:rPr>
                <w:rFonts w:ascii="Arial" w:cs="Arial" w:eastAsia="Arial" w:hAnsi="Arial"/>
                <w:sz w:val="11"/>
                <w:szCs w:val="11"/>
                <w:b w:val="1"/>
                <w:bCs w:val="1"/>
                <w:color w:val="auto"/>
              </w:rPr>
              <w:t xml:space="preserve">Common Equity—29.7% </w:t>
            </w:r>
            <w:r>
              <w:rPr>
                <w:rFonts w:ascii="Arial" w:cs="Arial" w:eastAsia="Arial" w:hAnsi="Arial"/>
                <w:sz w:val="9"/>
                <w:szCs w:val="9"/>
                <w:b w:val="1"/>
                <w:bCs w:val="1"/>
                <w:color w:val="auto"/>
              </w:rPr>
              <w:t>(6)</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AKW Holdings Limited </w:t>
            </w:r>
            <w:r>
              <w:rPr>
                <w:rFonts w:ascii="Arial" w:cs="Arial" w:eastAsia="Arial" w:hAnsi="Arial"/>
                <w:sz w:val="9"/>
                <w:szCs w:val="9"/>
                <w:color w:val="auto"/>
              </w:rPr>
              <w:t>(8), (10), (11)</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3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132,497</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254,276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960" w:type="dxa"/>
            <w:vAlign w:val="bottom"/>
          </w:tcPr>
          <w:p>
            <w:pPr>
              <w:spacing w:after="0"/>
              <w:rPr>
                <w:sz w:val="20"/>
                <w:szCs w:val="20"/>
                <w:color w:val="auto"/>
              </w:rPr>
            </w:pPr>
            <w:r>
              <w:rPr>
                <w:rFonts w:ascii="Arial" w:cs="Arial" w:eastAsia="Arial" w:hAnsi="Arial"/>
                <w:sz w:val="11"/>
                <w:szCs w:val="11"/>
                <w:color w:val="auto"/>
              </w:rPr>
              <w:t>CI (PTN) Investment Holdings II, LLC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333,333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5,000,000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1"/>
        </w:trPr>
        <w:tc>
          <w:tcPr>
            <w:tcW w:w="2960" w:type="dxa"/>
            <w:vAlign w:val="bottom"/>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MSpark,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Printing and Publishing</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51,151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16,515,842</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11,013,353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20"/>
                <w:szCs w:val="20"/>
                <w:color w:val="auto"/>
              </w:rPr>
            </w:pPr>
            <w:r>
              <w:rPr>
                <w:rFonts w:ascii="Arial" w:cs="Arial" w:eastAsia="Arial" w:hAnsi="Arial"/>
                <w:sz w:val="11"/>
                <w:szCs w:val="11"/>
                <w:color w:val="auto"/>
              </w:rPr>
              <w:t xml:space="preserve">PennantPark Senior Loan Fund, LLC </w:t>
            </w:r>
            <w:r>
              <w:rPr>
                <w:rFonts w:ascii="Arial" w:cs="Arial" w:eastAsia="Arial" w:hAnsi="Arial"/>
                <w:sz w:val="9"/>
                <w:szCs w:val="9"/>
                <w:color w:val="auto"/>
              </w:rPr>
              <w:t>(11)</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Financial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94"/>
              </w:rPr>
              <w:t>33,830,005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33,892,823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41,159,625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7,158,977</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62,131,082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RAM Energy Holdings LLC</w:t>
            </w:r>
          </w:p>
        </w:tc>
        <w:tc>
          <w:tcPr>
            <w:tcW w:w="12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1"/>
                <w:szCs w:val="11"/>
                <w:color w:val="auto"/>
                <w:w w:val="90"/>
              </w:rPr>
              <w:t>Energy and Utilities</w:t>
            </w:r>
          </w:p>
        </w:tc>
        <w:tc>
          <w:tcPr>
            <w:tcW w:w="940" w:type="dxa"/>
            <w:vAlign w:val="bottom"/>
            <w:tcBorders>
              <w:bottom w:val="single" w:sz="8" w:color="CCECFF"/>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180,805</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162,708,073</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81,710,262</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Common Equity</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225,408,212</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196,268,598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w w:val="89"/>
              </w:rPr>
              <w:t>Total Investments in Controlled, Affiliated Portfolio Companies</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412,586,761</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384,628,332</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Investments—190.2%</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88"/>
              </w:rPr>
              <w:t>1,221,121,450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3"/>
              </w:rPr>
              <w:t>1,255,289,834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60" w:type="dxa"/>
            <w:vAlign w:val="bottom"/>
          </w:tcPr>
          <w:p>
            <w:pPr>
              <w:spacing w:after="0"/>
              <w:rPr>
                <w:sz w:val="20"/>
                <w:szCs w:val="20"/>
                <w:color w:val="auto"/>
              </w:rPr>
            </w:pPr>
            <w:r>
              <w:rPr>
                <w:rFonts w:ascii="Arial" w:cs="Arial" w:eastAsia="Arial" w:hAnsi="Arial"/>
                <w:sz w:val="11"/>
                <w:szCs w:val="11"/>
                <w:b w:val="1"/>
                <w:bCs w:val="1"/>
                <w:color w:val="auto"/>
              </w:rPr>
              <w:t>Cash and Cash Equivalents—3.1%</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18,219,519</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18,219,519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BNY Mellon Cash Reserve and Cash</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2,163,440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2,137,497</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20,382,959</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20,357,016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20"/>
                <w:szCs w:val="20"/>
                <w:color w:val="auto"/>
              </w:rPr>
            </w:pPr>
            <w:r>
              <w:rPr>
                <w:rFonts w:ascii="Arial" w:cs="Arial" w:eastAsia="Arial" w:hAnsi="Arial"/>
                <w:sz w:val="11"/>
                <w:szCs w:val="11"/>
                <w:b w:val="1"/>
                <w:bCs w:val="1"/>
                <w:color w:val="auto"/>
              </w:rPr>
              <w:t>Total Investments and Cash Equivalents—193.2%</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w w:val="88"/>
              </w:rPr>
              <w:t>1,241,504,409</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w w:val="93"/>
              </w:rPr>
              <w:t>1,275,646,850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CFF"/>
            </w:tcBorders>
            <w:vMerge w:val="restart"/>
            <w:shd w:val="clear" w:color="auto" w:fill="CCECFF"/>
          </w:tcPr>
          <w:p>
            <w:pPr>
              <w:spacing w:after="0"/>
              <w:rPr>
                <w:sz w:val="20"/>
                <w:szCs w:val="20"/>
                <w:color w:val="auto"/>
              </w:rPr>
            </w:pPr>
            <w:r>
              <w:rPr>
                <w:rFonts w:ascii="Arial" w:cs="Arial" w:eastAsia="Arial" w:hAnsi="Arial"/>
                <w:sz w:val="11"/>
                <w:szCs w:val="11"/>
                <w:b w:val="1"/>
                <w:bCs w:val="1"/>
                <w:color w:val="auto"/>
              </w:rPr>
              <w:t>Liabilities in Excess of Other Assets—(93.2%)</w:t>
            </w: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50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258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66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84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54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960" w:type="dxa"/>
            <w:vAlign w:val="bottom"/>
            <w:vMerge w:val="continue"/>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5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800" w:type="dxa"/>
            <w:vAlign w:val="bottom"/>
            <w:gridSpan w:val="2"/>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rPr>
              <w:t>(615,502,744)</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20"/>
                <w:szCs w:val="20"/>
                <w:color w:val="auto"/>
              </w:rPr>
            </w:pPr>
            <w:r>
              <w:rPr>
                <w:rFonts w:ascii="Arial" w:cs="Arial" w:eastAsia="Arial" w:hAnsi="Arial"/>
                <w:sz w:val="11"/>
                <w:szCs w:val="11"/>
                <w:b w:val="1"/>
                <w:bCs w:val="1"/>
                <w:color w:val="auto"/>
              </w:rPr>
              <w:t>Net Assets—100.0%</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660,144,106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3455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57" w:lineRule="exact"/>
        <w:rPr>
          <w:sz w:val="20"/>
          <w:szCs w:val="20"/>
          <w:color w:val="auto"/>
        </w:rPr>
      </w:pPr>
    </w:p>
    <w:p>
      <w:pPr>
        <w:ind w:left="380" w:hanging="372"/>
        <w:spacing w:after="0" w:line="252" w:lineRule="auto"/>
        <w:tabs>
          <w:tab w:leader="none" w:pos="380" w:val="left"/>
        </w:tabs>
        <w:numPr>
          <w:ilvl w:val="0"/>
          <w:numId w:val="66"/>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66"/>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66"/>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spacing w:after="0" w:line="37" w:lineRule="exact"/>
        <w:rPr>
          <w:rFonts w:ascii="Arial" w:cs="Arial" w:eastAsia="Arial" w:hAnsi="Arial"/>
          <w:sz w:val="12"/>
          <w:szCs w:val="12"/>
          <w:color w:val="auto"/>
        </w:rPr>
      </w:pPr>
    </w:p>
    <w:p>
      <w:pPr>
        <w:ind w:left="380" w:right="120" w:hanging="372"/>
        <w:spacing w:after="0" w:line="269" w:lineRule="auto"/>
        <w:tabs>
          <w:tab w:leader="none" w:pos="380" w:val="left"/>
        </w:tabs>
        <w:numPr>
          <w:ilvl w:val="0"/>
          <w:numId w:val="66"/>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London Interbank Offered Rate, or LIBOR or “L,” the Euro Interbank Offered Rate, or EURIBOR or “E,”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PIK interest and other fee rates, if any.</w:t>
      </w:r>
    </w:p>
    <w:p>
      <w:pPr>
        <w:spacing w:after="0" w:line="13" w:lineRule="exact"/>
        <w:rPr>
          <w:rFonts w:ascii="Arial" w:cs="Arial" w:eastAsia="Arial" w:hAnsi="Arial"/>
          <w:sz w:val="11"/>
          <w:szCs w:val="11"/>
          <w:color w:val="auto"/>
        </w:rPr>
      </w:pPr>
    </w:p>
    <w:p>
      <w:pPr>
        <w:ind w:left="380" w:hanging="372"/>
        <w:spacing w:after="0"/>
        <w:tabs>
          <w:tab w:leader="none" w:pos="380" w:val="left"/>
        </w:tabs>
        <w:numPr>
          <w:ilvl w:val="0"/>
          <w:numId w:val="66"/>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66"/>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66"/>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80" w:hanging="372"/>
        <w:spacing w:after="0"/>
        <w:tabs>
          <w:tab w:leader="none" w:pos="380" w:val="left"/>
        </w:tabs>
        <w:numPr>
          <w:ilvl w:val="0"/>
          <w:numId w:val="66"/>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66"/>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66"/>
        </w:numPr>
        <w:rPr>
          <w:rFonts w:ascii="Arial" w:cs="Arial" w:eastAsia="Arial" w:hAnsi="Arial"/>
          <w:sz w:val="12"/>
          <w:szCs w:val="12"/>
          <w:color w:val="auto"/>
        </w:rPr>
      </w:pPr>
      <w:r>
        <w:rPr>
          <w:rFonts w:ascii="Arial" w:cs="Arial" w:eastAsia="Arial" w:hAnsi="Arial"/>
          <w:sz w:val="12"/>
          <w:szCs w:val="12"/>
          <w:color w:val="auto"/>
        </w:rPr>
        <w:t>Par / Shares amount is denominated in British Pounds (£) as denoted.</w:t>
      </w:r>
    </w:p>
    <w:p>
      <w:pPr>
        <w:spacing w:after="0" w:line="37" w:lineRule="exact"/>
        <w:rPr>
          <w:rFonts w:ascii="Arial" w:cs="Arial" w:eastAsia="Arial" w:hAnsi="Arial"/>
          <w:sz w:val="12"/>
          <w:szCs w:val="12"/>
          <w:color w:val="auto"/>
        </w:rPr>
      </w:pPr>
    </w:p>
    <w:p>
      <w:pPr>
        <w:ind w:left="380" w:right="20" w:hanging="372"/>
        <w:spacing w:after="0" w:line="297" w:lineRule="auto"/>
        <w:tabs>
          <w:tab w:leader="none" w:pos="380" w:val="left"/>
        </w:tabs>
        <w:numPr>
          <w:ilvl w:val="0"/>
          <w:numId w:val="66"/>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2021, qualifying assets represent 88% of the Company’s total assets and non-qualifying assets represent 12% of the Company’s total assets.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7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3"/>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740" w:type="dxa"/>
            <w:vAlign w:val="bottom"/>
          </w:tcPr>
          <w:p>
            <w:pPr>
              <w:spacing w:after="0"/>
              <w:rPr>
                <w:sz w:val="10"/>
                <w:szCs w:val="10"/>
                <w:color w:val="auto"/>
              </w:rPr>
            </w:pPr>
          </w:p>
        </w:tc>
        <w:tc>
          <w:tcPr>
            <w:tcW w:w="1220" w:type="dxa"/>
            <w:vAlign w:val="bottom"/>
          </w:tcPr>
          <w:p>
            <w:pPr>
              <w:ind w:left="480"/>
              <w:spacing w:after="0" w:line="122" w:lineRule="exact"/>
              <w:rPr>
                <w:sz w:val="20"/>
                <w:szCs w:val="20"/>
                <w:color w:val="auto"/>
              </w:rPr>
            </w:pPr>
            <w:r>
              <w:rPr>
                <w:rFonts w:ascii="Arial" w:cs="Arial" w:eastAsia="Arial" w:hAnsi="Arial"/>
                <w:sz w:val="11"/>
                <w:szCs w:val="11"/>
                <w:b w:val="1"/>
                <w:bCs w:val="1"/>
                <w:color w:val="auto"/>
              </w:rPr>
              <w:t>Maturity /</w:t>
            </w: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right"/>
              <w:ind w:right="280"/>
              <w:spacing w:after="0" w:line="122" w:lineRule="exact"/>
              <w:rPr>
                <w:sz w:val="20"/>
                <w:szCs w:val="20"/>
                <w:color w:val="auto"/>
              </w:rPr>
            </w:pPr>
            <w:r>
              <w:rPr>
                <w:rFonts w:ascii="Arial" w:cs="Arial" w:eastAsia="Arial" w:hAnsi="Arial"/>
                <w:sz w:val="11"/>
                <w:szCs w:val="11"/>
                <w:b w:val="1"/>
                <w:bCs w:val="1"/>
                <w:color w:val="auto"/>
              </w:rPr>
              <w:t>Current</w:t>
            </w:r>
          </w:p>
        </w:tc>
        <w:tc>
          <w:tcPr>
            <w:tcW w:w="140" w:type="dxa"/>
            <w:vAlign w:val="bottom"/>
          </w:tcPr>
          <w:p>
            <w:pPr>
              <w:spacing w:after="0"/>
              <w:rPr>
                <w:sz w:val="10"/>
                <w:szCs w:val="10"/>
                <w:color w:val="auto"/>
              </w:rPr>
            </w:pPr>
          </w:p>
        </w:tc>
        <w:tc>
          <w:tcPr>
            <w:tcW w:w="10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Spread Above</w:t>
            </w: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2"/>
              </w:rPr>
              <w:t>Par /</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1220" w:type="dxa"/>
            <w:vAlign w:val="bottom"/>
          </w:tcPr>
          <w:p>
            <w:pPr>
              <w:ind w:left="460"/>
              <w:spacing w:after="0"/>
              <w:rPr>
                <w:sz w:val="20"/>
                <w:szCs w:val="20"/>
                <w:color w:val="auto"/>
              </w:rPr>
            </w:pPr>
            <w:r>
              <w:rPr>
                <w:rFonts w:ascii="Arial" w:cs="Arial" w:eastAsia="Arial" w:hAnsi="Arial"/>
                <w:sz w:val="11"/>
                <w:szCs w:val="11"/>
                <w:b w:val="1"/>
                <w:bCs w:val="1"/>
                <w:color w:val="auto"/>
              </w:rPr>
              <w:t>Expiration</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Industry</w:t>
            </w:r>
          </w:p>
        </w:tc>
        <w:tc>
          <w:tcPr>
            <w:tcW w:w="80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Coupon</w:t>
            </w:r>
          </w:p>
        </w:tc>
        <w:tc>
          <w:tcPr>
            <w:tcW w:w="140" w:type="dxa"/>
            <w:vAlign w:val="bottom"/>
          </w:tcPr>
          <w:p>
            <w:pPr>
              <w:spacing w:after="0"/>
              <w:rPr>
                <w:sz w:val="11"/>
                <w:szCs w:val="11"/>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1"/>
              </w:rPr>
              <w:t>Shares</w:t>
            </w:r>
          </w:p>
        </w:tc>
        <w:tc>
          <w:tcPr>
            <w:tcW w:w="120" w:type="dxa"/>
            <w:vAlign w:val="bottom"/>
          </w:tcPr>
          <w:p>
            <w:pPr>
              <w:spacing w:after="0"/>
              <w:rPr>
                <w:sz w:val="11"/>
                <w:szCs w:val="11"/>
                <w:color w:val="auto"/>
              </w:rPr>
            </w:pPr>
          </w:p>
        </w:tc>
        <w:tc>
          <w:tcPr>
            <w:tcW w:w="560" w:type="dxa"/>
            <w:vAlign w:val="bottom"/>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(3)</w:t>
            </w:r>
          </w:p>
        </w:tc>
      </w:tr>
      <w:tr>
        <w:trPr>
          <w:trHeight w:val="128"/>
        </w:trPr>
        <w:tc>
          <w:tcPr>
            <w:tcW w:w="396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w w:val="92"/>
              </w:rPr>
              <w:t xml:space="preserve">Investments in Non-Controlled, Non-Affiliated Portfolio Companies—139.9% </w:t>
            </w:r>
            <w:r>
              <w:rPr>
                <w:rFonts w:ascii="Arial" w:cs="Arial" w:eastAsia="Arial" w:hAnsi="Arial"/>
                <w:sz w:val="9"/>
                <w:szCs w:val="9"/>
                <w:b w:val="1"/>
                <w:bCs w:val="1"/>
                <w:color w:val="auto"/>
                <w:w w:val="92"/>
              </w:rPr>
              <w:t>(1), (2)</w:t>
            </w:r>
          </w:p>
        </w:tc>
        <w:tc>
          <w:tcPr>
            <w:tcW w:w="256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84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b w:val="1"/>
                <w:bCs w:val="1"/>
                <w:color w:val="auto"/>
              </w:rPr>
              <w:t>First Lien Secured Debt—76.5%</w:t>
            </w:r>
          </w:p>
        </w:tc>
        <w:tc>
          <w:tcPr>
            <w:tcW w:w="1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18 Freemont Street Acquisition, LLC</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08/11/2025</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90"/>
              </w:rPr>
              <w:t>Hotels, Motels, Inns and Gaming</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9.50%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8,302,303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7,543,090</w:t>
            </w:r>
          </w:p>
        </w:tc>
        <w:tc>
          <w:tcPr>
            <w:tcW w:w="340" w:type="dxa"/>
            <w:vAlign w:val="bottom"/>
            <w:gridSpan w:val="2"/>
            <w:shd w:val="clear" w:color="auto" w:fill="CCECFF"/>
          </w:tcPr>
          <w:p>
            <w:pPr>
              <w:jc w:val="right"/>
              <w:ind w:right="6"/>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7,887,188</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Altamira Technologies, LLC (Revolver)</w:t>
            </w:r>
          </w:p>
        </w:tc>
        <w:tc>
          <w:tcPr>
            <w:tcW w:w="1220" w:type="dxa"/>
            <w:vAlign w:val="bottom"/>
          </w:tcPr>
          <w:p>
            <w:pPr>
              <w:ind w:left="460"/>
              <w:spacing w:after="0"/>
              <w:rPr>
                <w:sz w:val="20"/>
                <w:szCs w:val="20"/>
                <w:color w:val="auto"/>
              </w:rPr>
            </w:pPr>
            <w:r>
              <w:rPr>
                <w:rFonts w:ascii="Arial" w:cs="Arial" w:eastAsia="Arial" w:hAnsi="Arial"/>
                <w:sz w:val="11"/>
                <w:szCs w:val="11"/>
                <w:color w:val="auto"/>
              </w:rPr>
              <w:t>07/24/2025</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Aerospace and Defense</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125,000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125,000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120,625</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9"/>
                <w:szCs w:val="9"/>
                <w:color w:val="auto"/>
              </w:rPr>
              <w:t>(7)</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07/24/2025</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6"/>
              </w:rPr>
              <w:t>Aerospace and Defense</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ind w:right="66"/>
              <w:spacing w:after="0"/>
              <w:rPr>
                <w:sz w:val="20"/>
                <w:szCs w:val="20"/>
                <w:color w:val="auto"/>
              </w:rPr>
            </w:pPr>
            <w:r>
              <w:rPr>
                <w:rFonts w:ascii="Arial" w:cs="Arial" w:eastAsia="Arial" w:hAnsi="Arial"/>
                <w:sz w:val="11"/>
                <w:szCs w:val="11"/>
                <w:color w:val="auto"/>
              </w:rPr>
              <w:t>62,500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(2,188)</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American Insulated Glass, LLC</w:t>
            </w:r>
          </w:p>
        </w:tc>
        <w:tc>
          <w:tcPr>
            <w:tcW w:w="1220" w:type="dxa"/>
            <w:vAlign w:val="bottom"/>
          </w:tcPr>
          <w:p>
            <w:pPr>
              <w:ind w:left="460"/>
              <w:spacing w:after="0"/>
              <w:rPr>
                <w:sz w:val="20"/>
                <w:szCs w:val="20"/>
                <w:color w:val="auto"/>
              </w:rPr>
            </w:pPr>
            <w:r>
              <w:rPr>
                <w:rFonts w:ascii="Arial" w:cs="Arial" w:eastAsia="Arial" w:hAnsi="Arial"/>
                <w:sz w:val="11"/>
                <w:szCs w:val="11"/>
                <w:color w:val="auto"/>
              </w:rPr>
              <w:t>12/21/2023</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94"/>
              </w:rPr>
              <w:t>Building Materials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tcPr>
          <w:p>
            <w:pPr>
              <w:jc w:val="right"/>
              <w:spacing w:after="0"/>
              <w:rPr>
                <w:sz w:val="20"/>
                <w:szCs w:val="20"/>
                <w:color w:val="auto"/>
              </w:rPr>
            </w:pPr>
            <w:r>
              <w:rPr>
                <w:rFonts w:ascii="Arial" w:cs="Arial" w:eastAsia="Arial" w:hAnsi="Arial"/>
                <w:sz w:val="11"/>
                <w:szCs w:val="11"/>
                <w:color w:val="auto"/>
              </w:rPr>
              <w:t>15,957,113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15,736,757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15,637,971</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Apex Service Partners, LLC</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07/31/2025</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7"/>
              </w:rPr>
              <w:t>Personal, Food and Miscellaneous Services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178,844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178,844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173,479</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Apex Service Partners, LLC </w:t>
            </w:r>
            <w:r>
              <w:rPr>
                <w:rFonts w:ascii="Arial" w:cs="Arial" w:eastAsia="Arial" w:hAnsi="Arial"/>
                <w:sz w:val="9"/>
                <w:szCs w:val="9"/>
                <w:color w:val="auto"/>
              </w:rPr>
              <w:t>(7)</w:t>
            </w:r>
          </w:p>
        </w:tc>
        <w:tc>
          <w:tcPr>
            <w:tcW w:w="1220" w:type="dxa"/>
            <w:vAlign w:val="bottom"/>
          </w:tcPr>
          <w:p>
            <w:pPr>
              <w:ind w:left="460"/>
              <w:spacing w:after="0"/>
              <w:rPr>
                <w:sz w:val="20"/>
                <w:szCs w:val="20"/>
                <w:color w:val="auto"/>
              </w:rPr>
            </w:pPr>
            <w:r>
              <w:rPr>
                <w:rFonts w:ascii="Arial" w:cs="Arial" w:eastAsia="Arial" w:hAnsi="Arial"/>
                <w:sz w:val="11"/>
                <w:szCs w:val="11"/>
                <w:color w:val="auto"/>
              </w:rPr>
              <w:t>07/31/2021</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87"/>
              </w:rPr>
              <w:t>Personal, Food and Miscellaneous Services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1,165,420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(34,963)</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Bottom Line Systems, LLC</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02/13/2023</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8"/>
              </w:rPr>
              <w:t>Healthcare, Education and Childcare</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6,722,525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6,674,529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6,580,680</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Broder Bros., Co.</w:t>
            </w:r>
          </w:p>
        </w:tc>
        <w:tc>
          <w:tcPr>
            <w:tcW w:w="1220" w:type="dxa"/>
            <w:vAlign w:val="bottom"/>
          </w:tcPr>
          <w:p>
            <w:pPr>
              <w:ind w:left="460"/>
              <w:spacing w:after="0"/>
              <w:rPr>
                <w:sz w:val="20"/>
                <w:szCs w:val="20"/>
                <w:color w:val="auto"/>
              </w:rPr>
            </w:pPr>
            <w:r>
              <w:rPr>
                <w:rFonts w:ascii="Arial" w:cs="Arial" w:eastAsia="Arial" w:hAnsi="Arial"/>
                <w:sz w:val="11"/>
                <w:szCs w:val="11"/>
                <w:color w:val="auto"/>
              </w:rPr>
              <w:t>12/02/2022</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8"/>
              </w:rPr>
              <w:t>Consumer Products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9.75%</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L+850</w:t>
            </w:r>
          </w:p>
        </w:tc>
        <w:tc>
          <w:tcPr>
            <w:tcW w:w="660" w:type="dxa"/>
            <w:vAlign w:val="bottom"/>
          </w:tcPr>
          <w:p>
            <w:pPr>
              <w:jc w:val="right"/>
              <w:spacing w:after="0"/>
              <w:rPr>
                <w:sz w:val="20"/>
                <w:szCs w:val="20"/>
                <w:color w:val="auto"/>
              </w:rPr>
            </w:pPr>
            <w:r>
              <w:rPr>
                <w:rFonts w:ascii="Arial" w:cs="Arial" w:eastAsia="Arial" w:hAnsi="Arial"/>
                <w:sz w:val="11"/>
                <w:szCs w:val="11"/>
                <w:color w:val="auto"/>
              </w:rPr>
              <w:t>25,907,420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25,907,420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23,510,984</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Compex Legal Services, Inc.</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02/09/2026</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3,605,894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3,539,582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3,539,906</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Compex Legal Services, Inc. </w:t>
            </w:r>
            <w:r>
              <w:rPr>
                <w:rFonts w:ascii="Arial" w:cs="Arial" w:eastAsia="Arial" w:hAnsi="Arial"/>
                <w:sz w:val="9"/>
                <w:szCs w:val="9"/>
                <w:color w:val="auto"/>
              </w:rPr>
              <w:t>(7)</w:t>
            </w:r>
          </w:p>
        </w:tc>
        <w:tc>
          <w:tcPr>
            <w:tcW w:w="1220" w:type="dxa"/>
            <w:vAlign w:val="bottom"/>
          </w:tcPr>
          <w:p>
            <w:pPr>
              <w:ind w:left="460"/>
              <w:spacing w:after="0"/>
              <w:rPr>
                <w:sz w:val="20"/>
                <w:szCs w:val="20"/>
                <w:color w:val="auto"/>
              </w:rPr>
            </w:pPr>
            <w:r>
              <w:rPr>
                <w:rFonts w:ascii="Arial" w:cs="Arial" w:eastAsia="Arial" w:hAnsi="Arial"/>
                <w:sz w:val="11"/>
                <w:szCs w:val="11"/>
                <w:color w:val="auto"/>
              </w:rPr>
              <w:t>02/08/2021</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1,549,743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(12,863)</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Compex Legal Services, Inc. (Revolver)</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02/07/2025</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458,962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458,962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450,563</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9"/>
                <w:szCs w:val="9"/>
                <w:color w:val="auto"/>
              </w:rPr>
              <w:t>(7)</w:t>
            </w:r>
          </w:p>
        </w:tc>
        <w:tc>
          <w:tcPr>
            <w:tcW w:w="1220" w:type="dxa"/>
            <w:vAlign w:val="bottom"/>
          </w:tcPr>
          <w:p>
            <w:pPr>
              <w:ind w:left="460"/>
              <w:spacing w:after="0"/>
              <w:rPr>
                <w:sz w:val="20"/>
                <w:szCs w:val="20"/>
                <w:color w:val="auto"/>
              </w:rPr>
            </w:pPr>
            <w:r>
              <w:rPr>
                <w:rFonts w:ascii="Arial" w:cs="Arial" w:eastAsia="Arial" w:hAnsi="Arial"/>
                <w:sz w:val="11"/>
                <w:szCs w:val="11"/>
                <w:color w:val="auto"/>
              </w:rPr>
              <w:t>02/07/2025</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196,698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(3,600)</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Datalot Inc. (Revolver)</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01/24/2025</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6"/>
              </w:rPr>
              <w:t>Insurance</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1,788,165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1,788,165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1,790,310</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DermaRite Industries LLC</w:t>
            </w:r>
          </w:p>
        </w:tc>
        <w:tc>
          <w:tcPr>
            <w:tcW w:w="1220" w:type="dxa"/>
            <w:vAlign w:val="bottom"/>
          </w:tcPr>
          <w:p>
            <w:pPr>
              <w:ind w:left="460"/>
              <w:spacing w:after="0"/>
              <w:rPr>
                <w:sz w:val="20"/>
                <w:szCs w:val="20"/>
                <w:color w:val="auto"/>
              </w:rPr>
            </w:pPr>
            <w:r>
              <w:rPr>
                <w:rFonts w:ascii="Arial" w:cs="Arial" w:eastAsia="Arial" w:hAnsi="Arial"/>
                <w:sz w:val="11"/>
                <w:szCs w:val="11"/>
                <w:color w:val="auto"/>
              </w:rPr>
              <w:t>03/03/2022</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90"/>
              </w:rPr>
              <w:t>Manufacturing / Basic Industries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8.00%</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L+700</w:t>
            </w:r>
          </w:p>
        </w:tc>
        <w:tc>
          <w:tcPr>
            <w:tcW w:w="660" w:type="dxa"/>
            <w:vAlign w:val="bottom"/>
          </w:tcPr>
          <w:p>
            <w:pPr>
              <w:jc w:val="right"/>
              <w:spacing w:after="0"/>
              <w:rPr>
                <w:sz w:val="20"/>
                <w:szCs w:val="20"/>
                <w:color w:val="auto"/>
              </w:rPr>
            </w:pPr>
            <w:r>
              <w:rPr>
                <w:rFonts w:ascii="Arial" w:cs="Arial" w:eastAsia="Arial" w:hAnsi="Arial"/>
                <w:sz w:val="11"/>
                <w:szCs w:val="11"/>
                <w:color w:val="auto"/>
              </w:rPr>
              <w:t>8,975,884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8,924,948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8,975,884</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DRS Holdings III, Inc. (Revolver) </w:t>
            </w:r>
            <w:r>
              <w:rPr>
                <w:rFonts w:ascii="Arial" w:cs="Arial" w:eastAsia="Arial" w:hAnsi="Arial"/>
                <w:sz w:val="9"/>
                <w:szCs w:val="9"/>
                <w:color w:val="auto"/>
              </w:rPr>
              <w:t>(7)</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11/03/2025</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8"/>
              </w:rPr>
              <w:t>Consumer Products</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1,528,102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(27,964)</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ECM Industries, LLC (Revolver)</w:t>
            </w:r>
          </w:p>
        </w:tc>
        <w:tc>
          <w:tcPr>
            <w:tcW w:w="1220" w:type="dxa"/>
            <w:vAlign w:val="bottom"/>
          </w:tcPr>
          <w:p>
            <w:pPr>
              <w:ind w:left="460"/>
              <w:spacing w:after="0"/>
              <w:rPr>
                <w:sz w:val="20"/>
                <w:szCs w:val="20"/>
                <w:color w:val="auto"/>
              </w:rPr>
            </w:pPr>
            <w:r>
              <w:rPr>
                <w:rFonts w:ascii="Arial" w:cs="Arial" w:eastAsia="Arial" w:hAnsi="Arial"/>
                <w:sz w:val="11"/>
                <w:szCs w:val="11"/>
                <w:color w:val="auto"/>
              </w:rPr>
              <w:t>12/23/2025</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89"/>
              </w:rPr>
              <w:t>Electronics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L+450</w:t>
            </w:r>
          </w:p>
        </w:tc>
        <w:tc>
          <w:tcPr>
            <w:tcW w:w="660" w:type="dxa"/>
            <w:vAlign w:val="bottom"/>
          </w:tcPr>
          <w:p>
            <w:pPr>
              <w:jc w:val="right"/>
              <w:spacing w:after="0"/>
              <w:rPr>
                <w:sz w:val="20"/>
                <w:szCs w:val="20"/>
                <w:color w:val="auto"/>
              </w:rPr>
            </w:pPr>
            <w:r>
              <w:rPr>
                <w:rFonts w:ascii="Arial" w:cs="Arial" w:eastAsia="Arial" w:hAnsi="Arial"/>
                <w:sz w:val="11"/>
                <w:szCs w:val="11"/>
                <w:color w:val="auto"/>
              </w:rPr>
              <w:t>517,594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517,594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510,761</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HW Holdco, LLC</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12/10/2024</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93"/>
              </w:rPr>
              <w:t>Media</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L+450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2,567,177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2,547,350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2,490,162</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9"/>
                <w:szCs w:val="9"/>
                <w:color w:val="auto"/>
              </w:rPr>
              <w:t>(7)</w:t>
            </w:r>
          </w:p>
        </w:tc>
        <w:tc>
          <w:tcPr>
            <w:tcW w:w="1220" w:type="dxa"/>
            <w:vAlign w:val="bottom"/>
          </w:tcPr>
          <w:p>
            <w:pPr>
              <w:ind w:left="460"/>
              <w:spacing w:after="0"/>
              <w:rPr>
                <w:sz w:val="20"/>
                <w:szCs w:val="20"/>
                <w:color w:val="auto"/>
              </w:rPr>
            </w:pPr>
            <w:r>
              <w:rPr>
                <w:rFonts w:ascii="Arial" w:cs="Arial" w:eastAsia="Arial" w:hAnsi="Arial"/>
                <w:sz w:val="11"/>
                <w:szCs w:val="11"/>
                <w:color w:val="auto"/>
              </w:rPr>
              <w:t>12/10/2024</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93"/>
              </w:rPr>
              <w:t>Media</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3,387,097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(101,613)</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IMIA Holdings, Inc.</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10/26/2025</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6"/>
              </w:rPr>
              <w:t>Aerospace and Defense</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5,572,968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5,461,508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5,517,238</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Impact Group, LLC</w:t>
            </w:r>
          </w:p>
        </w:tc>
        <w:tc>
          <w:tcPr>
            <w:tcW w:w="1220" w:type="dxa"/>
            <w:vAlign w:val="bottom"/>
          </w:tcPr>
          <w:p>
            <w:pPr>
              <w:ind w:left="460"/>
              <w:spacing w:after="0"/>
              <w:rPr>
                <w:sz w:val="20"/>
                <w:szCs w:val="20"/>
                <w:color w:val="auto"/>
              </w:rPr>
            </w:pPr>
            <w:r>
              <w:rPr>
                <w:rFonts w:ascii="Arial" w:cs="Arial" w:eastAsia="Arial" w:hAnsi="Arial"/>
                <w:sz w:val="11"/>
                <w:szCs w:val="11"/>
                <w:color w:val="auto"/>
              </w:rPr>
              <w:t>06/27/2023</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87"/>
              </w:rPr>
              <w:t>Personal, Food and Miscellaneous Services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8.37%</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L+737</w:t>
            </w:r>
          </w:p>
        </w:tc>
        <w:tc>
          <w:tcPr>
            <w:tcW w:w="660" w:type="dxa"/>
            <w:vAlign w:val="bottom"/>
          </w:tcPr>
          <w:p>
            <w:pPr>
              <w:jc w:val="right"/>
              <w:spacing w:after="0"/>
              <w:rPr>
                <w:sz w:val="20"/>
                <w:szCs w:val="20"/>
                <w:color w:val="auto"/>
              </w:rPr>
            </w:pPr>
            <w:r>
              <w:rPr>
                <w:rFonts w:ascii="Arial" w:cs="Arial" w:eastAsia="Arial" w:hAnsi="Arial"/>
                <w:sz w:val="11"/>
                <w:szCs w:val="11"/>
                <w:color w:val="auto"/>
              </w:rPr>
              <w:t>19,888,478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19,811,644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19,987,920</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Integrity Marketing Acquisition, LLC</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08/27/2025</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6"/>
              </w:rPr>
              <w:t>Insurance</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23,574,241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23,403,071</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23,338,498</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Integrity Marketing Acquisition, LLC </w:t>
            </w:r>
            <w:r>
              <w:rPr>
                <w:rFonts w:ascii="Arial" w:cs="Arial" w:eastAsia="Arial" w:hAnsi="Arial"/>
                <w:sz w:val="9"/>
                <w:szCs w:val="9"/>
                <w:color w:val="auto"/>
              </w:rPr>
              <w:t>(7)</w:t>
            </w:r>
          </w:p>
        </w:tc>
        <w:tc>
          <w:tcPr>
            <w:tcW w:w="1220" w:type="dxa"/>
            <w:vAlign w:val="bottom"/>
          </w:tcPr>
          <w:p>
            <w:pPr>
              <w:ind w:left="460"/>
              <w:spacing w:after="0"/>
              <w:rPr>
                <w:sz w:val="20"/>
                <w:szCs w:val="20"/>
                <w:color w:val="auto"/>
              </w:rPr>
            </w:pPr>
            <w:r>
              <w:rPr>
                <w:rFonts w:ascii="Arial" w:cs="Arial" w:eastAsia="Arial" w:hAnsi="Arial"/>
                <w:sz w:val="11"/>
                <w:szCs w:val="11"/>
                <w:color w:val="auto"/>
              </w:rPr>
              <w:t>07/15/2021</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Insurance</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592,800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(1,482)</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Juniper Landscaping of Florida, LLC</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12/22/2021</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7"/>
              </w:rPr>
              <w:t>Personal, Food and Miscellaneous Services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9.50%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13,516,275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13,430,024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13,516,275</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K2 Pure Solutions NoCal, L.P.</w:t>
            </w:r>
          </w:p>
        </w:tc>
        <w:tc>
          <w:tcPr>
            <w:tcW w:w="1220" w:type="dxa"/>
            <w:vAlign w:val="bottom"/>
          </w:tcPr>
          <w:p>
            <w:pPr>
              <w:ind w:left="460"/>
              <w:spacing w:after="0"/>
              <w:rPr>
                <w:sz w:val="20"/>
                <w:szCs w:val="20"/>
                <w:color w:val="auto"/>
              </w:rPr>
            </w:pPr>
            <w:r>
              <w:rPr>
                <w:rFonts w:ascii="Arial" w:cs="Arial" w:eastAsia="Arial" w:hAnsi="Arial"/>
                <w:sz w:val="11"/>
                <w:szCs w:val="11"/>
                <w:color w:val="auto"/>
              </w:rPr>
              <w:t>12/20/2023</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87"/>
              </w:rPr>
              <w:t>Chemicals, Plastics and Rubber</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8.00%</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L+700</w:t>
            </w:r>
          </w:p>
        </w:tc>
        <w:tc>
          <w:tcPr>
            <w:tcW w:w="660" w:type="dxa"/>
            <w:vAlign w:val="bottom"/>
          </w:tcPr>
          <w:p>
            <w:pPr>
              <w:jc w:val="right"/>
              <w:spacing w:after="0"/>
              <w:rPr>
                <w:sz w:val="20"/>
                <w:szCs w:val="20"/>
                <w:color w:val="auto"/>
              </w:rPr>
            </w:pPr>
            <w:r>
              <w:rPr>
                <w:rFonts w:ascii="Arial" w:cs="Arial" w:eastAsia="Arial" w:hAnsi="Arial"/>
                <w:sz w:val="11"/>
                <w:szCs w:val="11"/>
                <w:color w:val="auto"/>
              </w:rPr>
              <w:t>11,921,000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11,797,407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11,658,738</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K2 Pure Solutions NoCal, L.P. (Revolver)</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12/20/2023</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7"/>
              </w:rPr>
              <w:t>Chemicals, Plastics and Rubber</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8.00%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1,453,571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1,453,571</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1,421,593</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9"/>
                <w:szCs w:val="9"/>
                <w:color w:val="auto"/>
              </w:rPr>
              <w:t>(7)</w:t>
            </w:r>
          </w:p>
        </w:tc>
        <w:tc>
          <w:tcPr>
            <w:tcW w:w="1220" w:type="dxa"/>
            <w:vAlign w:val="bottom"/>
          </w:tcPr>
          <w:p>
            <w:pPr>
              <w:ind w:left="460"/>
              <w:spacing w:after="0"/>
              <w:rPr>
                <w:sz w:val="20"/>
                <w:szCs w:val="20"/>
                <w:color w:val="auto"/>
              </w:rPr>
            </w:pPr>
            <w:r>
              <w:rPr>
                <w:rFonts w:ascii="Arial" w:cs="Arial" w:eastAsia="Arial" w:hAnsi="Arial"/>
                <w:sz w:val="11"/>
                <w:szCs w:val="11"/>
                <w:color w:val="auto"/>
              </w:rPr>
              <w:t>12/20/2023</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87"/>
              </w:rPr>
              <w:t>Chemicals, Plastics and Rubber</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484,524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(10,660)</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Kentucky Downs, LLC </w:t>
            </w:r>
            <w:r>
              <w:rPr>
                <w:rFonts w:ascii="Arial" w:cs="Arial" w:eastAsia="Arial" w:hAnsi="Arial"/>
                <w:sz w:val="9"/>
                <w:szCs w:val="9"/>
                <w:color w:val="auto"/>
              </w:rPr>
              <w:t>(7)</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03/07/2025</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90"/>
              </w:rPr>
              <w:t>Hotels, Motels, Inns and Gaming</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827,586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(12,414)</w:t>
            </w:r>
          </w:p>
        </w:tc>
      </w:tr>
      <w:tr>
        <w:trPr>
          <w:trHeight w:val="139"/>
        </w:trPr>
        <w:tc>
          <w:tcPr>
            <w:tcW w:w="2740" w:type="dxa"/>
            <w:vAlign w:val="bottom"/>
          </w:tcPr>
          <w:p>
            <w:pPr>
              <w:spacing w:after="0"/>
              <w:rPr>
                <w:sz w:val="20"/>
                <w:szCs w:val="20"/>
                <w:color w:val="auto"/>
              </w:rPr>
            </w:pPr>
            <w:r>
              <w:rPr>
                <w:rFonts w:ascii="Arial" w:cs="Arial" w:eastAsia="Arial" w:hAnsi="Arial"/>
                <w:sz w:val="11"/>
                <w:szCs w:val="11"/>
                <w:color w:val="auto"/>
              </w:rPr>
              <w:t>LAV Gear Holdings, Inc.</w:t>
            </w:r>
          </w:p>
        </w:tc>
        <w:tc>
          <w:tcPr>
            <w:tcW w:w="1220" w:type="dxa"/>
            <w:vAlign w:val="bottom"/>
          </w:tcPr>
          <w:p>
            <w:pPr>
              <w:ind w:left="460"/>
              <w:spacing w:after="0"/>
              <w:rPr>
                <w:sz w:val="20"/>
                <w:szCs w:val="20"/>
                <w:color w:val="auto"/>
              </w:rPr>
            </w:pPr>
            <w:r>
              <w:rPr>
                <w:rFonts w:ascii="Arial" w:cs="Arial" w:eastAsia="Arial" w:hAnsi="Arial"/>
                <w:sz w:val="11"/>
                <w:szCs w:val="11"/>
                <w:color w:val="auto"/>
              </w:rPr>
              <w:t>10/31/2024</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90"/>
              </w:rPr>
              <w:t>Leisure, Amusement, Motion Pictures, Entertainment</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8.50%</w:t>
            </w:r>
          </w:p>
        </w:tc>
        <w:tc>
          <w:tcPr>
            <w:tcW w:w="14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tcPr>
          <w:p>
            <w:pPr>
              <w:jc w:val="right"/>
              <w:spacing w:after="0"/>
              <w:rPr>
                <w:sz w:val="20"/>
                <w:szCs w:val="20"/>
                <w:color w:val="auto"/>
              </w:rPr>
            </w:pPr>
            <w:r>
              <w:rPr>
                <w:rFonts w:ascii="Arial" w:cs="Arial" w:eastAsia="Arial" w:hAnsi="Arial"/>
                <w:sz w:val="11"/>
                <w:szCs w:val="11"/>
                <w:color w:val="auto"/>
              </w:rPr>
              <w:t>751,480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744,986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692,188</w:t>
            </w:r>
          </w:p>
        </w:tc>
        <w:tc>
          <w:tcPr>
            <w:tcW w:w="100" w:type="dxa"/>
            <w:vAlign w:val="bottom"/>
          </w:tcPr>
          <w:p>
            <w:pPr>
              <w:spacing w:after="0"/>
              <w:rPr>
                <w:sz w:val="12"/>
                <w:szCs w:val="12"/>
                <w:color w:val="auto"/>
              </w:rPr>
            </w:pPr>
          </w:p>
        </w:tc>
      </w:tr>
      <w:tr>
        <w:trPr>
          <w:trHeight w:val="131"/>
        </w:trPr>
        <w:tc>
          <w:tcPr>
            <w:tcW w:w="27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(PIK 5.00%)</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Lightspeed Buyer Inc.</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02/03/2026</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8"/>
              </w:rPr>
              <w:t>Healthcare, Education and Childcare</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1,564,213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1,548,989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1,544,661</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Lightspeed Buyer Inc. </w:t>
            </w:r>
            <w:r>
              <w:rPr>
                <w:rFonts w:ascii="Arial" w:cs="Arial" w:eastAsia="Arial" w:hAnsi="Arial"/>
                <w:sz w:val="9"/>
                <w:szCs w:val="9"/>
                <w:color w:val="auto"/>
              </w:rPr>
              <w:t>(7)</w:t>
            </w:r>
          </w:p>
        </w:tc>
        <w:tc>
          <w:tcPr>
            <w:tcW w:w="1220" w:type="dxa"/>
            <w:vAlign w:val="bottom"/>
          </w:tcPr>
          <w:p>
            <w:pPr>
              <w:ind w:left="460"/>
              <w:spacing w:after="0"/>
              <w:rPr>
                <w:sz w:val="20"/>
                <w:szCs w:val="20"/>
                <w:color w:val="auto"/>
              </w:rPr>
            </w:pPr>
            <w:r>
              <w:rPr>
                <w:rFonts w:ascii="Arial" w:cs="Arial" w:eastAsia="Arial" w:hAnsi="Arial"/>
                <w:sz w:val="11"/>
                <w:szCs w:val="11"/>
                <w:color w:val="auto"/>
              </w:rPr>
              <w:t>08/03/2021</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8"/>
              </w:rPr>
              <w:t>Healthcare, Education and Childcare</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882,075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(2,205)</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Lightspeed Buyer Inc. (Revolver)</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02/03/2026</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8"/>
              </w:rPr>
              <w:t>Healthcare, Education and Childcare</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1,165,780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1,165,780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1,151,208</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Lombart Brothers, Inc. (Revolver)</w:t>
            </w:r>
          </w:p>
        </w:tc>
        <w:tc>
          <w:tcPr>
            <w:tcW w:w="1220" w:type="dxa"/>
            <w:vAlign w:val="bottom"/>
          </w:tcPr>
          <w:p>
            <w:pPr>
              <w:ind w:left="460"/>
              <w:spacing w:after="0"/>
              <w:rPr>
                <w:sz w:val="20"/>
                <w:szCs w:val="20"/>
                <w:color w:val="auto"/>
              </w:rPr>
            </w:pPr>
            <w:r>
              <w:rPr>
                <w:rFonts w:ascii="Arial" w:cs="Arial" w:eastAsia="Arial" w:hAnsi="Arial"/>
                <w:sz w:val="11"/>
                <w:szCs w:val="11"/>
                <w:color w:val="auto"/>
              </w:rPr>
              <w:t>04/13/2023</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8"/>
              </w:rPr>
              <w:t>Healthcare, Education and Childcare</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tcPr>
          <w:p>
            <w:pPr>
              <w:jc w:val="right"/>
              <w:spacing w:after="0"/>
              <w:rPr>
                <w:sz w:val="20"/>
                <w:szCs w:val="20"/>
                <w:color w:val="auto"/>
              </w:rPr>
            </w:pPr>
            <w:r>
              <w:rPr>
                <w:rFonts w:ascii="Arial" w:cs="Arial" w:eastAsia="Arial" w:hAnsi="Arial"/>
                <w:sz w:val="11"/>
                <w:szCs w:val="11"/>
                <w:color w:val="auto"/>
              </w:rPr>
              <w:t>1,769,912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1,769,912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1,661,947</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MeritDirect, LLC</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05/23/2024</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93"/>
              </w:rPr>
              <w:t>Media</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2,901,820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2,868,498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2,763,983</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MeritDirect, LLC (Revolver) </w:t>
            </w:r>
            <w:r>
              <w:rPr>
                <w:rFonts w:ascii="Arial" w:cs="Arial" w:eastAsia="Arial" w:hAnsi="Arial"/>
                <w:sz w:val="9"/>
                <w:szCs w:val="9"/>
                <w:color w:val="auto"/>
              </w:rPr>
              <w:t>(7)</w:t>
            </w:r>
          </w:p>
        </w:tc>
        <w:tc>
          <w:tcPr>
            <w:tcW w:w="1220" w:type="dxa"/>
            <w:vAlign w:val="bottom"/>
          </w:tcPr>
          <w:p>
            <w:pPr>
              <w:ind w:left="460"/>
              <w:spacing w:after="0"/>
              <w:rPr>
                <w:sz w:val="20"/>
                <w:szCs w:val="20"/>
                <w:color w:val="auto"/>
              </w:rPr>
            </w:pPr>
            <w:r>
              <w:rPr>
                <w:rFonts w:ascii="Arial" w:cs="Arial" w:eastAsia="Arial" w:hAnsi="Arial"/>
                <w:sz w:val="11"/>
                <w:szCs w:val="11"/>
                <w:color w:val="auto"/>
              </w:rPr>
              <w:t>05/23/2024</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93"/>
              </w:rPr>
              <w:t>Media</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2,518,345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(119,621)</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Ox Two, LLC</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02/27/2023</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94"/>
              </w:rPr>
              <w:t>Building Materials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21,352,147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21,112,545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21,245,386</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Ox Two, LLC (Revolver)</w:t>
            </w:r>
          </w:p>
        </w:tc>
        <w:tc>
          <w:tcPr>
            <w:tcW w:w="1220" w:type="dxa"/>
            <w:vAlign w:val="bottom"/>
          </w:tcPr>
          <w:p>
            <w:pPr>
              <w:ind w:left="460"/>
              <w:spacing w:after="0"/>
              <w:rPr>
                <w:sz w:val="20"/>
                <w:szCs w:val="20"/>
                <w:color w:val="auto"/>
              </w:rPr>
            </w:pPr>
            <w:r>
              <w:rPr>
                <w:rFonts w:ascii="Arial" w:cs="Arial" w:eastAsia="Arial" w:hAnsi="Arial"/>
                <w:sz w:val="11"/>
                <w:szCs w:val="11"/>
                <w:color w:val="auto"/>
              </w:rPr>
              <w:t>02/27/2023</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94"/>
              </w:rPr>
              <w:t>Building Materials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tcPr>
          <w:p>
            <w:pPr>
              <w:jc w:val="right"/>
              <w:spacing w:after="0"/>
              <w:rPr>
                <w:sz w:val="20"/>
                <w:szCs w:val="20"/>
                <w:color w:val="auto"/>
              </w:rPr>
            </w:pPr>
            <w:r>
              <w:rPr>
                <w:rFonts w:ascii="Arial" w:cs="Arial" w:eastAsia="Arial" w:hAnsi="Arial"/>
                <w:sz w:val="11"/>
                <w:szCs w:val="11"/>
                <w:color w:val="auto"/>
              </w:rPr>
              <w:t>488,000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488,000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485,560</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9"/>
                <w:szCs w:val="9"/>
                <w:color w:val="auto"/>
              </w:rPr>
              <w:t>(7)</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02/27/2023</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94"/>
              </w:rPr>
              <w:t>Building Materials</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2,012,000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(10,060)</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Peninsula Pacific Entertainment LLC</w:t>
            </w:r>
          </w:p>
        </w:tc>
        <w:tc>
          <w:tcPr>
            <w:tcW w:w="1220" w:type="dxa"/>
            <w:vAlign w:val="bottom"/>
          </w:tcPr>
          <w:p>
            <w:pPr>
              <w:ind w:left="460"/>
              <w:spacing w:after="0"/>
              <w:rPr>
                <w:sz w:val="20"/>
                <w:szCs w:val="20"/>
                <w:color w:val="auto"/>
              </w:rPr>
            </w:pPr>
            <w:r>
              <w:rPr>
                <w:rFonts w:ascii="Arial" w:cs="Arial" w:eastAsia="Arial" w:hAnsi="Arial"/>
                <w:sz w:val="11"/>
                <w:szCs w:val="11"/>
                <w:color w:val="auto"/>
              </w:rPr>
              <w:t>11/13/2024</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90"/>
              </w:rPr>
              <w:t>Hotels, Motels, Inns and Gaming</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7.40%</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L+725</w:t>
            </w:r>
          </w:p>
        </w:tc>
        <w:tc>
          <w:tcPr>
            <w:tcW w:w="660" w:type="dxa"/>
            <w:vAlign w:val="bottom"/>
          </w:tcPr>
          <w:p>
            <w:pPr>
              <w:jc w:val="right"/>
              <w:spacing w:after="0"/>
              <w:rPr>
                <w:sz w:val="20"/>
                <w:szCs w:val="20"/>
                <w:color w:val="auto"/>
              </w:rPr>
            </w:pPr>
            <w:r>
              <w:rPr>
                <w:rFonts w:ascii="Arial" w:cs="Arial" w:eastAsia="Arial" w:hAnsi="Arial"/>
                <w:sz w:val="11"/>
                <w:szCs w:val="11"/>
                <w:color w:val="auto"/>
              </w:rPr>
              <w:t>11,437,714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11,219,222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10,637,074</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PRA Events, Inc.</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08/08/2022</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jc w:val="right"/>
              <w:spacing w:after="0"/>
              <w:rPr>
                <w:sz w:val="20"/>
                <w:szCs w:val="20"/>
                <w:color w:val="auto"/>
              </w:rPr>
            </w:pPr>
            <w:r>
              <w:rPr>
                <w:rFonts w:ascii="Arial" w:cs="Arial" w:eastAsia="Arial" w:hAnsi="Arial"/>
                <w:sz w:val="9"/>
                <w:szCs w:val="9"/>
                <w:color w:val="auto"/>
                <w:w w:val="90"/>
              </w:rPr>
              <w:t>(6)</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19,180,820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18,839,885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16,150,251</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PRA Events, Inc. (Revolver)</w:t>
            </w:r>
          </w:p>
        </w:tc>
        <w:tc>
          <w:tcPr>
            <w:tcW w:w="1220" w:type="dxa"/>
            <w:vAlign w:val="bottom"/>
          </w:tcPr>
          <w:p>
            <w:pPr>
              <w:ind w:left="460"/>
              <w:spacing w:after="0"/>
              <w:rPr>
                <w:sz w:val="20"/>
                <w:szCs w:val="20"/>
                <w:color w:val="auto"/>
              </w:rPr>
            </w:pPr>
            <w:r>
              <w:rPr>
                <w:rFonts w:ascii="Arial" w:cs="Arial" w:eastAsia="Arial" w:hAnsi="Arial"/>
                <w:sz w:val="11"/>
                <w:szCs w:val="11"/>
                <w:color w:val="auto"/>
              </w:rPr>
              <w:t>08/08/2022</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jc w:val="right"/>
              <w:spacing w:after="0"/>
              <w:rPr>
                <w:sz w:val="20"/>
                <w:szCs w:val="20"/>
                <w:color w:val="auto"/>
              </w:rPr>
            </w:pPr>
            <w:r>
              <w:rPr>
                <w:rFonts w:ascii="Arial" w:cs="Arial" w:eastAsia="Arial" w:hAnsi="Arial"/>
                <w:sz w:val="9"/>
                <w:szCs w:val="9"/>
                <w:color w:val="auto"/>
                <w:w w:val="90"/>
              </w:rPr>
              <w:t>(6)</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2,000,000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2,000,000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1,684,000</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Provation Medical, Inc.</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03/11/2024</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9"/>
              </w:rPr>
              <w:t>Electronics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7.15%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L+700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26,527,500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26,094,813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26,179,990</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Questex, LLC</w:t>
            </w:r>
          </w:p>
        </w:tc>
        <w:tc>
          <w:tcPr>
            <w:tcW w:w="1220" w:type="dxa"/>
            <w:vAlign w:val="bottom"/>
          </w:tcPr>
          <w:p>
            <w:pPr>
              <w:ind w:left="460"/>
              <w:spacing w:after="0"/>
              <w:rPr>
                <w:sz w:val="20"/>
                <w:szCs w:val="20"/>
                <w:color w:val="auto"/>
              </w:rPr>
            </w:pPr>
            <w:r>
              <w:rPr>
                <w:rFonts w:ascii="Arial" w:cs="Arial" w:eastAsia="Arial" w:hAnsi="Arial"/>
                <w:sz w:val="11"/>
                <w:szCs w:val="11"/>
                <w:color w:val="auto"/>
              </w:rPr>
              <w:t>09/09/2024</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93"/>
              </w:rPr>
              <w:t>Media</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22,050,000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21,733,659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20,286,000</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Questex, LLC (Revolver)</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09/09/2024</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93"/>
              </w:rPr>
              <w:t>Media</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1,795,213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1,795,213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1,651,596</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9"/>
                <w:szCs w:val="9"/>
                <w:color w:val="auto"/>
              </w:rPr>
              <w:t>(7)</w:t>
            </w:r>
          </w:p>
        </w:tc>
        <w:tc>
          <w:tcPr>
            <w:tcW w:w="1220" w:type="dxa"/>
            <w:vAlign w:val="bottom"/>
          </w:tcPr>
          <w:p>
            <w:pPr>
              <w:ind w:left="460"/>
              <w:spacing w:after="0"/>
              <w:rPr>
                <w:sz w:val="20"/>
                <w:szCs w:val="20"/>
                <w:color w:val="auto"/>
              </w:rPr>
            </w:pPr>
            <w:r>
              <w:rPr>
                <w:rFonts w:ascii="Arial" w:cs="Arial" w:eastAsia="Arial" w:hAnsi="Arial"/>
                <w:sz w:val="11"/>
                <w:szCs w:val="11"/>
                <w:color w:val="auto"/>
              </w:rPr>
              <w:t>09/09/2024</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93"/>
              </w:rPr>
              <w:t>Media</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1,795,213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(143,617)</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Radius Aerospace, Inc. (Revolver)</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03/31/2025</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6"/>
              </w:rPr>
              <w:t>Aerospace and Defense</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1,336,285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1,336,285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1,298,602</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Radius Aerospace, Inc. (Revolver) </w:t>
            </w:r>
            <w:r>
              <w:rPr>
                <w:rFonts w:ascii="Arial" w:cs="Arial" w:eastAsia="Arial" w:hAnsi="Arial"/>
                <w:sz w:val="9"/>
                <w:szCs w:val="9"/>
                <w:color w:val="auto"/>
              </w:rPr>
              <w:t>(7)</w:t>
            </w:r>
          </w:p>
        </w:tc>
        <w:tc>
          <w:tcPr>
            <w:tcW w:w="1220" w:type="dxa"/>
            <w:vAlign w:val="bottom"/>
          </w:tcPr>
          <w:p>
            <w:pPr>
              <w:ind w:left="460"/>
              <w:spacing w:after="0"/>
              <w:rPr>
                <w:sz w:val="20"/>
                <w:szCs w:val="20"/>
                <w:color w:val="auto"/>
              </w:rPr>
            </w:pPr>
            <w:r>
              <w:rPr>
                <w:rFonts w:ascii="Arial" w:cs="Arial" w:eastAsia="Arial" w:hAnsi="Arial"/>
                <w:sz w:val="11"/>
                <w:szCs w:val="11"/>
                <w:color w:val="auto"/>
              </w:rPr>
              <w:t>03/31/2025</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Aerospace and Defense</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890,857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(25,122)</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Research Horizons, LLC</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06/28/2022</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93"/>
              </w:rPr>
              <w:t>Media</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29,546,453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29,334,375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28,364,595</w:t>
            </w:r>
          </w:p>
        </w:tc>
        <w:tc>
          <w:tcPr>
            <w:tcW w:w="100" w:type="dxa"/>
            <w:vAlign w:val="bottom"/>
            <w:shd w:val="clear" w:color="auto" w:fill="CCECFF"/>
          </w:tcPr>
          <w:p>
            <w:pPr>
              <w:spacing w:after="0"/>
              <w:rPr>
                <w:sz w:val="11"/>
                <w:szCs w:val="11"/>
                <w:color w:val="auto"/>
              </w:rPr>
            </w:pPr>
          </w:p>
        </w:tc>
      </w:tr>
      <w:tr>
        <w:trPr>
          <w:trHeight w:val="125"/>
        </w:trPr>
        <w:tc>
          <w:tcPr>
            <w:tcW w:w="2740" w:type="dxa"/>
            <w:vAlign w:val="bottom"/>
          </w:tcPr>
          <w:p>
            <w:pPr>
              <w:spacing w:after="0" w:line="125" w:lineRule="exact"/>
              <w:rPr>
                <w:sz w:val="20"/>
                <w:szCs w:val="20"/>
                <w:color w:val="auto"/>
              </w:rPr>
            </w:pPr>
            <w:r>
              <w:rPr>
                <w:rFonts w:ascii="Arial" w:cs="Arial" w:eastAsia="Arial" w:hAnsi="Arial"/>
                <w:sz w:val="11"/>
                <w:szCs w:val="11"/>
                <w:color w:val="auto"/>
              </w:rPr>
              <w:t>Research Now Group, Inc. and Survey</w:t>
            </w:r>
          </w:p>
        </w:tc>
        <w:tc>
          <w:tcPr>
            <w:tcW w:w="1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1"/>
        </w:trPr>
        <w:tc>
          <w:tcPr>
            <w:tcW w:w="2740" w:type="dxa"/>
            <w:vAlign w:val="bottom"/>
          </w:tcPr>
          <w:p>
            <w:pPr>
              <w:ind w:left="80"/>
              <w:spacing w:after="0"/>
              <w:rPr>
                <w:sz w:val="20"/>
                <w:szCs w:val="20"/>
                <w:color w:val="auto"/>
              </w:rPr>
            </w:pPr>
            <w:r>
              <w:rPr>
                <w:rFonts w:ascii="Arial" w:cs="Arial" w:eastAsia="Arial" w:hAnsi="Arial"/>
                <w:sz w:val="11"/>
                <w:szCs w:val="11"/>
                <w:color w:val="auto"/>
              </w:rPr>
              <w:t>Sampling International LLC</w:t>
            </w:r>
          </w:p>
        </w:tc>
        <w:tc>
          <w:tcPr>
            <w:tcW w:w="1220" w:type="dxa"/>
            <w:vAlign w:val="bottom"/>
          </w:tcPr>
          <w:p>
            <w:pPr>
              <w:ind w:left="460"/>
              <w:spacing w:after="0"/>
              <w:rPr>
                <w:sz w:val="20"/>
                <w:szCs w:val="20"/>
                <w:color w:val="auto"/>
              </w:rPr>
            </w:pPr>
            <w:r>
              <w:rPr>
                <w:rFonts w:ascii="Arial" w:cs="Arial" w:eastAsia="Arial" w:hAnsi="Arial"/>
                <w:sz w:val="11"/>
                <w:szCs w:val="11"/>
                <w:color w:val="auto"/>
              </w:rPr>
              <w:t>12/20/2024</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tcPr>
          <w:p>
            <w:pPr>
              <w:jc w:val="right"/>
              <w:spacing w:after="0"/>
              <w:rPr>
                <w:sz w:val="20"/>
                <w:szCs w:val="20"/>
                <w:color w:val="auto"/>
              </w:rPr>
            </w:pPr>
            <w:r>
              <w:rPr>
                <w:rFonts w:ascii="Arial" w:cs="Arial" w:eastAsia="Arial" w:hAnsi="Arial"/>
                <w:sz w:val="11"/>
                <w:szCs w:val="11"/>
                <w:color w:val="auto"/>
              </w:rPr>
              <w:t>2,913,731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2,913,731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2,752,019</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9"/>
                <w:szCs w:val="9"/>
                <w:color w:val="auto"/>
              </w:rPr>
              <w:t>(7)</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06/20/2025</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8"/>
              </w:rPr>
              <w:t>Healthcare, Education and Childcare</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363,636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(12,764)</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Riverside Assessments, LLC</w:t>
            </w:r>
          </w:p>
        </w:tc>
        <w:tc>
          <w:tcPr>
            <w:tcW w:w="1220" w:type="dxa"/>
            <w:vAlign w:val="bottom"/>
          </w:tcPr>
          <w:p>
            <w:pPr>
              <w:ind w:left="460"/>
              <w:spacing w:after="0"/>
              <w:rPr>
                <w:sz w:val="20"/>
                <w:szCs w:val="20"/>
                <w:color w:val="auto"/>
              </w:rPr>
            </w:pPr>
            <w:r>
              <w:rPr>
                <w:rFonts w:ascii="Arial" w:cs="Arial" w:eastAsia="Arial" w:hAnsi="Arial"/>
                <w:sz w:val="11"/>
                <w:szCs w:val="11"/>
                <w:color w:val="auto"/>
              </w:rPr>
              <w:t>03/10/2025</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89"/>
              </w:rPr>
              <w:t>Education</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15,671,250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15,389,332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14,848,509</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Sargent &amp; Greenleaf Inc. (Revolver) </w:t>
            </w:r>
            <w:r>
              <w:rPr>
                <w:rFonts w:ascii="Arial" w:cs="Arial" w:eastAsia="Arial" w:hAnsi="Arial"/>
                <w:sz w:val="9"/>
                <w:szCs w:val="9"/>
                <w:color w:val="auto"/>
              </w:rPr>
              <w:t>(7)</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12/20/2024</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9"/>
              </w:rPr>
              <w:t>Electronics</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597,943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(10,763)</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Sales Benchmark Index LLC </w:t>
            </w:r>
            <w:r>
              <w:rPr>
                <w:rFonts w:ascii="Arial" w:cs="Arial" w:eastAsia="Arial" w:hAnsi="Arial"/>
                <w:sz w:val="9"/>
                <w:szCs w:val="9"/>
                <w:color w:val="auto"/>
              </w:rPr>
              <w:t>(7)</w:t>
            </w:r>
          </w:p>
        </w:tc>
        <w:tc>
          <w:tcPr>
            <w:tcW w:w="1220" w:type="dxa"/>
            <w:vAlign w:val="bottom"/>
          </w:tcPr>
          <w:p>
            <w:pPr>
              <w:ind w:left="460"/>
              <w:spacing w:after="0"/>
              <w:rPr>
                <w:sz w:val="20"/>
                <w:szCs w:val="20"/>
                <w:color w:val="auto"/>
              </w:rPr>
            </w:pPr>
            <w:r>
              <w:rPr>
                <w:rFonts w:ascii="Arial" w:cs="Arial" w:eastAsia="Arial" w:hAnsi="Arial"/>
                <w:sz w:val="11"/>
                <w:szCs w:val="11"/>
                <w:color w:val="auto"/>
              </w:rPr>
              <w:t>07/07/2021</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1,829,268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(43,902)</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Sales Benchmark Index LLC (Revolver) </w:t>
            </w:r>
            <w:r>
              <w:rPr>
                <w:rFonts w:ascii="Arial" w:cs="Arial" w:eastAsia="Arial" w:hAnsi="Arial"/>
                <w:sz w:val="9"/>
                <w:szCs w:val="9"/>
                <w:color w:val="auto"/>
              </w:rPr>
              <w:t>(7)</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01/03/2025</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731,707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(17,561)</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Schlesinger Global, Inc.</w:t>
            </w:r>
          </w:p>
        </w:tc>
        <w:tc>
          <w:tcPr>
            <w:tcW w:w="1220" w:type="dxa"/>
            <w:vAlign w:val="bottom"/>
          </w:tcPr>
          <w:p>
            <w:pPr>
              <w:ind w:left="460"/>
              <w:spacing w:after="0"/>
              <w:rPr>
                <w:sz w:val="20"/>
                <w:szCs w:val="20"/>
                <w:color w:val="auto"/>
              </w:rPr>
            </w:pPr>
            <w:r>
              <w:rPr>
                <w:rFonts w:ascii="Arial" w:cs="Arial" w:eastAsia="Arial" w:hAnsi="Arial"/>
                <w:sz w:val="11"/>
                <w:szCs w:val="11"/>
                <w:color w:val="auto"/>
              </w:rPr>
              <w:t>07/14/2025</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tcPr>
          <w:p>
            <w:pPr>
              <w:jc w:val="right"/>
              <w:spacing w:after="0"/>
              <w:rPr>
                <w:sz w:val="20"/>
                <w:szCs w:val="20"/>
                <w:color w:val="auto"/>
              </w:rPr>
            </w:pPr>
            <w:r>
              <w:rPr>
                <w:rFonts w:ascii="Arial" w:cs="Arial" w:eastAsia="Arial" w:hAnsi="Arial"/>
                <w:sz w:val="11"/>
                <w:szCs w:val="11"/>
                <w:color w:val="auto"/>
              </w:rPr>
              <w:t>516,273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510,389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478,844</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Schlesinger Global, Inc. (Revolver)</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07/14/2025</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15,759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15,759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14,617</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Schlesinger Global, Inc. (Revolver) </w:t>
            </w:r>
            <w:r>
              <w:rPr>
                <w:rFonts w:ascii="Arial" w:cs="Arial" w:eastAsia="Arial" w:hAnsi="Arial"/>
                <w:sz w:val="9"/>
                <w:szCs w:val="9"/>
                <w:color w:val="auto"/>
              </w:rPr>
              <w:t>(7)</w:t>
            </w:r>
          </w:p>
        </w:tc>
        <w:tc>
          <w:tcPr>
            <w:tcW w:w="1220" w:type="dxa"/>
            <w:vAlign w:val="bottom"/>
          </w:tcPr>
          <w:p>
            <w:pPr>
              <w:ind w:left="460"/>
              <w:spacing w:after="0"/>
              <w:rPr>
                <w:sz w:val="20"/>
                <w:szCs w:val="20"/>
                <w:color w:val="auto"/>
              </w:rPr>
            </w:pPr>
            <w:r>
              <w:rPr>
                <w:rFonts w:ascii="Arial" w:cs="Arial" w:eastAsia="Arial" w:hAnsi="Arial"/>
                <w:sz w:val="11"/>
                <w:szCs w:val="11"/>
                <w:color w:val="auto"/>
              </w:rPr>
              <w:t>07/14/2025</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22,281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(1,615)</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Signature Systems Holding Company (Revolver)</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05/03/2024</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7"/>
              </w:rPr>
              <w:t>Chemicals, Plastics and Rubber</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7.50%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1,129,032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1,129,032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1,092,339</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9"/>
                <w:szCs w:val="9"/>
                <w:color w:val="auto"/>
              </w:rPr>
              <w:t>(7)</w:t>
            </w:r>
          </w:p>
        </w:tc>
        <w:tc>
          <w:tcPr>
            <w:tcW w:w="1220" w:type="dxa"/>
            <w:vAlign w:val="bottom"/>
          </w:tcPr>
          <w:p>
            <w:pPr>
              <w:ind w:left="460"/>
              <w:spacing w:after="0"/>
              <w:rPr>
                <w:sz w:val="20"/>
                <w:szCs w:val="20"/>
                <w:color w:val="auto"/>
              </w:rPr>
            </w:pPr>
            <w:r>
              <w:rPr>
                <w:rFonts w:ascii="Arial" w:cs="Arial" w:eastAsia="Arial" w:hAnsi="Arial"/>
                <w:sz w:val="11"/>
                <w:szCs w:val="11"/>
                <w:color w:val="auto"/>
              </w:rPr>
              <w:t>05/03/2024</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87"/>
              </w:rPr>
              <w:t>Chemicals, Plastics and Rubber</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887,097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(28,831)</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Solutionreach, Inc. (Revolver)</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01/17/2024</w:t>
            </w:r>
          </w:p>
        </w:tc>
        <w:tc>
          <w:tcPr>
            <w:tcW w:w="2680" w:type="dxa"/>
            <w:vAlign w:val="bottom"/>
            <w:gridSpan w:val="2"/>
            <w:shd w:val="clear" w:color="auto" w:fill="CCECFF"/>
          </w:tcPr>
          <w:p>
            <w:pPr>
              <w:jc w:val="center"/>
              <w:ind w:right="180"/>
              <w:spacing w:after="0"/>
              <w:rPr>
                <w:sz w:val="20"/>
                <w:szCs w:val="20"/>
                <w:color w:val="auto"/>
              </w:rPr>
            </w:pPr>
            <w:r>
              <w:rPr>
                <w:rFonts w:ascii="Arial" w:cs="Arial" w:eastAsia="Arial" w:hAnsi="Arial"/>
                <w:sz w:val="11"/>
                <w:szCs w:val="11"/>
                <w:color w:val="auto"/>
                <w:w w:val="90"/>
              </w:rPr>
              <w:t>Communications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1,248,750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1,248,750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1,235,014</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Solutionreach, Inc. (Revolver) </w:t>
            </w:r>
            <w:r>
              <w:rPr>
                <w:rFonts w:ascii="Arial" w:cs="Arial" w:eastAsia="Arial" w:hAnsi="Arial"/>
                <w:sz w:val="9"/>
                <w:szCs w:val="9"/>
                <w:color w:val="auto"/>
              </w:rPr>
              <w:t>(7)</w:t>
            </w:r>
          </w:p>
        </w:tc>
        <w:tc>
          <w:tcPr>
            <w:tcW w:w="1220" w:type="dxa"/>
            <w:vAlign w:val="bottom"/>
          </w:tcPr>
          <w:p>
            <w:pPr>
              <w:ind w:left="460"/>
              <w:spacing w:after="0"/>
              <w:rPr>
                <w:sz w:val="20"/>
                <w:szCs w:val="20"/>
                <w:color w:val="auto"/>
              </w:rPr>
            </w:pPr>
            <w:r>
              <w:rPr>
                <w:rFonts w:ascii="Arial" w:cs="Arial" w:eastAsia="Arial" w:hAnsi="Arial"/>
                <w:sz w:val="11"/>
                <w:szCs w:val="11"/>
                <w:color w:val="auto"/>
              </w:rPr>
              <w:t>01/17/2024</w:t>
            </w:r>
          </w:p>
        </w:tc>
        <w:tc>
          <w:tcPr>
            <w:tcW w:w="2680" w:type="dxa"/>
            <w:vAlign w:val="bottom"/>
            <w:gridSpan w:val="2"/>
          </w:tcPr>
          <w:p>
            <w:pPr>
              <w:jc w:val="center"/>
              <w:ind w:right="180"/>
              <w:spacing w:after="0"/>
              <w:rPr>
                <w:sz w:val="20"/>
                <w:szCs w:val="20"/>
                <w:color w:val="auto"/>
              </w:rPr>
            </w:pPr>
            <w:r>
              <w:rPr>
                <w:rFonts w:ascii="Arial" w:cs="Arial" w:eastAsia="Arial" w:hAnsi="Arial"/>
                <w:sz w:val="11"/>
                <w:szCs w:val="11"/>
                <w:color w:val="auto"/>
                <w:w w:val="90"/>
              </w:rPr>
              <w:t>Communications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416,250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(4,579)</w:t>
            </w:r>
          </w:p>
        </w:tc>
      </w:tr>
      <w:tr>
        <w:trPr>
          <w:trHeight w:val="135"/>
        </w:trPr>
        <w:tc>
          <w:tcPr>
            <w:tcW w:w="2740" w:type="dxa"/>
            <w:vAlign w:val="bottom"/>
            <w:shd w:val="clear" w:color="auto" w:fill="CCECFF"/>
          </w:tcPr>
          <w:p>
            <w:pPr>
              <w:spacing w:after="0"/>
              <w:rPr>
                <w:sz w:val="20"/>
                <w:szCs w:val="20"/>
                <w:color w:val="auto"/>
              </w:rPr>
            </w:pPr>
            <w:r>
              <w:rPr>
                <w:rFonts w:ascii="Arial" w:cs="Arial" w:eastAsia="Arial" w:hAnsi="Arial"/>
                <w:sz w:val="11"/>
                <w:szCs w:val="11"/>
                <w:color w:val="auto"/>
              </w:rPr>
              <w:t>Spear Education, LLC</w:t>
            </w:r>
          </w:p>
        </w:tc>
        <w:tc>
          <w:tcPr>
            <w:tcW w:w="1220" w:type="dxa"/>
            <w:vAlign w:val="bottom"/>
            <w:shd w:val="clear" w:color="auto" w:fill="CCECFF"/>
          </w:tcPr>
          <w:p>
            <w:pPr>
              <w:ind w:left="460"/>
              <w:spacing w:after="0"/>
              <w:rPr>
                <w:sz w:val="20"/>
                <w:szCs w:val="20"/>
                <w:color w:val="auto"/>
              </w:rPr>
            </w:pPr>
            <w:r>
              <w:rPr>
                <w:rFonts w:ascii="Arial" w:cs="Arial" w:eastAsia="Arial" w:hAnsi="Arial"/>
                <w:sz w:val="11"/>
                <w:szCs w:val="11"/>
                <w:color w:val="auto"/>
              </w:rPr>
              <w:t>02/26/2025</w:t>
            </w:r>
          </w:p>
        </w:tc>
        <w:tc>
          <w:tcPr>
            <w:tcW w:w="2680" w:type="dxa"/>
            <w:vAlign w:val="bottom"/>
            <w:gridSpan w:val="2"/>
            <w:shd w:val="clear" w:color="auto" w:fill="CCECFF"/>
          </w:tcPr>
          <w:p>
            <w:pPr>
              <w:jc w:val="center"/>
              <w:ind w:right="200"/>
              <w:spacing w:after="0"/>
              <w:rPr>
                <w:sz w:val="20"/>
                <w:szCs w:val="20"/>
                <w:color w:val="auto"/>
              </w:rPr>
            </w:pPr>
            <w:r>
              <w:rPr>
                <w:rFonts w:ascii="Arial" w:cs="Arial" w:eastAsia="Arial" w:hAnsi="Arial"/>
                <w:sz w:val="11"/>
                <w:szCs w:val="11"/>
                <w:color w:val="auto"/>
                <w:w w:val="89"/>
              </w:rPr>
              <w:t>Education</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15,049,375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14,906,170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14,673,140</w:t>
            </w:r>
          </w:p>
        </w:tc>
        <w:tc>
          <w:tcPr>
            <w:tcW w:w="100" w:type="dxa"/>
            <w:vAlign w:val="bottom"/>
            <w:shd w:val="clear" w:color="auto" w:fill="CCECFF"/>
          </w:tcPr>
          <w:p>
            <w:pPr>
              <w:spacing w:after="0"/>
              <w:rPr>
                <w:sz w:val="11"/>
                <w:szCs w:val="11"/>
                <w:color w:val="auto"/>
              </w:rPr>
            </w:pPr>
          </w:p>
        </w:tc>
      </w:tr>
      <w:tr>
        <w:trPr>
          <w:trHeight w:val="140"/>
        </w:trPr>
        <w:tc>
          <w:tcPr>
            <w:tcW w:w="2740" w:type="dxa"/>
            <w:vAlign w:val="bottom"/>
          </w:tcPr>
          <w:p>
            <w:pPr>
              <w:spacing w:after="0"/>
              <w:rPr>
                <w:sz w:val="20"/>
                <w:szCs w:val="20"/>
                <w:color w:val="auto"/>
              </w:rPr>
            </w:pPr>
            <w:r>
              <w:rPr>
                <w:rFonts w:ascii="Arial" w:cs="Arial" w:eastAsia="Arial" w:hAnsi="Arial"/>
                <w:sz w:val="11"/>
                <w:szCs w:val="11"/>
                <w:color w:val="auto"/>
              </w:rPr>
              <w:t xml:space="preserve">Spear Education, LLC </w:t>
            </w:r>
            <w:r>
              <w:rPr>
                <w:rFonts w:ascii="Arial" w:cs="Arial" w:eastAsia="Arial" w:hAnsi="Arial"/>
                <w:sz w:val="9"/>
                <w:szCs w:val="9"/>
                <w:color w:val="auto"/>
              </w:rPr>
              <w:t>(7)</w:t>
            </w:r>
          </w:p>
        </w:tc>
        <w:tc>
          <w:tcPr>
            <w:tcW w:w="1220" w:type="dxa"/>
            <w:vAlign w:val="bottom"/>
          </w:tcPr>
          <w:p>
            <w:pPr>
              <w:ind w:left="460"/>
              <w:spacing w:after="0"/>
              <w:rPr>
                <w:sz w:val="20"/>
                <w:szCs w:val="20"/>
                <w:color w:val="auto"/>
              </w:rPr>
            </w:pPr>
            <w:r>
              <w:rPr>
                <w:rFonts w:ascii="Arial" w:cs="Arial" w:eastAsia="Arial" w:hAnsi="Arial"/>
                <w:sz w:val="11"/>
                <w:szCs w:val="11"/>
                <w:color w:val="auto"/>
              </w:rPr>
              <w:t>02/26/2022</w:t>
            </w:r>
          </w:p>
        </w:tc>
        <w:tc>
          <w:tcPr>
            <w:tcW w:w="2680" w:type="dxa"/>
            <w:vAlign w:val="bottom"/>
            <w:gridSpan w:val="2"/>
          </w:tcPr>
          <w:p>
            <w:pPr>
              <w:jc w:val="center"/>
              <w:ind w:right="200"/>
              <w:spacing w:after="0"/>
              <w:rPr>
                <w:sz w:val="20"/>
                <w:szCs w:val="20"/>
                <w:color w:val="auto"/>
              </w:rPr>
            </w:pPr>
            <w:r>
              <w:rPr>
                <w:rFonts w:ascii="Arial" w:cs="Arial" w:eastAsia="Arial" w:hAnsi="Arial"/>
                <w:sz w:val="11"/>
                <w:szCs w:val="11"/>
                <w:color w:val="auto"/>
                <w:w w:val="89"/>
              </w:rPr>
              <w:t>Education</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6,875,000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(171,875)</w:t>
            </w:r>
          </w:p>
        </w:tc>
      </w:tr>
    </w:tbl>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2020</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3"/>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3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Maturity /</w:t>
            </w: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10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Spread Above</w:t>
            </w:r>
          </w:p>
        </w:tc>
        <w:tc>
          <w:tcPr>
            <w:tcW w:w="900" w:type="dxa"/>
            <w:vAlign w:val="bottom"/>
            <w:gridSpan w:val="2"/>
          </w:tcPr>
          <w:p>
            <w:pPr>
              <w:ind w:left="220"/>
              <w:spacing w:after="0" w:line="122" w:lineRule="exact"/>
              <w:rPr>
                <w:sz w:val="20"/>
                <w:szCs w:val="20"/>
                <w:color w:val="auto"/>
              </w:rPr>
            </w:pPr>
            <w:r>
              <w:rPr>
                <w:rFonts w:ascii="Arial" w:cs="Arial" w:eastAsia="Arial" w:hAnsi="Arial"/>
                <w:sz w:val="11"/>
                <w:szCs w:val="11"/>
                <w:b w:val="1"/>
                <w:bCs w:val="1"/>
                <w:color w:val="auto"/>
              </w:rPr>
              <w:t>Par /</w:t>
            </w: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0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2"/>
              </w:rPr>
              <w:t>Expiration</w:t>
            </w:r>
          </w:p>
        </w:tc>
        <w:tc>
          <w:tcPr>
            <w:tcW w:w="220" w:type="dxa"/>
            <w:vAlign w:val="bottom"/>
            <w:tcBorders>
              <w:bottom w:val="single" w:sz="8" w:color="CCECFF"/>
            </w:tcBorders>
          </w:tcPr>
          <w:p>
            <w:pPr>
              <w:spacing w:after="0"/>
              <w:rPr>
                <w:sz w:val="11"/>
                <w:szCs w:val="11"/>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Coupon</w:t>
            </w:r>
          </w:p>
        </w:tc>
        <w:tc>
          <w:tcPr>
            <w:tcW w:w="260" w:type="dxa"/>
            <w:vAlign w:val="bottom"/>
            <w:tcBorders>
              <w:bottom w:val="single" w:sz="8" w:color="CCECFF"/>
            </w:tcBorders>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2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(3)</w:t>
            </w:r>
          </w:p>
        </w:tc>
        <w:tc>
          <w:tcPr>
            <w:tcW w:w="100" w:type="dxa"/>
            <w:vAlign w:val="bottom"/>
            <w:tcBorders>
              <w:bottom w:val="single" w:sz="8" w:color="CCECFF"/>
            </w:tcBorders>
          </w:tcPr>
          <w:p>
            <w:pPr>
              <w:spacing w:after="0"/>
              <w:rPr>
                <w:sz w:val="11"/>
                <w:szCs w:val="11"/>
                <w:color w:val="auto"/>
              </w:rPr>
            </w:pPr>
          </w:p>
        </w:tc>
      </w:tr>
      <w:tr>
        <w:trPr>
          <w:trHeight w:val="128"/>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Spectacle Gary Holdings, LLC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12/23/2025</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Hotels, Motels, Inns and Gaming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11.00%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L+900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20,478,378</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5"/>
              </w:rPr>
              <w:t>$  19,804,843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   19,864,027</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Spectacle Gary Holdings, LLC </w:t>
            </w:r>
            <w:r>
              <w:rPr>
                <w:rFonts w:ascii="Arial" w:cs="Arial" w:eastAsia="Arial" w:hAnsi="Arial"/>
                <w:sz w:val="9"/>
                <w:szCs w:val="9"/>
                <w:color w:val="auto"/>
              </w:rPr>
              <w:t>(7)</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12/23/2025</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Hotels, Motels, Inns and Gaming</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1,121,622</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1"/>
                <w:szCs w:val="11"/>
                <w:color w:val="auto"/>
              </w:rPr>
              <w:t>(33,649)</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TPC Canada Parent, Inc. and TPC US Parent, LLC </w:t>
            </w:r>
            <w:r>
              <w:rPr>
                <w:rFonts w:ascii="Arial" w:cs="Arial" w:eastAsia="Arial" w:hAnsi="Arial"/>
                <w:sz w:val="9"/>
                <w:szCs w:val="9"/>
                <w:color w:val="auto"/>
              </w:rPr>
              <w:t>(8),(11)</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11/24/2025</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Food</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1,789,156</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1,789,156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1,735,482</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TVC Enterprises, LLC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01/18/2024</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Transportation</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tcPr>
          <w:p>
            <w:pPr>
              <w:jc w:val="right"/>
              <w:spacing w:after="0"/>
              <w:rPr>
                <w:sz w:val="20"/>
                <w:szCs w:val="20"/>
                <w:color w:val="auto"/>
              </w:rPr>
            </w:pPr>
            <w:r>
              <w:rPr>
                <w:rFonts w:ascii="Arial" w:cs="Arial" w:eastAsia="Arial" w:hAnsi="Arial"/>
                <w:sz w:val="11"/>
                <w:szCs w:val="11"/>
                <w:color w:val="auto"/>
              </w:rPr>
              <w:t>17,660,607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17,410,805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17,528,153</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9"/>
                <w:szCs w:val="9"/>
                <w:color w:val="auto"/>
              </w:rPr>
              <w:t>(7)</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01/18/2024</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Transportation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2,702,151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3"/>
            <w:shd w:val="clear" w:color="auto" w:fill="CCECFF"/>
          </w:tcPr>
          <w:p>
            <w:pPr>
              <w:jc w:val="right"/>
              <w:ind w:right="80"/>
              <w:spacing w:after="0"/>
              <w:rPr>
                <w:sz w:val="20"/>
                <w:szCs w:val="20"/>
                <w:color w:val="auto"/>
              </w:rPr>
            </w:pPr>
            <w:r>
              <w:rPr>
                <w:rFonts w:ascii="Arial" w:cs="Arial" w:eastAsia="Arial" w:hAnsi="Arial"/>
                <w:sz w:val="11"/>
                <w:szCs w:val="11"/>
                <w:color w:val="auto"/>
              </w:rPr>
              <w:t>(20,267)</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TWS Acquisition Corporation (Revolver)</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06/16/2025</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tcPr>
          <w:p>
            <w:pPr>
              <w:jc w:val="right"/>
              <w:spacing w:after="0"/>
              <w:rPr>
                <w:sz w:val="20"/>
                <w:szCs w:val="20"/>
                <w:color w:val="auto"/>
              </w:rPr>
            </w:pPr>
            <w:r>
              <w:rPr>
                <w:rFonts w:ascii="Arial" w:cs="Arial" w:eastAsia="Arial" w:hAnsi="Arial"/>
                <w:sz w:val="11"/>
                <w:szCs w:val="11"/>
                <w:color w:val="auto"/>
              </w:rPr>
              <w:t>1,137,857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1,137,857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1,115,100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9"/>
                <w:szCs w:val="9"/>
                <w:color w:val="auto"/>
              </w:rPr>
              <w:t>(7)</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06/16/2025</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505,714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3"/>
            <w:shd w:val="clear" w:color="auto" w:fill="CCECFF"/>
          </w:tcPr>
          <w:p>
            <w:pPr>
              <w:jc w:val="right"/>
              <w:ind w:right="80"/>
              <w:spacing w:after="0"/>
              <w:rPr>
                <w:sz w:val="20"/>
                <w:szCs w:val="20"/>
                <w:color w:val="auto"/>
              </w:rPr>
            </w:pPr>
            <w:r>
              <w:rPr>
                <w:rFonts w:ascii="Arial" w:cs="Arial" w:eastAsia="Arial" w:hAnsi="Arial"/>
                <w:sz w:val="11"/>
                <w:szCs w:val="11"/>
                <w:color w:val="auto"/>
              </w:rPr>
              <w:t>(10,114)</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Tyto Athene, LLC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08/27/2024</w:t>
            </w:r>
          </w:p>
        </w:tc>
        <w:tc>
          <w:tcPr>
            <w:tcW w:w="2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L+525</w:t>
            </w:r>
          </w:p>
        </w:tc>
        <w:tc>
          <w:tcPr>
            <w:tcW w:w="660" w:type="dxa"/>
            <w:vAlign w:val="bottom"/>
          </w:tcPr>
          <w:p>
            <w:pPr>
              <w:jc w:val="right"/>
              <w:spacing w:after="0"/>
              <w:rPr>
                <w:sz w:val="20"/>
                <w:szCs w:val="20"/>
                <w:color w:val="auto"/>
              </w:rPr>
            </w:pPr>
            <w:r>
              <w:rPr>
                <w:rFonts w:ascii="Arial" w:cs="Arial" w:eastAsia="Arial" w:hAnsi="Arial"/>
                <w:sz w:val="11"/>
                <w:szCs w:val="11"/>
                <w:color w:val="auto"/>
              </w:rPr>
              <w:t>6,027,680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5,998,741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6,008,392</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US Med Acquisition, Inc.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08/13/2021</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9.00%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8,301,563</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8,301,563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8,218,547</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Walker Edison Furniture Company LLC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09/26/2024</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Home and Office Furnishings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tcPr>
          <w:p>
            <w:pPr>
              <w:jc w:val="right"/>
              <w:spacing w:after="0"/>
              <w:rPr>
                <w:sz w:val="20"/>
                <w:szCs w:val="20"/>
                <w:color w:val="auto"/>
              </w:rPr>
            </w:pPr>
            <w:r>
              <w:rPr>
                <w:rFonts w:ascii="Arial" w:cs="Arial" w:eastAsia="Arial" w:hAnsi="Arial"/>
                <w:sz w:val="11"/>
                <w:szCs w:val="11"/>
                <w:color w:val="auto"/>
              </w:rPr>
              <w:t>21,515,625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21,203,376</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21,515,625</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Wildcat Buyerco, Inc.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02/27/2026</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9,145,221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8,970,259</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9,053,770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Wildcat Buyerco, Inc. </w:t>
            </w:r>
            <w:r>
              <w:rPr>
                <w:rFonts w:ascii="Arial" w:cs="Arial" w:eastAsia="Arial" w:hAnsi="Arial"/>
                <w:sz w:val="9"/>
                <w:szCs w:val="9"/>
                <w:color w:val="auto"/>
              </w:rPr>
              <w:t>(7)</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02/27/2022</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2,573,529</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3,217</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Wildcat Buyerco, Inc. (Revolver) </w:t>
            </w:r>
            <w:r>
              <w:rPr>
                <w:rFonts w:ascii="Arial" w:cs="Arial" w:eastAsia="Arial" w:hAnsi="Arial"/>
                <w:sz w:val="9"/>
                <w:szCs w:val="9"/>
                <w:color w:val="auto"/>
              </w:rPr>
              <w:t>(7)</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02/27/2026</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551,471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(10,037)</w:t>
            </w:r>
          </w:p>
        </w:tc>
      </w:tr>
      <w:tr>
        <w:trPr>
          <w:trHeight w:val="128"/>
        </w:trPr>
        <w:tc>
          <w:tcPr>
            <w:tcW w:w="302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412,081,391</w:t>
            </w:r>
          </w:p>
        </w:tc>
        <w:tc>
          <w:tcPr>
            <w:tcW w:w="220" w:type="dxa"/>
            <w:vAlign w:val="bottom"/>
            <w:tcBorders>
              <w:bottom w:val="single" w:sz="8" w:color="CCECFF"/>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402,168,282</w:t>
            </w:r>
          </w:p>
        </w:tc>
        <w:tc>
          <w:tcPr>
            <w:tcW w:w="100" w:type="dxa"/>
            <w:vAlign w:val="bottom"/>
            <w:tcBorders>
              <w:bottom w:val="single" w:sz="8" w:color="CCECFF"/>
            </w:tcBorders>
          </w:tcPr>
          <w:p>
            <w:pPr>
              <w:spacing w:after="0"/>
              <w:rPr>
                <w:sz w:val="11"/>
                <w:szCs w:val="11"/>
                <w:color w:val="auto"/>
              </w:rPr>
            </w:pPr>
          </w:p>
        </w:tc>
      </w:tr>
      <w:tr>
        <w:trPr>
          <w:trHeight w:val="129"/>
        </w:trPr>
        <w:tc>
          <w:tcPr>
            <w:tcW w:w="302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Second Lien Secured Debt—32.0%</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Confie Seguros Holding Co.</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10/31/2025</w:t>
            </w:r>
          </w:p>
        </w:tc>
        <w:tc>
          <w:tcPr>
            <w:tcW w:w="2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8.66%</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L+850</w:t>
            </w:r>
          </w:p>
        </w:tc>
        <w:tc>
          <w:tcPr>
            <w:tcW w:w="660" w:type="dxa"/>
            <w:vAlign w:val="bottom"/>
          </w:tcPr>
          <w:p>
            <w:pPr>
              <w:jc w:val="right"/>
              <w:spacing w:after="0"/>
              <w:rPr>
                <w:sz w:val="20"/>
                <w:szCs w:val="20"/>
                <w:color w:val="auto"/>
              </w:rPr>
            </w:pPr>
            <w:r>
              <w:rPr>
                <w:rFonts w:ascii="Arial" w:cs="Arial" w:eastAsia="Arial" w:hAnsi="Arial"/>
                <w:sz w:val="11"/>
                <w:szCs w:val="11"/>
                <w:color w:val="auto"/>
              </w:rPr>
              <w:t>14,500,000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14,281,633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13,920,000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DecoPac, Inc.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03/31/2025</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9.25%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L+825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19,627,143</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19,382,758</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19,627,143</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Halo Buyer, Inc.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07/06/2026</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Consumer Products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9.25%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1M L+825</w:t>
            </w:r>
          </w:p>
        </w:tc>
        <w:tc>
          <w:tcPr>
            <w:tcW w:w="660" w:type="dxa"/>
            <w:vAlign w:val="bottom"/>
          </w:tcPr>
          <w:p>
            <w:pPr>
              <w:jc w:val="right"/>
              <w:spacing w:after="0"/>
              <w:rPr>
                <w:sz w:val="20"/>
                <w:szCs w:val="20"/>
                <w:color w:val="auto"/>
              </w:rPr>
            </w:pPr>
            <w:r>
              <w:rPr>
                <w:rFonts w:ascii="Arial" w:cs="Arial" w:eastAsia="Arial" w:hAnsi="Arial"/>
                <w:sz w:val="11"/>
                <w:szCs w:val="11"/>
                <w:color w:val="auto"/>
              </w:rPr>
              <w:t>32,500,000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32,062,567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31,460,000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Infogroup, Inc.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04/03/2024</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2"/>
              </w:rPr>
              <w:t>Other 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10.25%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L+925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20,400,000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20,157,649</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20,145,000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MailSouth, Inc.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10/23/2024</w:t>
            </w:r>
          </w:p>
        </w:tc>
        <w:tc>
          <w:tcPr>
            <w:tcW w:w="2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Printing and Publishing</w:t>
            </w:r>
          </w:p>
        </w:tc>
        <w:tc>
          <w:tcPr>
            <w:tcW w:w="940" w:type="dxa"/>
            <w:vAlign w:val="bottom"/>
            <w:gridSpan w:val="2"/>
          </w:tcPr>
          <w:p>
            <w:pPr>
              <w:jc w:val="right"/>
              <w:ind w:right="2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9"/>
                <w:szCs w:val="9"/>
                <w:color w:val="auto"/>
              </w:rPr>
              <w:t>(6)</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36,828,975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36,224,201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18,782,777</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MBS Holdings, Inc.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01/02/2024</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9.59%</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19,623,649</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19,359,314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19,329,294</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VT Topco, Inc.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08/24/2026</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7.15%</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3M L+700</w:t>
            </w:r>
          </w:p>
        </w:tc>
        <w:tc>
          <w:tcPr>
            <w:tcW w:w="660" w:type="dxa"/>
            <w:vAlign w:val="bottom"/>
          </w:tcPr>
          <w:p>
            <w:pPr>
              <w:jc w:val="right"/>
              <w:spacing w:after="0"/>
              <w:rPr>
                <w:sz w:val="20"/>
                <w:szCs w:val="20"/>
                <w:color w:val="auto"/>
              </w:rPr>
            </w:pPr>
            <w:r>
              <w:rPr>
                <w:rFonts w:ascii="Arial" w:cs="Arial" w:eastAsia="Arial" w:hAnsi="Arial"/>
                <w:sz w:val="11"/>
                <w:szCs w:val="11"/>
                <w:color w:val="auto"/>
              </w:rPr>
              <w:t>10,000,000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9,956,408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9,800,000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Winter Park Intermediate, Inc.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04/06/2026</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Auto Sector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8.65%</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35,300,000</w:t>
            </w:r>
          </w:p>
        </w:tc>
        <w:tc>
          <w:tcPr>
            <w:tcW w:w="240" w:type="dxa"/>
            <w:vAlign w:val="bottom"/>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34,816,687</w:t>
            </w:r>
          </w:p>
        </w:tc>
        <w:tc>
          <w:tcPr>
            <w:tcW w:w="220" w:type="dxa"/>
            <w:vAlign w:val="bottom"/>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35,300,000</w:t>
            </w:r>
          </w:p>
        </w:tc>
        <w:tc>
          <w:tcPr>
            <w:tcW w:w="100" w:type="dxa"/>
            <w:vAlign w:val="bottom"/>
            <w:shd w:val="clear" w:color="auto" w:fill="CCECFF"/>
          </w:tcPr>
          <w:p>
            <w:pPr>
              <w:spacing w:after="0"/>
              <w:rPr>
                <w:sz w:val="11"/>
                <w:szCs w:val="11"/>
                <w:color w:val="auto"/>
              </w:rPr>
            </w:pPr>
          </w:p>
        </w:tc>
      </w:tr>
      <w:tr>
        <w:trPr>
          <w:trHeight w:val="129"/>
        </w:trPr>
        <w:tc>
          <w:tcPr>
            <w:tcW w:w="3020" w:type="dxa"/>
            <w:vAlign w:val="bottom"/>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186,241,217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168,364,214</w:t>
            </w:r>
          </w:p>
        </w:tc>
        <w:tc>
          <w:tcPr>
            <w:tcW w:w="100" w:type="dxa"/>
            <w:vAlign w:val="bottom"/>
          </w:tcPr>
          <w:p>
            <w:pPr>
              <w:spacing w:after="0"/>
              <w:rPr>
                <w:sz w:val="11"/>
                <w:szCs w:val="11"/>
                <w:color w:val="auto"/>
              </w:rPr>
            </w:pPr>
          </w:p>
        </w:tc>
      </w:tr>
      <w:tr>
        <w:trPr>
          <w:trHeight w:val="128"/>
        </w:trPr>
        <w:tc>
          <w:tcPr>
            <w:tcW w:w="302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1"/>
                <w:szCs w:val="11"/>
                <w:b w:val="1"/>
                <w:bCs w:val="1"/>
                <w:color w:val="auto"/>
              </w:rPr>
              <w:t>Subordinated Debt/Corporate Notes—9.6%</w:t>
            </w:r>
          </w:p>
        </w:tc>
        <w:tc>
          <w:tcPr>
            <w:tcW w:w="12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6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84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r>
      <w:tr>
        <w:trPr>
          <w:trHeight w:val="139"/>
        </w:trPr>
        <w:tc>
          <w:tcPr>
            <w:tcW w:w="3020" w:type="dxa"/>
            <w:vAlign w:val="bottom"/>
          </w:tcPr>
          <w:p>
            <w:pPr>
              <w:spacing w:after="0"/>
              <w:rPr>
                <w:sz w:val="20"/>
                <w:szCs w:val="20"/>
                <w:color w:val="auto"/>
              </w:rPr>
            </w:pPr>
            <w:r>
              <w:rPr>
                <w:rFonts w:ascii="Arial" w:cs="Arial" w:eastAsia="Arial" w:hAnsi="Arial"/>
                <w:sz w:val="11"/>
                <w:szCs w:val="11"/>
                <w:color w:val="auto"/>
              </w:rPr>
              <w:t>Blackhawk Industrial Distribution, Inc.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03/17/2025</w:t>
            </w:r>
          </w:p>
        </w:tc>
        <w:tc>
          <w:tcPr>
            <w:tcW w:w="2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12.00%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14,051,843</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13,842,572</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13,665,417</w:t>
            </w:r>
          </w:p>
        </w:tc>
        <w:tc>
          <w:tcPr>
            <w:tcW w:w="100" w:type="dxa"/>
            <w:vAlign w:val="bottom"/>
          </w:tcPr>
          <w:p>
            <w:pPr>
              <w:spacing w:after="0"/>
              <w:rPr>
                <w:sz w:val="12"/>
                <w:szCs w:val="12"/>
                <w:color w:val="auto"/>
              </w:rPr>
            </w:pPr>
          </w:p>
        </w:tc>
      </w:tr>
      <w:tr>
        <w:trPr>
          <w:trHeight w:val="131"/>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2.00%)</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Cascade Environmental LLC</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12/30/2023</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13.00%</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37,371,131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36,938,019</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36,903,992</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13.00%)</w:t>
            </w: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28"/>
        </w:trPr>
        <w:tc>
          <w:tcPr>
            <w:tcW w:w="3020" w:type="dxa"/>
            <w:vAlign w:val="bottom"/>
          </w:tcPr>
          <w:p>
            <w:pPr>
              <w:spacing w:after="0"/>
              <w:rPr>
                <w:sz w:val="20"/>
                <w:szCs w:val="20"/>
                <w:color w:val="auto"/>
              </w:rPr>
            </w:pPr>
            <w:r>
              <w:rPr>
                <w:rFonts w:ascii="Arial" w:cs="Arial" w:eastAsia="Arial" w:hAnsi="Arial"/>
                <w:sz w:val="11"/>
                <w:szCs w:val="11"/>
                <w:b w:val="1"/>
                <w:bCs w:val="1"/>
                <w:color w:val="auto"/>
              </w:rPr>
              <w:t>Total Subordinated Debt/Corporate Notes</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50,780,591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50,569,409</w:t>
            </w:r>
          </w:p>
        </w:tc>
        <w:tc>
          <w:tcPr>
            <w:tcW w:w="100" w:type="dxa"/>
            <w:vAlign w:val="bottom"/>
          </w:tcPr>
          <w:p>
            <w:pPr>
              <w:spacing w:after="0"/>
              <w:rPr>
                <w:sz w:val="11"/>
                <w:szCs w:val="11"/>
                <w:color w:val="auto"/>
              </w:rPr>
            </w:pPr>
          </w:p>
        </w:tc>
      </w:tr>
      <w:tr>
        <w:trPr>
          <w:trHeight w:val="128"/>
        </w:trPr>
        <w:tc>
          <w:tcPr>
            <w:tcW w:w="302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1"/>
                <w:szCs w:val="11"/>
                <w:b w:val="1"/>
                <w:bCs w:val="1"/>
                <w:color w:val="auto"/>
              </w:rPr>
              <w:t xml:space="preserve">Preferred Equity/Partnership Interests—4.1% </w:t>
            </w:r>
            <w:r>
              <w:rPr>
                <w:rFonts w:ascii="Arial" w:cs="Arial" w:eastAsia="Arial" w:hAnsi="Arial"/>
                <w:sz w:val="9"/>
                <w:szCs w:val="9"/>
                <w:b w:val="1"/>
                <w:bCs w:val="1"/>
                <w:color w:val="auto"/>
              </w:rPr>
              <w:t>(6)</w:t>
            </w:r>
          </w:p>
        </w:tc>
        <w:tc>
          <w:tcPr>
            <w:tcW w:w="12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6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84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AH Holdings,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211</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500,000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167,083</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Cascade Environmental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16.00%</w:t>
            </w: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178,304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17,607,478</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17,652,053</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Condor Holdings Limited </w:t>
            </w:r>
            <w:r>
              <w:rPr>
                <w:rFonts w:ascii="Arial" w:cs="Arial" w:eastAsia="Arial" w:hAnsi="Arial"/>
                <w:sz w:val="9"/>
                <w:szCs w:val="9"/>
                <w:color w:val="auto"/>
              </w:rPr>
              <w:t>(8), (11)</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556,000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64,277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71,233</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Condor Top Holdco Limited </w:t>
            </w:r>
            <w:r>
              <w:rPr>
                <w:rFonts w:ascii="Arial" w:cs="Arial" w:eastAsia="Arial" w:hAnsi="Arial"/>
                <w:sz w:val="9"/>
                <w:szCs w:val="9"/>
                <w:color w:val="auto"/>
              </w:rPr>
              <w:t>(8), (11)</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556,000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491,723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1,308,363</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540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540,000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357,199</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NXOF Holdings, Inc. (Tyto Athene,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107</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106,823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129,098</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Signature CR Intermediate Holdco,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12.00%</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1,347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1,346,530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1,409,711</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9"/>
                <w:szCs w:val="9"/>
                <w:color w:val="auto"/>
              </w:rPr>
              <w:t>(8),(11)</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Food</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219</w:t>
            </w:r>
          </w:p>
        </w:tc>
        <w:tc>
          <w:tcPr>
            <w:tcW w:w="240" w:type="dxa"/>
            <w:vAlign w:val="bottom"/>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219,010</w:t>
            </w:r>
          </w:p>
        </w:tc>
        <w:tc>
          <w:tcPr>
            <w:tcW w:w="220" w:type="dxa"/>
            <w:vAlign w:val="bottom"/>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237,288</w:t>
            </w:r>
          </w:p>
        </w:tc>
        <w:tc>
          <w:tcPr>
            <w:tcW w:w="100" w:type="dxa"/>
            <w:vAlign w:val="bottom"/>
            <w:shd w:val="clear" w:color="auto" w:fill="CCECFF"/>
          </w:tcPr>
          <w:p>
            <w:pPr>
              <w:spacing w:after="0"/>
              <w:rPr>
                <w:sz w:val="11"/>
                <w:szCs w:val="11"/>
                <w:color w:val="auto"/>
              </w:rPr>
            </w:pPr>
          </w:p>
        </w:tc>
      </w:tr>
      <w:tr>
        <w:trPr>
          <w:trHeight w:val="129"/>
        </w:trPr>
        <w:tc>
          <w:tcPr>
            <w:tcW w:w="3020" w:type="dxa"/>
            <w:vAlign w:val="bottom"/>
          </w:tcPr>
          <w:p>
            <w:pPr>
              <w:spacing w:after="0"/>
              <w:rPr>
                <w:sz w:val="20"/>
                <w:szCs w:val="20"/>
                <w:color w:val="auto"/>
              </w:rPr>
            </w:pPr>
            <w:r>
              <w:rPr>
                <w:rFonts w:ascii="Arial" w:cs="Arial" w:eastAsia="Arial" w:hAnsi="Arial"/>
                <w:sz w:val="11"/>
                <w:szCs w:val="11"/>
                <w:b w:val="1"/>
                <w:bCs w:val="1"/>
                <w:color w:val="auto"/>
              </w:rPr>
              <w:t>Total Preferred Equity/Partnership Interests</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20,875,841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21,332,028</w:t>
            </w:r>
          </w:p>
        </w:tc>
        <w:tc>
          <w:tcPr>
            <w:tcW w:w="100" w:type="dxa"/>
            <w:vAlign w:val="bottom"/>
          </w:tcPr>
          <w:p>
            <w:pPr>
              <w:spacing w:after="0"/>
              <w:rPr>
                <w:sz w:val="11"/>
                <w:szCs w:val="11"/>
                <w:color w:val="auto"/>
              </w:rPr>
            </w:pPr>
          </w:p>
        </w:tc>
      </w:tr>
      <w:tr>
        <w:trPr>
          <w:trHeight w:val="128"/>
        </w:trPr>
        <w:tc>
          <w:tcPr>
            <w:tcW w:w="302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1"/>
                <w:szCs w:val="11"/>
                <w:b w:val="1"/>
                <w:bCs w:val="1"/>
                <w:color w:val="auto"/>
                <w:w w:val="98"/>
              </w:rPr>
              <w:t xml:space="preserve">Common Equity/Partnership Interests/Warrants—17.7% </w:t>
            </w:r>
            <w:r>
              <w:rPr>
                <w:rFonts w:ascii="Arial" w:cs="Arial" w:eastAsia="Arial" w:hAnsi="Arial"/>
                <w:sz w:val="9"/>
                <w:szCs w:val="9"/>
                <w:b w:val="1"/>
                <w:bCs w:val="1"/>
                <w:color w:val="auto"/>
                <w:w w:val="98"/>
              </w:rPr>
              <w:t>(6)</w:t>
            </w:r>
          </w:p>
        </w:tc>
        <w:tc>
          <w:tcPr>
            <w:tcW w:w="12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6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84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Affinion Group Holdings, Inc. (Warrants)</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04/10/2024</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Consumer Products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77,190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2,126,399</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805,164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805,164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1,002,599</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(7), (9)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194,836</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AH Holdings, Inc. (Warrants)</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03/23/2021</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753</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Altamira Intermediate Company II,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125,000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125,000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81,148</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ASP LCG Holdings, Inc. (Warrants)</w:t>
            </w:r>
          </w:p>
        </w:tc>
        <w:tc>
          <w:tcPr>
            <w:tcW w:w="64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90"/>
              </w:rPr>
              <w:t>05/05/2026</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933</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586,975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2,236,540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Cascade Environmental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33,901</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2,852,080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696,346</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CI (Allied) Investment Holdings,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120,962</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1,243,217</w:t>
            </w:r>
          </w:p>
        </w:tc>
        <w:tc>
          <w:tcPr>
            <w:tcW w:w="22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2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(PRA Events, Inc.)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9"/>
        </w:trPr>
        <w:tc>
          <w:tcPr>
            <w:tcW w:w="3020" w:type="dxa"/>
            <w:vAlign w:val="bottom"/>
          </w:tcPr>
          <w:p>
            <w:pPr>
              <w:spacing w:after="0"/>
              <w:rPr>
                <w:sz w:val="20"/>
                <w:szCs w:val="20"/>
                <w:color w:val="auto"/>
              </w:rPr>
            </w:pPr>
            <w:r>
              <w:rPr>
                <w:rFonts w:ascii="Arial" w:cs="Arial" w:eastAsia="Arial" w:hAnsi="Arial"/>
                <w:sz w:val="11"/>
                <w:szCs w:val="11"/>
                <w:color w:val="auto"/>
              </w:rPr>
              <w:t>CI (Summit) Investment Holdings LLC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Buildings and Real Estate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122,870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1,270,646</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1,647,095</w:t>
            </w:r>
          </w:p>
        </w:tc>
        <w:tc>
          <w:tcPr>
            <w:tcW w:w="100" w:type="dxa"/>
            <w:vAlign w:val="bottom"/>
          </w:tcPr>
          <w:p>
            <w:pPr>
              <w:spacing w:after="0"/>
              <w:rPr>
                <w:sz w:val="12"/>
                <w:szCs w:val="12"/>
                <w:color w:val="auto"/>
              </w:rPr>
            </w:pPr>
          </w:p>
        </w:tc>
      </w:tr>
      <w:tr>
        <w:trPr>
          <w:trHeight w:val="131"/>
        </w:trPr>
        <w:tc>
          <w:tcPr>
            <w:tcW w:w="3020" w:type="dxa"/>
            <w:vAlign w:val="bottom"/>
          </w:tcPr>
          <w:p>
            <w:pPr>
              <w:ind w:left="140"/>
              <w:spacing w:after="0"/>
              <w:rPr>
                <w:sz w:val="20"/>
                <w:szCs w:val="20"/>
                <w:color w:val="auto"/>
              </w:rPr>
            </w:pPr>
            <w:r>
              <w:rPr>
                <w:rFonts w:ascii="Arial" w:cs="Arial" w:eastAsia="Arial" w:hAnsi="Arial"/>
                <w:sz w:val="11"/>
                <w:szCs w:val="11"/>
                <w:color w:val="auto"/>
              </w:rPr>
              <w:t>(SFP Holdings, Inc.)</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Cowboy Parent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22,500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2,250,000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1,165,785</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ind w:left="140"/>
              <w:spacing w:after="0"/>
              <w:rPr>
                <w:sz w:val="20"/>
                <w:szCs w:val="20"/>
                <w:color w:val="auto"/>
              </w:rPr>
            </w:pPr>
            <w:r>
              <w:rPr>
                <w:rFonts w:ascii="Arial" w:cs="Arial" w:eastAsia="Arial" w:hAnsi="Arial"/>
                <w:sz w:val="11"/>
                <w:szCs w:val="11"/>
                <w:color w:val="auto"/>
              </w:rPr>
              <w:t>(Blackhawk Industrial Distribution, Inc.)</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DecoPac Holdings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3,449</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3,448,658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5,072,041</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ECM Investors,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Electronics</w:t>
            </w: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167,537</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167,537</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254,307</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 xml:space="preserve">eCommission Holding Corporation </w:t>
            </w:r>
            <w:r>
              <w:rPr>
                <w:rFonts w:ascii="Arial" w:cs="Arial" w:eastAsia="Arial" w:hAnsi="Arial"/>
                <w:sz w:val="9"/>
                <w:szCs w:val="9"/>
                <w:color w:val="auto"/>
              </w:rPr>
              <w:t>(11)</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Financial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1,004,625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1,029,685</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Faraday Holdings,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2"/>
              </w:rPr>
              <w:t>Building Materials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4,277</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217,635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1,408,259</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Gauge Lash Coinvest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Consumer Products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889,376</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1,053,800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1,565,301</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Gauge Schlesinger Coinvest,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8,896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8,662</w:t>
            </w:r>
          </w:p>
        </w:tc>
        <w:tc>
          <w:tcPr>
            <w:tcW w:w="100" w:type="dxa"/>
            <w:vAlign w:val="bottom"/>
            <w:shd w:val="clear" w:color="auto" w:fill="CCECFF"/>
          </w:tcPr>
          <w:p>
            <w:pPr>
              <w:spacing w:after="0"/>
              <w:rPr>
                <w:sz w:val="11"/>
                <w:szCs w:val="11"/>
                <w:color w:val="auto"/>
              </w:rPr>
            </w:pPr>
          </w:p>
        </w:tc>
      </w:tr>
      <w:tr>
        <w:trPr>
          <w:trHeight w:val="139"/>
        </w:trPr>
        <w:tc>
          <w:tcPr>
            <w:tcW w:w="3020" w:type="dxa"/>
            <w:vAlign w:val="bottom"/>
          </w:tcPr>
          <w:p>
            <w:pPr>
              <w:spacing w:after="0"/>
              <w:rPr>
                <w:sz w:val="20"/>
                <w:szCs w:val="20"/>
                <w:color w:val="auto"/>
              </w:rPr>
            </w:pPr>
            <w:r>
              <w:rPr>
                <w:rFonts w:ascii="Arial" w:cs="Arial" w:eastAsia="Arial" w:hAnsi="Arial"/>
                <w:sz w:val="11"/>
                <w:szCs w:val="11"/>
                <w:color w:val="auto"/>
              </w:rPr>
              <w:t>Gauge TVC Coinvest, LLC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Transportation</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810,645</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810,645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999,520</w:t>
            </w:r>
          </w:p>
        </w:tc>
        <w:tc>
          <w:tcPr>
            <w:tcW w:w="100" w:type="dxa"/>
            <w:vAlign w:val="bottom"/>
          </w:tcPr>
          <w:p>
            <w:pPr>
              <w:spacing w:after="0"/>
              <w:rPr>
                <w:sz w:val="12"/>
                <w:szCs w:val="12"/>
                <w:color w:val="auto"/>
              </w:rPr>
            </w:pPr>
          </w:p>
        </w:tc>
      </w:tr>
      <w:tr>
        <w:trPr>
          <w:trHeight w:val="131"/>
        </w:trPr>
        <w:tc>
          <w:tcPr>
            <w:tcW w:w="3020" w:type="dxa"/>
            <w:vAlign w:val="bottom"/>
          </w:tcPr>
          <w:p>
            <w:pPr>
              <w:ind w:left="140"/>
              <w:spacing w:after="0"/>
              <w:rPr>
                <w:sz w:val="20"/>
                <w:szCs w:val="20"/>
                <w:color w:val="auto"/>
              </w:rPr>
            </w:pPr>
            <w:r>
              <w:rPr>
                <w:rFonts w:ascii="Arial" w:cs="Arial" w:eastAsia="Arial" w:hAnsi="Arial"/>
                <w:sz w:val="11"/>
                <w:szCs w:val="11"/>
                <w:color w:val="auto"/>
              </w:rPr>
              <w:t>(TVC Enterprises, LLC)</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GCOM InvestCo LP </w:t>
            </w:r>
            <w:r>
              <w:rPr>
                <w:rFonts w:ascii="Arial" w:cs="Arial" w:eastAsia="Arial" w:hAnsi="Arial"/>
                <w:sz w:val="9"/>
                <w:szCs w:val="9"/>
                <w:color w:val="auto"/>
              </w:rPr>
              <w:t>(7)</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111,574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9"/>
        </w:trPr>
        <w:tc>
          <w:tcPr>
            <w:tcW w:w="3020" w:type="dxa"/>
            <w:vAlign w:val="bottom"/>
          </w:tcPr>
          <w:p>
            <w:pPr>
              <w:spacing w:after="0"/>
              <w:rPr>
                <w:sz w:val="20"/>
                <w:szCs w:val="20"/>
                <w:color w:val="auto"/>
              </w:rPr>
            </w:pPr>
            <w:r>
              <w:rPr>
                <w:rFonts w:ascii="Arial" w:cs="Arial" w:eastAsia="Arial" w:hAnsi="Arial"/>
                <w:sz w:val="11"/>
                <w:szCs w:val="11"/>
                <w:color w:val="auto"/>
              </w:rPr>
              <w:t>Go Dawgs Capital III, LP</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Building Materials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675,325</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675,325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675,325</w:t>
            </w:r>
          </w:p>
        </w:tc>
        <w:tc>
          <w:tcPr>
            <w:tcW w:w="100" w:type="dxa"/>
            <w:vAlign w:val="bottom"/>
          </w:tcPr>
          <w:p>
            <w:pPr>
              <w:spacing w:after="0"/>
              <w:rPr>
                <w:sz w:val="12"/>
                <w:szCs w:val="12"/>
                <w:color w:val="auto"/>
              </w:rPr>
            </w:pPr>
          </w:p>
        </w:tc>
      </w:tr>
      <w:tr>
        <w:trPr>
          <w:trHeight w:val="131"/>
        </w:trPr>
        <w:tc>
          <w:tcPr>
            <w:tcW w:w="3020" w:type="dxa"/>
            <w:vAlign w:val="bottom"/>
          </w:tcPr>
          <w:p>
            <w:pPr>
              <w:ind w:left="140"/>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Green Veracity Holdings, LP - Class A</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2,886,104</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ind w:left="140"/>
              <w:spacing w:after="0"/>
              <w:rPr>
                <w:sz w:val="20"/>
                <w:szCs w:val="20"/>
                <w:color w:val="auto"/>
              </w:rPr>
            </w:pPr>
            <w:r>
              <w:rPr>
                <w:rFonts w:ascii="Arial" w:cs="Arial" w:eastAsia="Arial" w:hAnsi="Arial"/>
                <w:sz w:val="11"/>
                <w:szCs w:val="11"/>
                <w:color w:val="auto"/>
              </w:rPr>
              <w:t>(VT Topco, Inc.)</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Arial" w:cs="Arial" w:eastAsia="Arial" w:hAnsi="Arial"/>
                <w:sz w:val="11"/>
                <w:szCs w:val="11"/>
                <w:color w:val="auto"/>
              </w:rPr>
              <w:t>Infogroup Parent Holdings,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Other 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181,495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2,040,000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2,522,594</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ITC Rumba, LLC (Cano Health,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375,675</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4,317,307</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18,761,506</w:t>
            </w:r>
          </w:p>
        </w:tc>
        <w:tc>
          <w:tcPr>
            <w:tcW w:w="100" w:type="dxa"/>
            <w:vAlign w:val="bottom"/>
            <w:shd w:val="clear" w:color="auto" w:fill="CCECFF"/>
          </w:tcPr>
          <w:p>
            <w:pPr>
              <w:spacing w:after="0"/>
              <w:rPr>
                <w:sz w:val="11"/>
                <w:szCs w:val="11"/>
                <w:color w:val="auto"/>
              </w:rPr>
            </w:pPr>
          </w:p>
        </w:tc>
      </w:tr>
      <w:tr>
        <w:trPr>
          <w:trHeight w:val="139"/>
        </w:trPr>
        <w:tc>
          <w:tcPr>
            <w:tcW w:w="3020" w:type="dxa"/>
            <w:vAlign w:val="bottom"/>
          </w:tcPr>
          <w:p>
            <w:pPr>
              <w:spacing w:after="0"/>
              <w:rPr>
                <w:sz w:val="20"/>
                <w:szCs w:val="20"/>
                <w:color w:val="auto"/>
              </w:rPr>
            </w:pPr>
            <w:r>
              <w:rPr>
                <w:rFonts w:ascii="Arial" w:cs="Arial" w:eastAsia="Arial" w:hAnsi="Arial"/>
                <w:sz w:val="11"/>
                <w:szCs w:val="11"/>
                <w:color w:val="auto"/>
              </w:rPr>
              <w:t>JWC-WE Holdings, L.P.</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Home and Office Furnishings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1,906,433</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1,906,433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12,010,531</w:t>
            </w:r>
          </w:p>
        </w:tc>
        <w:tc>
          <w:tcPr>
            <w:tcW w:w="100" w:type="dxa"/>
            <w:vAlign w:val="bottom"/>
          </w:tcPr>
          <w:p>
            <w:pPr>
              <w:spacing w:after="0"/>
              <w:rPr>
                <w:sz w:val="12"/>
                <w:szCs w:val="12"/>
                <w:color w:val="auto"/>
              </w:rPr>
            </w:pPr>
          </w:p>
        </w:tc>
      </w:tr>
      <w:tr>
        <w:trPr>
          <w:trHeight w:val="131"/>
        </w:trPr>
        <w:tc>
          <w:tcPr>
            <w:tcW w:w="3020" w:type="dxa"/>
            <w:vAlign w:val="bottom"/>
          </w:tcPr>
          <w:p>
            <w:pPr>
              <w:ind w:left="140"/>
              <w:spacing w:after="0"/>
              <w:rPr>
                <w:sz w:val="20"/>
                <w:szCs w:val="20"/>
                <w:color w:val="auto"/>
              </w:rPr>
            </w:pPr>
            <w:r>
              <w:rPr>
                <w:rFonts w:ascii="Arial" w:cs="Arial" w:eastAsia="Arial" w:hAnsi="Arial"/>
                <w:sz w:val="11"/>
                <w:szCs w:val="11"/>
                <w:color w:val="auto"/>
              </w:rPr>
              <w:t xml:space="preserve">(Walker Edison Furniture Company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Kadmon Holdings, Inc. </w:t>
            </w:r>
            <w:r>
              <w:rPr>
                <w:rFonts w:ascii="Arial" w:cs="Arial" w:eastAsia="Arial" w:hAnsi="Arial"/>
                <w:sz w:val="9"/>
                <w:szCs w:val="9"/>
                <w:color w:val="auto"/>
              </w:rPr>
              <w:t>(5)</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252,014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2,265,639</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987,895</w:t>
            </w:r>
          </w:p>
        </w:tc>
        <w:tc>
          <w:tcPr>
            <w:tcW w:w="100" w:type="dxa"/>
            <w:vAlign w:val="bottom"/>
            <w:shd w:val="clear" w:color="auto" w:fill="CCECFF"/>
          </w:tcPr>
          <w:p>
            <w:pPr>
              <w:spacing w:after="0"/>
              <w:rPr>
                <w:sz w:val="11"/>
                <w:szCs w:val="11"/>
                <w:color w:val="auto"/>
              </w:rPr>
            </w:pP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83"/>
              </w:rPr>
              <w:t>Basis Point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Maturity /</w:t>
            </w: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Spread Above</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9"/>
              </w:rPr>
              <w:t>Expiration</w:t>
            </w:r>
          </w:p>
        </w:tc>
        <w:tc>
          <w:tcPr>
            <w:tcW w:w="240" w:type="dxa"/>
            <w:vAlign w:val="bottom"/>
          </w:tcPr>
          <w:p>
            <w:pPr>
              <w:spacing w:after="0"/>
              <w:rPr>
                <w:sz w:val="11"/>
                <w:szCs w:val="11"/>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11"/>
                <w:szCs w:val="11"/>
                <w:color w:val="auto"/>
              </w:rPr>
            </w:pPr>
          </w:p>
        </w:tc>
        <w:tc>
          <w:tcPr>
            <w:tcW w:w="6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Coupon</w:t>
            </w:r>
          </w:p>
        </w:tc>
        <w:tc>
          <w:tcPr>
            <w:tcW w:w="280" w:type="dxa"/>
            <w:vAlign w:val="bottom"/>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w w:val="92"/>
              </w:rPr>
              <w:t>Shares</w:t>
            </w: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9"/>
                <w:szCs w:val="9"/>
                <w:b w:val="1"/>
                <w:bCs w:val="1"/>
                <w:color w:val="auto"/>
                <w:w w:val="89"/>
              </w:rPr>
              <w:t>(3)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Pr>
          <w:p>
            <w:pPr>
              <w:spacing w:after="0"/>
              <w:rPr>
                <w:sz w:val="20"/>
                <w:szCs w:val="20"/>
                <w:color w:val="auto"/>
              </w:rPr>
            </w:pPr>
            <w:r>
              <w:rPr>
                <w:rFonts w:ascii="Arial" w:cs="Arial" w:eastAsia="Arial" w:hAnsi="Arial"/>
                <w:sz w:val="11"/>
                <w:szCs w:val="11"/>
                <w:color w:val="auto"/>
              </w:rPr>
              <w:t>Kentucky Racing Holdco, LLC (Warrants)</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Hotels, Motels, Inns and Gaming</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161,252</w:t>
            </w:r>
          </w:p>
        </w:tc>
        <w:tc>
          <w:tcPr>
            <w:tcW w:w="3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417,910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Lariat ecoserv Co-Invest Holdings,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363,656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363,656</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593,924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20"/>
                <w:szCs w:val="20"/>
                <w:color w:val="auto"/>
              </w:rPr>
            </w:pPr>
            <w:r>
              <w:rPr>
                <w:rFonts w:ascii="Arial" w:cs="Arial" w:eastAsia="Arial" w:hAnsi="Arial"/>
                <w:sz w:val="11"/>
                <w:szCs w:val="11"/>
                <w:color w:val="auto"/>
              </w:rPr>
              <w:t>Lightspeed Investment Holdco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273,143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273,143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313,596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3"/>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2960" w:type="dxa"/>
            <w:vAlign w:val="bottom"/>
          </w:tcPr>
          <w:p>
            <w:pPr>
              <w:spacing w:after="0"/>
              <w:rPr>
                <w:sz w:val="20"/>
                <w:szCs w:val="20"/>
                <w:color w:val="auto"/>
              </w:rPr>
            </w:pPr>
            <w:r>
              <w:rPr>
                <w:rFonts w:ascii="Arial" w:cs="Arial" w:eastAsia="Arial" w:hAnsi="Arial"/>
                <w:sz w:val="11"/>
                <w:szCs w:val="11"/>
                <w:color w:val="auto"/>
              </w:rPr>
              <w:t>NXOF Holdings, Inc.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2,180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2,180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5,432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960" w:type="dxa"/>
            <w:vAlign w:val="bottom"/>
          </w:tcPr>
          <w:p>
            <w:pPr>
              <w:ind w:left="140"/>
              <w:spacing w:after="0"/>
              <w:rPr>
                <w:sz w:val="20"/>
                <w:szCs w:val="20"/>
                <w:color w:val="auto"/>
              </w:rPr>
            </w:pPr>
            <w:r>
              <w:rPr>
                <w:rFonts w:ascii="Arial" w:cs="Arial" w:eastAsia="Arial" w:hAnsi="Arial"/>
                <w:sz w:val="11"/>
                <w:szCs w:val="11"/>
                <w:color w:val="auto"/>
              </w:rPr>
              <w:t>(Tyto Athene, LLC)</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OceanSound Discovery Equity, LP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98,286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982,857</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987,611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(Holdco Sands Intermediate,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70,000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103,995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9"/>
                <w:szCs w:val="9"/>
                <w:color w:val="auto"/>
              </w:rPr>
              <w:t>(7), (9)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96,667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2960" w:type="dxa"/>
            <w:vAlign w:val="bottom"/>
          </w:tcPr>
          <w:p>
            <w:pPr>
              <w:spacing w:after="0"/>
              <w:rPr>
                <w:sz w:val="20"/>
                <w:szCs w:val="20"/>
                <w:color w:val="auto"/>
              </w:rPr>
            </w:pPr>
            <w:r>
              <w:rPr>
                <w:rFonts w:ascii="Arial" w:cs="Arial" w:eastAsia="Arial" w:hAnsi="Arial"/>
                <w:sz w:val="11"/>
                <w:szCs w:val="11"/>
                <w:color w:val="auto"/>
              </w:rPr>
              <w:t>SBI Holdings Investments LLC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36,585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365,854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259,298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960" w:type="dxa"/>
            <w:vAlign w:val="bottom"/>
          </w:tcPr>
          <w:p>
            <w:pPr>
              <w:ind w:left="140"/>
              <w:spacing w:after="0"/>
              <w:rPr>
                <w:sz w:val="20"/>
                <w:szCs w:val="20"/>
                <w:color w:val="auto"/>
              </w:rPr>
            </w:pPr>
            <w:r>
              <w:rPr>
                <w:rFonts w:ascii="Arial" w:cs="Arial" w:eastAsia="Arial" w:hAnsi="Arial"/>
                <w:sz w:val="11"/>
                <w:szCs w:val="11"/>
                <w:color w:val="auto"/>
              </w:rPr>
              <w:t>(Sales Benchmark Index LLC)</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Signature CR Intermediate Holdco, Inc.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70,870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2960" w:type="dxa"/>
            <w:vAlign w:val="bottom"/>
          </w:tcPr>
          <w:p>
            <w:pPr>
              <w:spacing w:after="0"/>
              <w:rPr>
                <w:sz w:val="20"/>
                <w:szCs w:val="20"/>
                <w:color w:val="auto"/>
              </w:rPr>
            </w:pPr>
            <w:r>
              <w:rPr>
                <w:rFonts w:ascii="Arial" w:cs="Arial" w:eastAsia="Arial" w:hAnsi="Arial"/>
                <w:sz w:val="11"/>
                <w:szCs w:val="11"/>
                <w:color w:val="auto"/>
              </w:rPr>
              <w:t>SSC Dominion Holdings, LLC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1,500,000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1,749,600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960" w:type="dxa"/>
            <w:vAlign w:val="bottom"/>
          </w:tcPr>
          <w:p>
            <w:pPr>
              <w:ind w:left="140"/>
              <w:spacing w:after="0"/>
              <w:rPr>
                <w:sz w:val="20"/>
                <w:szCs w:val="20"/>
                <w:color w:val="auto"/>
              </w:rPr>
            </w:pPr>
            <w:r>
              <w:rPr>
                <w:rFonts w:ascii="Arial" w:cs="Arial" w:eastAsia="Arial" w:hAnsi="Arial"/>
                <w:sz w:val="11"/>
                <w:szCs w:val="11"/>
                <w:color w:val="auto"/>
              </w:rPr>
              <w:t>Class A (US Dominion, Inc.)</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SSC Dominion Holdings,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4,756,165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Class B (US Dominion, Inc.)</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9"/>
                <w:szCs w:val="9"/>
                <w:color w:val="auto"/>
              </w:rPr>
              <w:t>(8). (11)</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Food</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11,527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11,527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56,482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U.S. Well Services, Inc. - Class A </w:t>
            </w:r>
            <w:r>
              <w:rPr>
                <w:rFonts w:ascii="Arial" w:cs="Arial" w:eastAsia="Arial" w:hAnsi="Arial"/>
                <w:sz w:val="9"/>
                <w:szCs w:val="9"/>
                <w:color w:val="auto"/>
              </w:rPr>
              <w:t>(5), (11)</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1,261,201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3,021,880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341,029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960" w:type="dxa"/>
            <w:vAlign w:val="bottom"/>
          </w:tcPr>
          <w:p>
            <w:pPr>
              <w:spacing w:after="0"/>
              <w:rPr>
                <w:sz w:val="20"/>
                <w:szCs w:val="20"/>
                <w:color w:val="auto"/>
              </w:rPr>
            </w:pPr>
            <w:r>
              <w:rPr>
                <w:rFonts w:ascii="Arial" w:cs="Arial" w:eastAsia="Arial" w:hAnsi="Arial"/>
                <w:sz w:val="11"/>
                <w:szCs w:val="11"/>
                <w:color w:val="auto"/>
              </w:rPr>
              <w:t>WBB Equity, LLC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628,571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628,571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2,753,143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960" w:type="dxa"/>
            <w:vAlign w:val="bottom"/>
          </w:tcPr>
          <w:p>
            <w:pPr>
              <w:ind w:left="140"/>
              <w:spacing w:after="0"/>
              <w:rPr>
                <w:sz w:val="20"/>
                <w:szCs w:val="20"/>
                <w:color w:val="auto"/>
              </w:rPr>
            </w:pPr>
            <w:r>
              <w:rPr>
                <w:rFonts w:ascii="Arial" w:cs="Arial" w:eastAsia="Arial" w:hAnsi="Arial"/>
                <w:sz w:val="11"/>
                <w:szCs w:val="11"/>
                <w:color w:val="auto"/>
              </w:rPr>
              <w:t xml:space="preserve">(Whitney, Bradley &amp; Brown, Inc.)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Wheel Pros Holdings, L.P.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Auto Sector</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3,778,704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4,450,000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23,022,380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(Winter Park Intermediate, Inc.)</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20"/>
                <w:szCs w:val="20"/>
                <w:color w:val="auto"/>
              </w:rPr>
            </w:pPr>
            <w:r>
              <w:rPr>
                <w:rFonts w:ascii="Arial" w:cs="Arial" w:eastAsia="Arial" w:hAnsi="Arial"/>
                <w:sz w:val="11"/>
                <w:szCs w:val="11"/>
                <w:color w:val="auto"/>
              </w:rPr>
              <w:t>Wildcat Parent, LP (Wildcat Buyerco,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2,314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231,400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254,847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ZS Juniper L.P.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Personal, Food and Miscellaneous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1,056,250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2,614,078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(Juniper Landscaping of Florida,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Common Equity/Partnership Interests/Warrants</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43,704,169</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93,240,733</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20" w:type="dxa"/>
            <w:vAlign w:val="bottom"/>
            <w:gridSpan w:val="4"/>
            <w:shd w:val="clear" w:color="auto" w:fill="CCECFF"/>
          </w:tcPr>
          <w:p>
            <w:pPr>
              <w:spacing w:after="0"/>
              <w:rPr>
                <w:sz w:val="20"/>
                <w:szCs w:val="20"/>
                <w:color w:val="auto"/>
              </w:rPr>
            </w:pPr>
            <w:r>
              <w:rPr>
                <w:rFonts w:ascii="Arial" w:cs="Arial" w:eastAsia="Arial" w:hAnsi="Arial"/>
                <w:sz w:val="11"/>
                <w:szCs w:val="11"/>
                <w:b w:val="1"/>
                <w:bCs w:val="1"/>
                <w:color w:val="auto"/>
              </w:rPr>
              <w:t>Total Investments in Non-Controlled, Non-Affiliated Portfolio Companies</w:t>
            </w: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713,683,209</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735,674,666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20" w:type="dxa"/>
            <w:vAlign w:val="bottom"/>
            <w:gridSpan w:val="4"/>
          </w:tcPr>
          <w:p>
            <w:pPr>
              <w:spacing w:after="0"/>
              <w:rPr>
                <w:sz w:val="20"/>
                <w:szCs w:val="20"/>
                <w:color w:val="auto"/>
              </w:rPr>
            </w:pPr>
            <w:r>
              <w:rPr>
                <w:rFonts w:ascii="Arial" w:cs="Arial" w:eastAsia="Arial" w:hAnsi="Arial"/>
                <w:sz w:val="11"/>
                <w:szCs w:val="11"/>
                <w:b w:val="1"/>
                <w:bCs w:val="1"/>
                <w:color w:val="auto"/>
                <w:w w:val="97"/>
              </w:rPr>
              <w:t xml:space="preserve">Investments in Non-Controlled, Affiliated Portfolio Companies—5.3% </w:t>
            </w:r>
            <w:r>
              <w:rPr>
                <w:rFonts w:ascii="Arial" w:cs="Arial" w:eastAsia="Arial" w:hAnsi="Arial"/>
                <w:sz w:val="9"/>
                <w:szCs w:val="9"/>
                <w:b w:val="1"/>
                <w:bCs w:val="1"/>
                <w:color w:val="auto"/>
                <w:w w:val="97"/>
              </w:rPr>
              <w:t>(1), (2)</w:t>
            </w: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 xml:space="preserve">Preferred Equity/Partnership Interests—5.1% </w:t>
            </w:r>
            <w:r>
              <w:rPr>
                <w:rFonts w:ascii="Arial" w:cs="Arial" w:eastAsia="Arial" w:hAnsi="Arial"/>
                <w:sz w:val="9"/>
                <w:szCs w:val="9"/>
                <w:b w:val="1"/>
                <w:bCs w:val="1"/>
                <w:color w:val="auto"/>
              </w:rPr>
              <w:t>(6)</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20"/>
                <w:szCs w:val="20"/>
                <w:color w:val="auto"/>
              </w:rPr>
            </w:pPr>
            <w:r>
              <w:rPr>
                <w:rFonts w:ascii="Arial" w:cs="Arial" w:eastAsia="Arial" w:hAnsi="Arial"/>
                <w:sz w:val="11"/>
                <w:szCs w:val="11"/>
                <w:color w:val="auto"/>
              </w:rPr>
              <w:t xml:space="preserve">ETX Energy,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61,732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6,173,200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5,055,851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MidOcean JF Holdings Corp.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153,922</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15,392,189</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21,795,244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6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Preferred Equity/Partnership Interests</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21,565,389</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26,851,095</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w w:val="98"/>
              </w:rPr>
              <w:t xml:space="preserve">Common Equity/Partnership Interests/Warrants—0.2% </w:t>
            </w:r>
            <w:r>
              <w:rPr>
                <w:rFonts w:ascii="Arial" w:cs="Arial" w:eastAsia="Arial" w:hAnsi="Arial"/>
                <w:sz w:val="9"/>
                <w:szCs w:val="9"/>
                <w:b w:val="1"/>
                <w:bCs w:val="1"/>
                <w:color w:val="auto"/>
                <w:w w:val="98"/>
              </w:rPr>
              <w:t>(6)</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20"/>
                <w:szCs w:val="20"/>
                <w:color w:val="auto"/>
              </w:rPr>
            </w:pPr>
            <w:r>
              <w:rPr>
                <w:rFonts w:ascii="Arial" w:cs="Arial" w:eastAsia="Arial" w:hAnsi="Arial"/>
                <w:sz w:val="11"/>
                <w:szCs w:val="11"/>
                <w:color w:val="auto"/>
              </w:rPr>
              <w:t xml:space="preserve">ETX Energy,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1,658,389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29,711,576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ETX Energy Management Company,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1,754,104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1,562,020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6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MidOcean JF Holdings Corp.</w:t>
            </w:r>
          </w:p>
        </w:tc>
        <w:tc>
          <w:tcPr>
            <w:tcW w:w="12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94"/>
              </w:rPr>
              <w:t>Distribution</w:t>
            </w:r>
          </w:p>
        </w:tc>
        <w:tc>
          <w:tcPr>
            <w:tcW w:w="940" w:type="dxa"/>
            <w:vAlign w:val="bottom"/>
            <w:tcBorders>
              <w:bottom w:val="single" w:sz="8" w:color="CCECFF"/>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65,933</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24,789,935</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902,798</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Common Equity/Partnership Interests/Warrants</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56,063,531</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902,798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20" w:type="dxa"/>
            <w:vAlign w:val="bottom"/>
            <w:tcBorders>
              <w:bottom w:val="single" w:sz="8" w:color="CCECFF"/>
            </w:tcBorders>
            <w:gridSpan w:val="4"/>
          </w:tcPr>
          <w:p>
            <w:pPr>
              <w:spacing w:after="0"/>
              <w:rPr>
                <w:sz w:val="20"/>
                <w:szCs w:val="20"/>
                <w:color w:val="auto"/>
              </w:rPr>
            </w:pPr>
            <w:r>
              <w:rPr>
                <w:rFonts w:ascii="Arial" w:cs="Arial" w:eastAsia="Arial" w:hAnsi="Arial"/>
                <w:sz w:val="11"/>
                <w:szCs w:val="11"/>
                <w:b w:val="1"/>
                <w:bCs w:val="1"/>
                <w:color w:val="auto"/>
              </w:rPr>
              <w:t>Total Investments in Non-Controlled, Affiliated Portfolio Companies</w:t>
            </w: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77,628,920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27,753,893</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820" w:type="dxa"/>
            <w:vAlign w:val="bottom"/>
            <w:gridSpan w:val="4"/>
            <w:shd w:val="clear" w:color="auto" w:fill="CCECFF"/>
          </w:tcPr>
          <w:p>
            <w:pPr>
              <w:spacing w:after="0"/>
              <w:rPr>
                <w:sz w:val="20"/>
                <w:szCs w:val="20"/>
                <w:color w:val="auto"/>
              </w:rPr>
            </w:pPr>
            <w:r>
              <w:rPr>
                <w:rFonts w:ascii="Arial" w:cs="Arial" w:eastAsia="Arial" w:hAnsi="Arial"/>
                <w:sz w:val="11"/>
                <w:szCs w:val="11"/>
                <w:b w:val="1"/>
                <w:bCs w:val="1"/>
                <w:color w:val="auto"/>
              </w:rPr>
              <w:t xml:space="preserve">Investments in Controlled, Affiliated Portfolio Companies—60.6% </w:t>
            </w:r>
            <w:r>
              <w:rPr>
                <w:rFonts w:ascii="Arial" w:cs="Arial" w:eastAsia="Arial" w:hAnsi="Arial"/>
                <w:sz w:val="9"/>
                <w:szCs w:val="9"/>
                <w:b w:val="1"/>
                <w:bCs w:val="1"/>
                <w:color w:val="auto"/>
              </w:rPr>
              <w:t>(1), (2)</w:t>
            </w: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20"/>
                <w:szCs w:val="20"/>
                <w:color w:val="auto"/>
              </w:rPr>
            </w:pPr>
            <w:r>
              <w:rPr>
                <w:rFonts w:ascii="Arial" w:cs="Arial" w:eastAsia="Arial" w:hAnsi="Arial"/>
                <w:sz w:val="11"/>
                <w:szCs w:val="11"/>
                <w:b w:val="1"/>
                <w:bCs w:val="1"/>
                <w:color w:val="auto"/>
              </w:rPr>
              <w:t>First Lien Secured Debt—7.0%</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AKW Holdings Limited </w:t>
            </w:r>
            <w:r>
              <w:rPr>
                <w:rFonts w:ascii="Arial" w:cs="Arial" w:eastAsia="Arial" w:hAnsi="Arial"/>
                <w:sz w:val="9"/>
                <w:szCs w:val="9"/>
                <w:color w:val="auto"/>
              </w:rPr>
              <w:t>(8), (10), (11)</w:t>
            </w:r>
          </w:p>
        </w:tc>
        <w:tc>
          <w:tcPr>
            <w:tcW w:w="62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87"/>
              </w:rPr>
              <w:t>03/13/2024</w:t>
            </w:r>
          </w:p>
        </w:tc>
        <w:tc>
          <w:tcPr>
            <w:tcW w:w="240" w:type="dxa"/>
            <w:vAlign w:val="bottom"/>
            <w:shd w:val="clear" w:color="auto" w:fill="CCECFF"/>
          </w:tcPr>
          <w:p>
            <w:pPr>
              <w:spacing w:after="0"/>
              <w:rPr>
                <w:sz w:val="11"/>
                <w:szCs w:val="11"/>
                <w:color w:val="auto"/>
              </w:rPr>
            </w:pP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3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28,500,000</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39,682,375</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36,844,800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39,682,375</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36,844,800</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Second Lien Secured Debt—10.0%</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960" w:type="dxa"/>
            <w:vAlign w:val="bottom"/>
          </w:tcPr>
          <w:p>
            <w:pPr>
              <w:spacing w:after="0"/>
              <w:rPr>
                <w:sz w:val="20"/>
                <w:szCs w:val="20"/>
                <w:color w:val="auto"/>
              </w:rPr>
            </w:pPr>
            <w:r>
              <w:rPr>
                <w:rFonts w:ascii="Arial" w:cs="Arial" w:eastAsia="Arial" w:hAnsi="Arial"/>
                <w:sz w:val="11"/>
                <w:szCs w:val="11"/>
                <w:color w:val="auto"/>
              </w:rPr>
              <w:t>PT Network Intermediate Holdings, LLC</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11/30/2024</w:t>
            </w:r>
          </w:p>
        </w:tc>
        <w:tc>
          <w:tcPr>
            <w:tcW w:w="240" w:type="dxa"/>
            <w:vAlign w:val="bottom"/>
          </w:tcPr>
          <w:p>
            <w:pPr>
              <w:spacing w:after="0"/>
              <w:rPr>
                <w:sz w:val="12"/>
                <w:szCs w:val="12"/>
                <w:color w:val="auto"/>
              </w:rPr>
            </w:pP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11.00%</w:t>
            </w:r>
          </w:p>
        </w:tc>
        <w:tc>
          <w:tcPr>
            <w:tcW w:w="840" w:type="dxa"/>
            <w:vAlign w:val="bottom"/>
          </w:tcPr>
          <w:p>
            <w:pPr>
              <w:jc w:val="right"/>
              <w:spacing w:after="0"/>
              <w:rPr>
                <w:sz w:val="20"/>
                <w:szCs w:val="20"/>
                <w:color w:val="auto"/>
              </w:rPr>
            </w:pPr>
            <w:r>
              <w:rPr>
                <w:rFonts w:ascii="Arial" w:cs="Arial" w:eastAsia="Arial" w:hAnsi="Arial"/>
                <w:sz w:val="11"/>
                <w:szCs w:val="11"/>
                <w:color w:val="auto"/>
              </w:rPr>
              <w:t>3M L+1,000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94"/>
              </w:rPr>
              <w:t>52,479,266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52,094,291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52,479,266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9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94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1"/>
                <w:szCs w:val="11"/>
                <w:color w:val="auto"/>
              </w:rPr>
              <w:t>(PIK 11.00%)</w:t>
            </w: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52,094,291</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52,479,266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Pr>
          <w:p>
            <w:pPr>
              <w:spacing w:after="0"/>
              <w:rPr>
                <w:sz w:val="20"/>
                <w:szCs w:val="20"/>
                <w:color w:val="auto"/>
              </w:rPr>
            </w:pPr>
            <w:r>
              <w:rPr>
                <w:rFonts w:ascii="Arial" w:cs="Arial" w:eastAsia="Arial" w:hAnsi="Arial"/>
                <w:sz w:val="11"/>
                <w:szCs w:val="11"/>
                <w:b w:val="1"/>
                <w:bCs w:val="1"/>
                <w:color w:val="auto"/>
              </w:rPr>
              <w:t>Subordinated Debt—12.0%</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PennantPark Senior Loan Fund, LLC </w:t>
            </w:r>
            <w:r>
              <w:rPr>
                <w:rFonts w:ascii="Arial" w:cs="Arial" w:eastAsia="Arial" w:hAnsi="Arial"/>
                <w:sz w:val="9"/>
                <w:szCs w:val="9"/>
                <w:color w:val="auto"/>
              </w:rPr>
              <w:t>(11)</w:t>
            </w:r>
          </w:p>
        </w:tc>
        <w:tc>
          <w:tcPr>
            <w:tcW w:w="620" w:type="dxa"/>
            <w:vAlign w:val="bottom"/>
            <w:gridSpan w:val="2"/>
            <w:shd w:val="clear" w:color="auto" w:fill="CCECFF"/>
          </w:tcPr>
          <w:p>
            <w:pPr>
              <w:ind w:left="120"/>
              <w:spacing w:after="0"/>
              <w:rPr>
                <w:sz w:val="20"/>
                <w:szCs w:val="20"/>
                <w:color w:val="auto"/>
              </w:rPr>
            </w:pPr>
            <w:r>
              <w:rPr>
                <w:rFonts w:ascii="Arial" w:cs="Arial" w:eastAsia="Arial" w:hAnsi="Arial"/>
                <w:sz w:val="11"/>
                <w:szCs w:val="11"/>
                <w:color w:val="auto"/>
                <w:w w:val="87"/>
              </w:rPr>
              <w:t>07/31/2027</w:t>
            </w:r>
          </w:p>
        </w:tc>
        <w:tc>
          <w:tcPr>
            <w:tcW w:w="240" w:type="dxa"/>
            <w:vAlign w:val="bottom"/>
            <w:shd w:val="clear" w:color="auto" w:fill="CCECFF"/>
          </w:tcPr>
          <w:p>
            <w:pPr>
              <w:spacing w:after="0"/>
              <w:rPr>
                <w:sz w:val="11"/>
                <w:szCs w:val="11"/>
                <w:color w:val="auto"/>
              </w:rPr>
            </w:pP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Financial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9.00%</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L+800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63,000,000</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63,000,000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63,000,000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Subordinated Debt</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63,000,000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63,000,000</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 xml:space="preserve">Preferred Equity—2.3% </w:t>
            </w:r>
            <w:r>
              <w:rPr>
                <w:rFonts w:ascii="Arial" w:cs="Arial" w:eastAsia="Arial" w:hAnsi="Arial"/>
                <w:sz w:val="9"/>
                <w:szCs w:val="9"/>
                <w:b w:val="1"/>
                <w:bCs w:val="1"/>
                <w:color w:val="auto"/>
              </w:rPr>
              <w:t>(6)</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960" w:type="dxa"/>
            <w:vAlign w:val="bottom"/>
          </w:tcPr>
          <w:p>
            <w:pPr>
              <w:spacing w:after="0"/>
              <w:rPr>
                <w:sz w:val="20"/>
                <w:szCs w:val="20"/>
                <w:color w:val="auto"/>
              </w:rPr>
            </w:pPr>
            <w:r>
              <w:rPr>
                <w:rFonts w:ascii="Arial" w:cs="Arial" w:eastAsia="Arial" w:hAnsi="Arial"/>
                <w:sz w:val="11"/>
                <w:szCs w:val="11"/>
                <w:color w:val="auto"/>
              </w:rPr>
              <w:t>CI (PTN) Investment Holdings II, LLC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36,450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546,750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1"/>
        </w:trPr>
        <w:tc>
          <w:tcPr>
            <w:tcW w:w="2960" w:type="dxa"/>
            <w:vAlign w:val="bottom"/>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11.00%</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L+1,000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833</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10,725,000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12,215,888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Preferred Equity</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11,271,750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12,215,888</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 xml:space="preserve">Common Equity—29.3% </w:t>
            </w:r>
            <w:r>
              <w:rPr>
                <w:rFonts w:ascii="Arial" w:cs="Arial" w:eastAsia="Arial" w:hAnsi="Arial"/>
                <w:sz w:val="9"/>
                <w:szCs w:val="9"/>
                <w:b w:val="1"/>
                <w:bCs w:val="1"/>
                <w:color w:val="auto"/>
              </w:rPr>
              <w:t>(6)</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20"/>
                <w:szCs w:val="20"/>
                <w:color w:val="auto"/>
              </w:rPr>
            </w:pPr>
            <w:r>
              <w:rPr>
                <w:rFonts w:ascii="Arial" w:cs="Arial" w:eastAsia="Arial" w:hAnsi="Arial"/>
                <w:sz w:val="11"/>
                <w:szCs w:val="11"/>
                <w:color w:val="auto"/>
              </w:rPr>
              <w:t xml:space="preserve">AKW Holdings Limited </w:t>
            </w:r>
            <w:r>
              <w:rPr>
                <w:rFonts w:ascii="Arial" w:cs="Arial" w:eastAsia="Arial" w:hAnsi="Arial"/>
                <w:sz w:val="9"/>
                <w:szCs w:val="9"/>
                <w:color w:val="auto"/>
              </w:rPr>
              <w:t>(8), (10), (11)</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950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132,497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927,315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CI (PTN) Investment Holdings II,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333,333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5,000,000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20"/>
                <w:szCs w:val="20"/>
                <w:color w:val="auto"/>
              </w:rPr>
            </w:pPr>
            <w:r>
              <w:rPr>
                <w:rFonts w:ascii="Arial" w:cs="Arial" w:eastAsia="Arial" w:hAnsi="Arial"/>
                <w:sz w:val="11"/>
                <w:szCs w:val="11"/>
                <w:color w:val="auto"/>
              </w:rPr>
              <w:t xml:space="preserve">PennantPark Senior Loan Fund, LLC </w:t>
            </w:r>
            <w:r>
              <w:rPr>
                <w:rFonts w:ascii="Arial" w:cs="Arial" w:eastAsia="Arial" w:hAnsi="Arial"/>
                <w:sz w:val="9"/>
                <w:szCs w:val="9"/>
                <w:color w:val="auto"/>
              </w:rPr>
              <w:t>(11)</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Financial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94"/>
              </w:rPr>
              <w:t>33,221,176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33,221,176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36,262,577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(9)</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7,150,000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26,689,495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RAM Energy Holdings LLC</w:t>
            </w:r>
          </w:p>
        </w:tc>
        <w:tc>
          <w:tcPr>
            <w:tcW w:w="12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gridSpan w:val="2"/>
          </w:tcPr>
          <w:p>
            <w:pPr>
              <w:ind w:left="240"/>
              <w:spacing w:after="0"/>
              <w:rPr>
                <w:sz w:val="20"/>
                <w:szCs w:val="20"/>
                <w:color w:val="auto"/>
              </w:rPr>
            </w:pPr>
            <w:r>
              <w:rPr>
                <w:rFonts w:ascii="Arial" w:cs="Arial" w:eastAsia="Arial" w:hAnsi="Arial"/>
                <w:sz w:val="11"/>
                <w:szCs w:val="11"/>
                <w:color w:val="auto"/>
              </w:rPr>
              <w:t>—</w:t>
            </w:r>
          </w:p>
        </w:tc>
        <w:tc>
          <w:tcPr>
            <w:tcW w:w="270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1"/>
                <w:szCs w:val="11"/>
                <w:color w:val="auto"/>
                <w:w w:val="90"/>
              </w:rPr>
              <w:t>Energy and Utilities</w:t>
            </w:r>
          </w:p>
        </w:tc>
        <w:tc>
          <w:tcPr>
            <w:tcW w:w="940" w:type="dxa"/>
            <w:vAlign w:val="bottom"/>
            <w:tcBorders>
              <w:bottom w:val="single" w:sz="8" w:color="CCECFF"/>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180,805</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162,708,073</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89,923,518</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Common Equity</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208,211,746</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153,802,905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w w:val="89"/>
              </w:rPr>
              <w:t>Total Investments in Controlled, Affiliated Portfolio Companies</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374,260,162</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318,342,859</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Investments—205.8%</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88"/>
              </w:rPr>
              <w:t>1,165,572,291</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3"/>
              </w:rPr>
              <w:t>1,081,771,418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60" w:type="dxa"/>
            <w:vAlign w:val="bottom"/>
          </w:tcPr>
          <w:p>
            <w:pPr>
              <w:spacing w:after="0"/>
              <w:rPr>
                <w:sz w:val="20"/>
                <w:szCs w:val="20"/>
                <w:color w:val="auto"/>
              </w:rPr>
            </w:pPr>
            <w:r>
              <w:rPr>
                <w:rFonts w:ascii="Arial" w:cs="Arial" w:eastAsia="Arial" w:hAnsi="Arial"/>
                <w:sz w:val="11"/>
                <w:szCs w:val="11"/>
                <w:b w:val="1"/>
                <w:bCs w:val="1"/>
                <w:color w:val="auto"/>
              </w:rPr>
              <w:t>Cash and Cash Equivalents—4.9%</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2,277,244</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2,277,244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BNY Mellon Cash Reserve and Cash</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23,523,843</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23,528,758</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25,801,087</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25,806,002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1"/>
                <w:szCs w:val="11"/>
                <w:b w:val="1"/>
                <w:bCs w:val="1"/>
                <w:color w:val="auto"/>
              </w:rPr>
              <w:t>Total Investments and Cash Equivalents—210.7%</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w w:val="88"/>
              </w:rPr>
              <w:t>1,191,373,378</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w w:val="93"/>
              </w:rPr>
              <w:t>1,107,577,420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CFF"/>
            </w:tcBorders>
            <w:vMerge w:val="restart"/>
            <w:shd w:val="clear" w:color="auto" w:fill="CCECFF"/>
          </w:tcPr>
          <w:p>
            <w:pPr>
              <w:spacing w:after="0"/>
              <w:rPr>
                <w:sz w:val="20"/>
                <w:szCs w:val="20"/>
                <w:color w:val="auto"/>
              </w:rPr>
            </w:pPr>
            <w:r>
              <w:rPr>
                <w:rFonts w:ascii="Arial" w:cs="Arial" w:eastAsia="Arial" w:hAnsi="Arial"/>
                <w:sz w:val="11"/>
                <w:szCs w:val="11"/>
                <w:b w:val="1"/>
                <w:bCs w:val="1"/>
                <w:color w:val="auto"/>
              </w:rPr>
              <w:t>Liabilities in Excess of Other Assets—(110.7%)</w:t>
            </w: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50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258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66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84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54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960" w:type="dxa"/>
            <w:vAlign w:val="bottom"/>
            <w:vMerge w:val="continue"/>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5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800" w:type="dxa"/>
            <w:vAlign w:val="bottom"/>
            <w:gridSpan w:val="2"/>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rPr>
              <w:t>(581,868,568)</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20"/>
                <w:szCs w:val="20"/>
                <w:color w:val="auto"/>
              </w:rPr>
            </w:pPr>
            <w:r>
              <w:rPr>
                <w:rFonts w:ascii="Arial" w:cs="Arial" w:eastAsia="Arial" w:hAnsi="Arial"/>
                <w:sz w:val="11"/>
                <w:szCs w:val="11"/>
                <w:b w:val="1"/>
                <w:bCs w:val="1"/>
                <w:color w:val="auto"/>
              </w:rPr>
              <w:t>Net Assets—100.0%</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525,708,852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3455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30" w:lineRule="exact"/>
        <w:rPr>
          <w:sz w:val="20"/>
          <w:szCs w:val="20"/>
          <w:color w:val="auto"/>
        </w:rPr>
      </w:pPr>
    </w:p>
    <w:p>
      <w:pPr>
        <w:ind w:left="380" w:hanging="372"/>
        <w:spacing w:after="0" w:line="252" w:lineRule="auto"/>
        <w:tabs>
          <w:tab w:leader="none" w:pos="380" w:val="left"/>
        </w:tabs>
        <w:numPr>
          <w:ilvl w:val="0"/>
          <w:numId w:val="6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6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67"/>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spacing w:after="0" w:line="37" w:lineRule="exact"/>
        <w:rPr>
          <w:rFonts w:ascii="Arial" w:cs="Arial" w:eastAsia="Arial" w:hAnsi="Arial"/>
          <w:sz w:val="12"/>
          <w:szCs w:val="12"/>
          <w:color w:val="auto"/>
        </w:rPr>
      </w:pPr>
    </w:p>
    <w:p>
      <w:pPr>
        <w:ind w:left="380" w:right="120" w:hanging="372"/>
        <w:spacing w:after="0" w:line="269" w:lineRule="auto"/>
        <w:tabs>
          <w:tab w:leader="none" w:pos="380" w:val="left"/>
        </w:tabs>
        <w:numPr>
          <w:ilvl w:val="0"/>
          <w:numId w:val="67"/>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London Interbank Offered Rate, or LIBOR or “L,” the Euro Interbank Offered Rate, or EURIBOR or “E,”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PIK interest and other fee rates, if 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9" w:name="page70"/>
    <w:bookmarkEnd w:id="69"/>
    <w:p>
      <w:pPr>
        <w:ind w:left="372" w:hanging="372"/>
        <w:spacing w:after="0"/>
        <w:tabs>
          <w:tab w:leader="none" w:pos="372" w:val="left"/>
        </w:tabs>
        <w:numPr>
          <w:ilvl w:val="0"/>
          <w:numId w:val="68"/>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spacing w:after="0" w:line="37" w:lineRule="exact"/>
        <w:rPr>
          <w:rFonts w:ascii="Arial" w:cs="Arial" w:eastAsia="Arial" w:hAnsi="Arial"/>
          <w:sz w:val="12"/>
          <w:szCs w:val="12"/>
          <w:color w:val="auto"/>
        </w:rPr>
      </w:pPr>
    </w:p>
    <w:p>
      <w:pPr>
        <w:ind w:left="372" w:hanging="372"/>
        <w:spacing w:after="0"/>
        <w:tabs>
          <w:tab w:leader="none" w:pos="372" w:val="left"/>
        </w:tabs>
        <w:numPr>
          <w:ilvl w:val="0"/>
          <w:numId w:val="68"/>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72" w:hanging="372"/>
        <w:spacing w:after="0"/>
        <w:tabs>
          <w:tab w:leader="none" w:pos="372" w:val="left"/>
        </w:tabs>
        <w:numPr>
          <w:ilvl w:val="0"/>
          <w:numId w:val="68"/>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72" w:hanging="372"/>
        <w:spacing w:after="0"/>
        <w:tabs>
          <w:tab w:leader="none" w:pos="372" w:val="left"/>
        </w:tabs>
        <w:numPr>
          <w:ilvl w:val="0"/>
          <w:numId w:val="68"/>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72" w:hanging="372"/>
        <w:spacing w:after="0"/>
        <w:tabs>
          <w:tab w:leader="none" w:pos="372" w:val="left"/>
        </w:tabs>
        <w:numPr>
          <w:ilvl w:val="0"/>
          <w:numId w:val="68"/>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spacing w:after="0" w:line="37" w:lineRule="exact"/>
        <w:rPr>
          <w:rFonts w:ascii="Arial" w:cs="Arial" w:eastAsia="Arial" w:hAnsi="Arial"/>
          <w:sz w:val="12"/>
          <w:szCs w:val="12"/>
          <w:color w:val="auto"/>
        </w:rPr>
      </w:pPr>
    </w:p>
    <w:p>
      <w:pPr>
        <w:ind w:left="372" w:hanging="372"/>
        <w:spacing w:after="0"/>
        <w:tabs>
          <w:tab w:leader="none" w:pos="372" w:val="left"/>
        </w:tabs>
        <w:numPr>
          <w:ilvl w:val="0"/>
          <w:numId w:val="68"/>
        </w:numPr>
        <w:rPr>
          <w:rFonts w:ascii="Arial" w:cs="Arial" w:eastAsia="Arial" w:hAnsi="Arial"/>
          <w:sz w:val="12"/>
          <w:szCs w:val="12"/>
          <w:color w:val="auto"/>
        </w:rPr>
      </w:pPr>
      <w:r>
        <w:rPr>
          <w:rFonts w:ascii="Arial" w:cs="Arial" w:eastAsia="Arial" w:hAnsi="Arial"/>
          <w:sz w:val="12"/>
          <w:szCs w:val="12"/>
          <w:color w:val="auto"/>
        </w:rPr>
        <w:t>Par / Shares amount is denominated in British Pounds (£) as denoted.</w:t>
      </w:r>
    </w:p>
    <w:p>
      <w:pPr>
        <w:spacing w:after="0" w:line="37" w:lineRule="exact"/>
        <w:rPr>
          <w:rFonts w:ascii="Arial" w:cs="Arial" w:eastAsia="Arial" w:hAnsi="Arial"/>
          <w:sz w:val="12"/>
          <w:szCs w:val="12"/>
          <w:color w:val="auto"/>
        </w:rPr>
      </w:pPr>
    </w:p>
    <w:p>
      <w:pPr>
        <w:ind w:left="372" w:hanging="372"/>
        <w:spacing w:after="0" w:line="297" w:lineRule="auto"/>
        <w:tabs>
          <w:tab w:leader="none" w:pos="372" w:val="left"/>
        </w:tabs>
        <w:numPr>
          <w:ilvl w:val="0"/>
          <w:numId w:val="68"/>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2020, qualifying assets represent 87% of the Company’s total assets and non-qualifying assets represent 13% of the Company’s 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auto"/>
        </w:rPr>
        <w:t>SEE NOTES TO CONSOLIDATED FINANCIAL STATEMENTS</w:t>
      </w:r>
    </w:p>
    <w:p>
      <w:pPr>
        <w:spacing w:after="0" w:line="69"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59690</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12"/>
          </w:cols>
          <w:pgMar w:left="328" w:top="187" w:right="35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rPr>
          <w:sz w:val="20"/>
          <w:szCs w:val="20"/>
          <w:color w:val="auto"/>
        </w:rPr>
      </w:pPr>
      <w:r>
        <w:rPr>
          <w:rFonts w:ascii="Arial" w:cs="Arial" w:eastAsia="Arial" w:hAnsi="Arial"/>
          <w:sz w:val="14"/>
          <w:szCs w:val="14"/>
          <w:b w:val="1"/>
          <w:bCs w:val="1"/>
          <w:color w:val="auto"/>
        </w:rPr>
        <w:t>SEPTEMBER 30, 2021</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27" w:lineRule="exact"/>
        <w:rPr>
          <w:sz w:val="20"/>
          <w:szCs w:val="20"/>
          <w:color w:val="auto"/>
        </w:rPr>
      </w:pPr>
    </w:p>
    <w:p>
      <w:pPr>
        <w:ind w:right="200" w:firstLine="438"/>
        <w:spacing w:after="0" w:line="255" w:lineRule="auto"/>
        <w:rPr>
          <w:sz w:val="20"/>
          <w:szCs w:val="20"/>
          <w:color w:val="auto"/>
        </w:rPr>
      </w:pPr>
      <w:r>
        <w:rPr>
          <w:rFonts w:ascii="Arial" w:cs="Arial" w:eastAsia="Arial" w:hAnsi="Arial"/>
          <w:sz w:val="13"/>
          <w:szCs w:val="13"/>
          <w:color w:val="auto"/>
        </w:rPr>
        <w:t>PennantPark Investment Corporation was organized as a Maryland corporation in January 2007. We are a closed-end, externally managed, non-diversified investment company that has elected to be treated as a BDC under the 1940 Act. Our objective is to generate both current income and capital appreciation while seeking to preserve capital through debt and equity investments. We invest primarily in U.S. middle-market companies in the form of first lien secured debt, second lien secured debt, subordinated debt and, to a lesser extent, equity investments. On April 24, 2007, we closed our initial public offering and our common stock trades on The Nasdaq Global Select Market under the symbol “PNNT.”</w:t>
      </w:r>
    </w:p>
    <w:p>
      <w:pPr>
        <w:spacing w:after="0" w:line="107" w:lineRule="exact"/>
        <w:rPr>
          <w:sz w:val="20"/>
          <w:szCs w:val="20"/>
          <w:color w:val="auto"/>
        </w:rPr>
      </w:pPr>
    </w:p>
    <w:p>
      <w:pPr>
        <w:ind w:right="180" w:firstLine="438"/>
        <w:spacing w:after="0" w:line="255" w:lineRule="auto"/>
        <w:rPr>
          <w:sz w:val="20"/>
          <w:szCs w:val="20"/>
          <w:color w:val="auto"/>
        </w:rPr>
      </w:pPr>
      <w:r>
        <w:rPr>
          <w:rFonts w:ascii="Arial" w:cs="Arial" w:eastAsia="Arial" w:hAnsi="Arial"/>
          <w:sz w:val="13"/>
          <w:szCs w:val="13"/>
          <w:color w:val="auto"/>
        </w:rPr>
        <w:t>We have entered into an investment management agreement, or the Investment Management Agreement with the Investment Adviser, an external adviser that manages our day-to-day operations. PennantPark Investment, through the Investment Adviser, manages the day-to-day operations of and provides investment advisory services to SBIC II under a separate investment management agreement. We have also entered into an administration agreement, or the Administration Agreement with the Administrator, which provides the administrative services necessary for us to operate. PennantPark Investment, through the Administrator, also provides similar services to SBIC II under a separate administration agreement. See Note 3.</w:t>
      </w:r>
    </w:p>
    <w:p>
      <w:pPr>
        <w:spacing w:after="0" w:line="107"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SBIC II, our wholly-owned subsidiary, was organized as a Delaware limited partnership in 2012. SBIC II received a license from the SBA to operate as a SBIC under Section 301(c) of the 1958 Act. SBIC II’s objectives are to generate both current income and capital appreciation through debt and equity investments generally by investing with us in SBA eligible businesses that meet the investment selection criteria used by PennantPark Investment. During the year ended September 30, 2019, we liquidated and dissolved SBIC I.</w:t>
      </w:r>
    </w:p>
    <w:p>
      <w:pPr>
        <w:spacing w:after="0" w:line="115" w:lineRule="exact"/>
        <w:rPr>
          <w:sz w:val="20"/>
          <w:szCs w:val="20"/>
          <w:color w:val="auto"/>
        </w:rPr>
      </w:pPr>
    </w:p>
    <w:p>
      <w:pPr>
        <w:ind w:right="20" w:firstLine="438"/>
        <w:spacing w:after="0" w:line="251" w:lineRule="auto"/>
        <w:rPr>
          <w:sz w:val="20"/>
          <w:szCs w:val="20"/>
          <w:color w:val="auto"/>
        </w:rPr>
      </w:pPr>
      <w:r>
        <w:rPr>
          <w:rFonts w:ascii="Arial" w:cs="Arial" w:eastAsia="Arial" w:hAnsi="Arial"/>
          <w:sz w:val="13"/>
          <w:szCs w:val="13"/>
          <w:color w:val="auto"/>
        </w:rPr>
        <w:t>Funding I, a wholly-owned subsidiary and a special purpose entity of the Company prior to July 31, 2020, was organized in Delaware as a limited liability company in February 2019. We formed Funding I in order to establish the BNP Credit Facility. The Investment Adviser serves as the servicer to Funding I and, and prior to deconsolidation, had irrevocably directed that the management fee owed to it with respect to such services be paid to us so long as the Investment Adviser remains the servicer. This arrangement did not increase our consolidated management fee. The BNP Credit Facility allows Funding I to borrow up to $250 million at LIBOR (or an alternative risk-free floating interest rate index) plus 260 basis points during the reinvestment period. The BNP Credit Facility is secured by all of the assets held by Funding I. Funding I is no longer a subsidiary of PennantPark Investment as result of the joint venture described below.</w:t>
      </w:r>
    </w:p>
    <w:p>
      <w:pPr>
        <w:spacing w:after="0" w:line="109" w:lineRule="exact"/>
        <w:rPr>
          <w:sz w:val="20"/>
          <w:szCs w:val="20"/>
          <w:color w:val="auto"/>
        </w:rPr>
      </w:pPr>
    </w:p>
    <w:p>
      <w:pPr>
        <w:ind w:right="240" w:firstLine="438"/>
        <w:spacing w:after="0" w:line="255" w:lineRule="auto"/>
        <w:rPr>
          <w:sz w:val="20"/>
          <w:szCs w:val="20"/>
          <w:color w:val="auto"/>
        </w:rPr>
      </w:pPr>
      <w:r>
        <w:rPr>
          <w:rFonts w:ascii="Arial" w:cs="Arial" w:eastAsia="Arial" w:hAnsi="Arial"/>
          <w:sz w:val="13"/>
          <w:szCs w:val="13"/>
          <w:color w:val="auto"/>
        </w:rPr>
        <w:t>On July 31, 2020, we and certain entities and managed accounts of the private credit investment manager of Pantheon Ventures (UK) LLP (“Pantheon”) entered into a limited liability company agreement to co-manage PSLF, a newly-formed unconsolidated joint venture. In connection with this transaction, we contributed in-kind our formerly wholly-owned subsidiary, Funding I. As a result of this transaction, Funding I became a wholly-owned subsidiary of PSLF and has been deconsolidated from our financial statements. PSLF invests primarily in middle-market and other corporate debt securities consistent with our strategy. PSLF was formed as a Delaware limited liability company. See Note 4.</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April 2021, we issued $150.0 million in aggregate principal amount of our 2026 Notes at a public offering price per note of 99.4%. Interest on the 2026 Notes is</w:t>
      </w:r>
    </w:p>
    <w:p>
      <w:pPr>
        <w:ind w:right="100"/>
        <w:spacing w:after="0" w:line="246" w:lineRule="auto"/>
        <w:rPr>
          <w:sz w:val="20"/>
          <w:szCs w:val="20"/>
          <w:color w:val="auto"/>
        </w:rPr>
      </w:pPr>
      <w:r>
        <w:rPr>
          <w:rFonts w:ascii="Arial" w:cs="Arial" w:eastAsia="Arial" w:hAnsi="Arial"/>
          <w:sz w:val="13"/>
          <w:szCs w:val="13"/>
          <w:color w:val="auto"/>
        </w:rPr>
        <w:t>paid semi-annually on May 1 and November 1 of each year, at a rate of 4.50% per year, commencing November 1, 2021. The 2026 Notes mature on May 1, 2026 and may be redeemed in whole or in part at our 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99" w:lineRule="exact"/>
        <w:rPr>
          <w:sz w:val="20"/>
          <w:szCs w:val="20"/>
          <w:color w:val="auto"/>
        </w:rPr>
      </w:pPr>
    </w:p>
    <w:p>
      <w:pPr>
        <w:ind w:right="120" w:firstLine="438"/>
        <w:spacing w:after="0" w:line="335" w:lineRule="auto"/>
        <w:rPr>
          <w:sz w:val="20"/>
          <w:szCs w:val="20"/>
          <w:color w:val="auto"/>
        </w:rPr>
      </w:pPr>
      <w:r>
        <w:rPr>
          <w:rFonts w:ascii="Arial" w:cs="Arial" w:eastAsia="Arial" w:hAnsi="Arial"/>
          <w:sz w:val="12"/>
          <w:szCs w:val="12"/>
          <w:color w:val="auto"/>
        </w:rPr>
        <w:t>We have formed and expect to continue to form certain taxable subsidiaries, including the Taxable Subsidiaries,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60" w:lineRule="exact"/>
        <w:rPr>
          <w:sz w:val="20"/>
          <w:szCs w:val="20"/>
          <w:color w:val="auto"/>
        </w:rPr>
      </w:pPr>
    </w:p>
    <w:p>
      <w:pPr>
        <w:ind w:right="20" w:firstLine="438"/>
        <w:spacing w:after="0" w:line="230" w:lineRule="auto"/>
        <w:rPr>
          <w:sz w:val="20"/>
          <w:szCs w:val="20"/>
          <w:color w:val="auto"/>
        </w:rPr>
      </w:pPr>
      <w:r>
        <w:rPr>
          <w:rFonts w:ascii="Arial" w:cs="Arial" w:eastAsia="Arial" w:hAnsi="Arial"/>
          <w:sz w:val="14"/>
          <w:szCs w:val="14"/>
          <w:color w:val="auto"/>
        </w:rPr>
        <w:t>We are operated by a person who has claimed an exclusion from the definition of the term “commodity pool operator” under the Commodity Exchange Act and, therefore, is not subject to registration or regulation as a commodity pool operator under the Commodity Exchange Act.</w:t>
      </w: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24" w:lineRule="exact"/>
        <w:rPr>
          <w:sz w:val="20"/>
          <w:szCs w:val="20"/>
          <w:color w:val="auto"/>
        </w:rPr>
      </w:pPr>
    </w:p>
    <w:p>
      <w:pPr>
        <w:ind w:right="40" w:firstLine="438"/>
        <w:spacing w:after="0" w:line="245" w:lineRule="auto"/>
        <w:rPr>
          <w:sz w:val="20"/>
          <w:szCs w:val="20"/>
          <w:color w:val="auto"/>
        </w:rPr>
      </w:pPr>
      <w:r>
        <w:rPr>
          <w:rFonts w:ascii="Arial" w:cs="Arial" w:eastAsia="Arial" w:hAnsi="Arial"/>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Changes in the economic and regulatory environment, financial markets, the credit worthiness of our portfolio companies, the global outbreak of the novel coronavirus (“COVID-19”) and any other parameters used in determining these estimates and assumptions could cause actual results to differ from such estimates and assumptions. We may reclassify certain prior period amounts to conform to the current period presentation. We have eliminated all intercompany balances and transactions in consolidation.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02" w:lineRule="exact"/>
        <w:rPr>
          <w:sz w:val="20"/>
          <w:szCs w:val="20"/>
          <w:color w:val="auto"/>
        </w:rPr>
      </w:pPr>
    </w:p>
    <w:p>
      <w:pPr>
        <w:ind w:right="280" w:firstLine="438"/>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36" w:lineRule="exact"/>
        <w:rPr>
          <w:sz w:val="20"/>
          <w:szCs w:val="20"/>
          <w:color w:val="auto"/>
        </w:rPr>
      </w:pPr>
    </w:p>
    <w:p>
      <w:pPr>
        <w:ind w:left="620" w:hanging="369"/>
        <w:spacing w:after="0"/>
        <w:tabs>
          <w:tab w:leader="none" w:pos="620" w:val="left"/>
        </w:tabs>
        <w:numPr>
          <w:ilvl w:val="0"/>
          <w:numId w:val="6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Investment Valuations</w:t>
      </w:r>
    </w:p>
    <w:p>
      <w:pPr>
        <w:spacing w:after="0" w:line="204"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1" w:name="page72"/>
    <w:bookmarkEnd w:id="71"/>
    <w:p>
      <w:pPr>
        <w:jc w:val="center"/>
        <w:ind w:right="-3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3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rPr>
          <w:sz w:val="20"/>
          <w:szCs w:val="20"/>
          <w:color w:val="auto"/>
        </w:rPr>
      </w:pPr>
      <w:r>
        <w:rPr>
          <w:rFonts w:ascii="Arial" w:cs="Arial" w:eastAsia="Arial" w:hAnsi="Arial"/>
          <w:sz w:val="14"/>
          <w:szCs w:val="14"/>
          <w:b w:val="1"/>
          <w:bCs w:val="1"/>
          <w:color w:val="auto"/>
        </w:rPr>
        <w:t>SEPTEMBER 30, 2021</w:t>
      </w:r>
    </w:p>
    <w:p>
      <w:pPr>
        <w:spacing w:after="0" w:line="354" w:lineRule="exact"/>
        <w:rPr>
          <w:sz w:val="20"/>
          <w:szCs w:val="20"/>
          <w:color w:val="auto"/>
        </w:rPr>
      </w:pPr>
    </w:p>
    <w:p>
      <w:pPr>
        <w:ind w:right="36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1" w:lineRule="exact"/>
        <w:rPr>
          <w:sz w:val="20"/>
          <w:szCs w:val="20"/>
          <w:color w:val="auto"/>
        </w:rPr>
      </w:pPr>
    </w:p>
    <w:p>
      <w:pPr>
        <w:ind w:left="920" w:hanging="359"/>
        <w:spacing w:after="0" w:line="253" w:lineRule="auto"/>
        <w:tabs>
          <w:tab w:leader="none" w:pos="9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the Investment Adviser responsible for the portfolio investment;</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the Investment Adviser;</w:t>
      </w:r>
    </w:p>
    <w:p>
      <w:pPr>
        <w:spacing w:after="0" w:line="203" w:lineRule="exact"/>
        <w:rPr>
          <w:rFonts w:ascii="Arial" w:cs="Arial" w:eastAsia="Arial" w:hAnsi="Arial"/>
          <w:sz w:val="14"/>
          <w:szCs w:val="14"/>
          <w:color w:val="auto"/>
        </w:rPr>
      </w:pPr>
    </w:p>
    <w:p>
      <w:pPr>
        <w:ind w:left="920" w:right="40" w:hanging="359"/>
        <w:spacing w:after="0" w:line="264" w:lineRule="auto"/>
        <w:tabs>
          <w:tab w:leader="none" w:pos="920" w:val="left"/>
        </w:tabs>
        <w:numPr>
          <w:ilvl w:val="0"/>
          <w:numId w:val="70"/>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20" w:right="300" w:hanging="359"/>
        <w:spacing w:after="0" w:line="238" w:lineRule="auto"/>
        <w:tabs>
          <w:tab w:leader="none" w:pos="9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20" w:right="60" w:hanging="359"/>
        <w:spacing w:after="0" w:line="253" w:lineRule="auto"/>
        <w:tabs>
          <w:tab w:leader="none" w:pos="9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20" w:firstLine="248"/>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7" w:lineRule="exact"/>
        <w:rPr>
          <w:sz w:val="20"/>
          <w:szCs w:val="20"/>
          <w:color w:val="auto"/>
        </w:rPr>
      </w:pPr>
    </w:p>
    <w:p>
      <w:pPr>
        <w:ind w:left="620" w:hanging="369"/>
        <w:spacing w:after="0"/>
        <w:tabs>
          <w:tab w:leader="none" w:pos="620" w:val="left"/>
        </w:tabs>
        <w:numPr>
          <w:ilvl w:val="0"/>
          <w:numId w:val="7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Security Transactions, Revenue Recognition, and Realized/Unrealized Gains or Losses</w:t>
      </w:r>
    </w:p>
    <w:p>
      <w:pPr>
        <w:spacing w:after="0" w:line="204" w:lineRule="exact"/>
        <w:rPr>
          <w:sz w:val="20"/>
          <w:szCs w:val="20"/>
          <w:color w:val="auto"/>
        </w:rPr>
      </w:pPr>
    </w:p>
    <w:p>
      <w:pPr>
        <w:ind w:right="60" w:firstLine="438"/>
        <w:spacing w:after="0" w:line="255" w:lineRule="auto"/>
        <w:rPr>
          <w:sz w:val="20"/>
          <w:szCs w:val="20"/>
          <w:color w:val="auto"/>
        </w:rPr>
      </w:pPr>
      <w:r>
        <w:rPr>
          <w:rFonts w:ascii="Arial" w:cs="Arial" w:eastAsia="Arial" w:hAnsi="Arial"/>
          <w:sz w:val="13"/>
          <w:szCs w:val="13"/>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the Credit Facilities and, prior to their redemption, the 2019 Notes during the reporting period, including the reversal of previously recorded unrealized appreciation or depreciation, when gains or losses are realized.</w:t>
      </w:r>
    </w:p>
    <w:p>
      <w:pPr>
        <w:spacing w:after="0" w:line="107" w:lineRule="exact"/>
        <w:rPr>
          <w:sz w:val="20"/>
          <w:szCs w:val="20"/>
          <w:color w:val="auto"/>
        </w:rPr>
      </w:pPr>
    </w:p>
    <w:p>
      <w:pPr>
        <w:ind w:right="80" w:firstLine="438"/>
        <w:spacing w:after="0" w:line="271"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84"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September 30, 2021 we had no portfolio companies on non-accrual. As of September 30, 2020, we had two portfolio companies on non-accrual, representing 4.9% and 3.4% of our overall portfolio on a cost and fair value basis, respectively.</w:t>
      </w:r>
    </w:p>
    <w:p>
      <w:pPr>
        <w:spacing w:after="0" w:line="116" w:lineRule="exact"/>
        <w:rPr>
          <w:sz w:val="20"/>
          <w:szCs w:val="20"/>
          <w:color w:val="auto"/>
        </w:rPr>
      </w:pPr>
    </w:p>
    <w:p>
      <w:pPr>
        <w:ind w:left="620" w:hanging="369"/>
        <w:spacing w:after="0"/>
        <w:tabs>
          <w:tab w:leader="none" w:pos="620" w:val="left"/>
        </w:tabs>
        <w:numPr>
          <w:ilvl w:val="0"/>
          <w:numId w:val="7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Income Taxes</w:t>
      </w:r>
    </w:p>
    <w:p>
      <w:pPr>
        <w:spacing w:after="0" w:line="204" w:lineRule="exact"/>
        <w:rPr>
          <w:sz w:val="20"/>
          <w:szCs w:val="20"/>
          <w:color w:val="auto"/>
        </w:rPr>
      </w:pPr>
    </w:p>
    <w:p>
      <w:pPr>
        <w:ind w:firstLine="438"/>
        <w:spacing w:after="0" w:line="226" w:lineRule="auto"/>
        <w:rPr>
          <w:sz w:val="20"/>
          <w:szCs w:val="20"/>
          <w:color w:val="auto"/>
        </w:rPr>
      </w:pPr>
      <w:r>
        <w:rPr>
          <w:rFonts w:ascii="Arial" w:cs="Arial" w:eastAsia="Arial" w:hAnsi="Arial"/>
          <w:sz w:val="14"/>
          <w:szCs w:val="14"/>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U.S. Federal income tax purpose, we typically do not incur any material federal income taxes. However, we may choose to retain a portion of our calendar year income, which may result in the imposition of an excise tax. Additionally, certain of the Company’s consolidated subsidiaries are subject to U.S. federal, state and local income taxes. For the years ended September 30, 2021, 2020 and 2019, we recorded a provision for taxes of $0.6 million (approximately one-half of which was for U.S. federal excise tax and the remainder for U.S. federal and state income taxes and franchise taxes related to the Taxable Subsidiaries), $1.2 million (approximately one-half of which was for U.S. federal excise tax and the remainder for U.S. federal and state income taxes related to Taxable Subsidiaries) and $1.2 million (approximately one-half of which was for U.S. federal excise tax and the remainder for U.S. federal and state income taxes related to Taxable Subsidiaries), respectively.</w:t>
      </w:r>
    </w:p>
    <w:p>
      <w:pPr>
        <w:spacing w:after="0" w:line="121" w:lineRule="exact"/>
        <w:rPr>
          <w:sz w:val="20"/>
          <w:szCs w:val="20"/>
          <w:color w:val="auto"/>
        </w:rPr>
      </w:pPr>
    </w:p>
    <w:p>
      <w:pPr>
        <w:ind w:right="200" w:firstLine="438"/>
        <w:spacing w:after="0" w:line="248" w:lineRule="auto"/>
        <w:rPr>
          <w:sz w:val="20"/>
          <w:szCs w:val="20"/>
          <w:color w:val="auto"/>
        </w:rPr>
      </w:pPr>
      <w:r>
        <w:rPr>
          <w:rFonts w:ascii="Arial" w:cs="Arial" w:eastAsia="Arial" w:hAnsi="Arial"/>
          <w:sz w:val="13"/>
          <w:szCs w:val="13"/>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99" w:lineRule="exact"/>
        <w:rPr>
          <w:sz w:val="20"/>
          <w:szCs w:val="20"/>
          <w:color w:val="auto"/>
        </w:rPr>
      </w:pPr>
    </w:p>
    <w:p>
      <w:pPr>
        <w:ind w:right="60" w:firstLine="438"/>
        <w:spacing w:after="0" w:line="264" w:lineRule="auto"/>
        <w:rPr>
          <w:sz w:val="20"/>
          <w:szCs w:val="20"/>
          <w:color w:val="auto"/>
        </w:rPr>
      </w:pPr>
      <w:r>
        <w:rPr>
          <w:rFonts w:ascii="Arial" w:cs="Arial" w:eastAsia="Arial" w:hAnsi="Arial"/>
          <w:sz w:val="13"/>
          <w:szCs w:val="13"/>
          <w:color w:val="auto"/>
        </w:rPr>
        <w:t>Because U.S. federal income tax regulations differ from GAAP, distributions characterized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4"/>
          <w:szCs w:val="14"/>
          <w:b w:val="1"/>
          <w:bCs w:val="1"/>
          <w:color w:val="auto"/>
        </w:rPr>
        <w:t>SEPTEMBER 30, 2021</w:t>
      </w:r>
    </w:p>
    <w:p>
      <w:pPr>
        <w:spacing w:after="0" w:line="354" w:lineRule="exact"/>
        <w:rPr>
          <w:sz w:val="20"/>
          <w:szCs w:val="20"/>
          <w:color w:val="auto"/>
        </w:rPr>
      </w:pPr>
    </w:p>
    <w:p>
      <w:pPr>
        <w:ind w:left="620" w:hanging="369"/>
        <w:spacing w:after="0"/>
        <w:tabs>
          <w:tab w:leader="none" w:pos="620" w:val="left"/>
        </w:tabs>
        <w:numPr>
          <w:ilvl w:val="0"/>
          <w:numId w:val="7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Distributions and Capital Transactions</w:t>
      </w:r>
    </w:p>
    <w:p>
      <w:pPr>
        <w:spacing w:after="0" w:line="204"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determined by our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02" w:lineRule="exact"/>
        <w:rPr>
          <w:sz w:val="20"/>
          <w:szCs w:val="20"/>
          <w:color w:val="auto"/>
        </w:rPr>
      </w:pPr>
    </w:p>
    <w:p>
      <w:pPr>
        <w:ind w:right="100" w:firstLine="438"/>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06" w:lineRule="exact"/>
        <w:rPr>
          <w:sz w:val="20"/>
          <w:szCs w:val="20"/>
          <w:color w:val="auto"/>
        </w:rPr>
      </w:pPr>
    </w:p>
    <w:p>
      <w:pPr>
        <w:ind w:left="620" w:hanging="369"/>
        <w:spacing w:after="0"/>
        <w:tabs>
          <w:tab w:leader="none" w:pos="620" w:val="left"/>
        </w:tabs>
        <w:numPr>
          <w:ilvl w:val="0"/>
          <w:numId w:val="7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Foreign Currency Translation</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920" w:hanging="359"/>
        <w:spacing w:after="0"/>
        <w:tabs>
          <w:tab w:leader="none" w:pos="9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02" w:lineRule="exact"/>
        <w:rPr>
          <w:sz w:val="20"/>
          <w:szCs w:val="20"/>
          <w:color w:val="auto"/>
        </w:rPr>
      </w:pPr>
    </w:p>
    <w:p>
      <w:pPr>
        <w:jc w:val="both"/>
        <w:ind w:right="160" w:firstLine="438"/>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5" w:lineRule="exact"/>
        <w:rPr>
          <w:sz w:val="20"/>
          <w:szCs w:val="20"/>
          <w:color w:val="auto"/>
        </w:rPr>
      </w:pPr>
    </w:p>
    <w:p>
      <w:pPr>
        <w:ind w:left="1040" w:hanging="784"/>
        <w:spacing w:after="0"/>
        <w:tabs>
          <w:tab w:leader="none" w:pos="1040" w:val="left"/>
        </w:tabs>
        <w:numPr>
          <w:ilvl w:val="0"/>
          <w:numId w:val="7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Consolidation</w:t>
      </w:r>
    </w:p>
    <w:p>
      <w:pPr>
        <w:spacing w:after="0" w:line="136" w:lineRule="exact"/>
        <w:rPr>
          <w:sz w:val="20"/>
          <w:szCs w:val="20"/>
          <w:color w:val="auto"/>
        </w:rPr>
      </w:pPr>
    </w:p>
    <w:p>
      <w:pPr>
        <w:ind w:right="160" w:firstLine="438"/>
        <w:spacing w:after="0" w:line="233" w:lineRule="auto"/>
        <w:rPr>
          <w:sz w:val="20"/>
          <w:szCs w:val="20"/>
          <w:color w:val="auto"/>
        </w:rPr>
      </w:pPr>
      <w:r>
        <w:rPr>
          <w:rFonts w:ascii="Arial" w:cs="Arial" w:eastAsia="Arial" w:hAnsi="Arial"/>
          <w:sz w:val="14"/>
          <w:szCs w:val="14"/>
          <w:color w:val="auto"/>
        </w:rPr>
        <w:t>As permitted under Regulation S-X and as explained by ASC paragraph 946-810-45-3, PennantPark Investment will generally not consolidate its investment in a company other than an investment company subsidiary or a controlled operating company whose business consists of providing services to us. Accordingly, we have consolidated the results of our SBIC Funds, our formerly wholly-owned subsidiary, Funding I, and our Taxable Subsidiaries in our Consolidated Financial Statements. We do not consolidate our non-controlling interest in PSLF. See further description of our investment in PSLF in Note 4.</w:t>
      </w:r>
    </w:p>
    <w:p>
      <w:pPr>
        <w:spacing w:after="0" w:line="104" w:lineRule="exact"/>
        <w:rPr>
          <w:sz w:val="20"/>
          <w:szCs w:val="20"/>
          <w:color w:val="auto"/>
        </w:rPr>
      </w:pPr>
    </w:p>
    <w:p>
      <w:pPr>
        <w:ind w:left="1080" w:hanging="824"/>
        <w:spacing w:after="0"/>
        <w:tabs>
          <w:tab w:leader="none" w:pos="1080" w:val="left"/>
        </w:tabs>
        <w:numPr>
          <w:ilvl w:val="0"/>
          <w:numId w:val="7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Asset Transfers and Servicing</w:t>
      </w:r>
    </w:p>
    <w:p>
      <w:pPr>
        <w:spacing w:after="0" w:line="136" w:lineRule="exact"/>
        <w:rPr>
          <w:sz w:val="20"/>
          <w:szCs w:val="20"/>
          <w:color w:val="auto"/>
        </w:rPr>
      </w:pPr>
    </w:p>
    <w:p>
      <w:pPr>
        <w:ind w:right="80" w:firstLine="438"/>
        <w:spacing w:after="0" w:line="253" w:lineRule="auto"/>
        <w:rPr>
          <w:sz w:val="20"/>
          <w:szCs w:val="20"/>
          <w:color w:val="auto"/>
        </w:rPr>
      </w:pPr>
      <w:r>
        <w:rPr>
          <w:rFonts w:ascii="Arial" w:cs="Arial" w:eastAsia="Arial" w:hAnsi="Arial"/>
          <w:sz w:val="14"/>
          <w:szCs w:val="14"/>
          <w:color w:val="auto"/>
        </w:rPr>
        <w:t>Asset transfers that do not meet ASC Topic 860, Transfers and Servicing, requirements for sale accounting treatment are reflected in the Consolidated Statements of Assets and Liabilities and the Consolidated Schedules of Investments as investments.</w:t>
      </w:r>
    </w:p>
    <w:p>
      <w:pPr>
        <w:spacing w:after="0" w:line="106" w:lineRule="exact"/>
        <w:rPr>
          <w:sz w:val="20"/>
          <w:szCs w:val="20"/>
          <w:color w:val="auto"/>
        </w:rPr>
      </w:pPr>
    </w:p>
    <w:p>
      <w:pPr>
        <w:ind w:left="1080" w:hanging="824"/>
        <w:spacing w:after="0"/>
        <w:tabs>
          <w:tab w:leader="none" w:pos="1080" w:val="left"/>
        </w:tabs>
        <w:numPr>
          <w:ilvl w:val="0"/>
          <w:numId w:val="7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Recent Accounting Pronouncements</w:t>
      </w:r>
    </w:p>
    <w:p>
      <w:pPr>
        <w:spacing w:after="0" w:line="123" w:lineRule="exact"/>
        <w:rPr>
          <w:sz w:val="20"/>
          <w:szCs w:val="20"/>
          <w:color w:val="auto"/>
        </w:rPr>
      </w:pPr>
    </w:p>
    <w:p>
      <w:pPr>
        <w:ind w:right="180" w:firstLine="438"/>
        <w:spacing w:after="0" w:line="255" w:lineRule="auto"/>
        <w:rPr>
          <w:sz w:val="20"/>
          <w:szCs w:val="20"/>
          <w:color w:val="auto"/>
        </w:rPr>
      </w:pPr>
      <w:r>
        <w:rPr>
          <w:rFonts w:ascii="Arial" w:cs="Arial" w:eastAsia="Arial" w:hAnsi="Arial"/>
          <w:sz w:val="13"/>
          <w:szCs w:val="13"/>
          <w:color w:val="auto"/>
        </w:rPr>
        <w:t>In March 2020, the FASB issued Accounting Standards Update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Company is evaluating the potential impact that the adoption of this guidance will have on the Company’s financial statements.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 AND RELATED PARTY TRANSACTIONS</w:t>
      </w:r>
    </w:p>
    <w:p>
      <w:pPr>
        <w:spacing w:after="0" w:line="140" w:lineRule="exact"/>
        <w:rPr>
          <w:sz w:val="20"/>
          <w:szCs w:val="20"/>
          <w:color w:val="auto"/>
        </w:rPr>
      </w:pPr>
    </w:p>
    <w:p>
      <w:pPr>
        <w:ind w:right="60" w:firstLine="438"/>
        <w:spacing w:after="0" w:line="229" w:lineRule="auto"/>
        <w:rPr>
          <w:sz w:val="20"/>
          <w:szCs w:val="20"/>
          <w:color w:val="auto"/>
        </w:rPr>
      </w:pPr>
      <w:r>
        <w:rPr>
          <w:rFonts w:ascii="Arial" w:cs="Arial" w:eastAsia="Arial" w:hAnsi="Arial"/>
          <w:sz w:val="14"/>
          <w:szCs w:val="14"/>
          <w:color w:val="auto"/>
        </w:rPr>
        <w:t>The Investment Management Agreement with the Investment Adviser was reapproved by our board of directors, including a majority of our directors who are not interested persons of us or the Investment Adviser, in February 2021. Under the Investment Management Agreement, the Investment Adviser, subject to the overall supervision of our board of directors, manages the day-to-day operations of and provides investment advisory services to us. The Investment Adviser serves as the servicer to Funding I and has irrevocably directed that the management fee owed to it with respect to such services be paid to the Company so long as the Investment Adviser remains the servicer. SBIC II’s investment management agreement does not affect the management or incentive fees that we pay to the Investment Adviser on a consolidated basis. For providing these services, the Investment Adviser receives a fee from us, consisting of two components— a base management fee and an incentive fee or, collectively, Management Fees.</w:t>
      </w:r>
    </w:p>
    <w:p>
      <w:pPr>
        <w:spacing w:after="0" w:line="118" w:lineRule="exact"/>
        <w:rPr>
          <w:sz w:val="20"/>
          <w:szCs w:val="20"/>
          <w:color w:val="auto"/>
        </w:rPr>
      </w:pPr>
    </w:p>
    <w:p>
      <w:pPr>
        <w:ind w:right="20" w:firstLine="438"/>
        <w:spacing w:after="0" w:line="243" w:lineRule="auto"/>
        <w:rPr>
          <w:sz w:val="20"/>
          <w:szCs w:val="20"/>
          <w:color w:val="auto"/>
        </w:rPr>
      </w:pPr>
      <w:r>
        <w:rPr>
          <w:rFonts w:ascii="Arial" w:cs="Arial" w:eastAsia="Arial" w:hAnsi="Arial"/>
          <w:sz w:val="13"/>
          <w:szCs w:val="13"/>
          <w:color w:val="auto"/>
        </w:rPr>
        <w:t>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In addition, on November 13, 2018, in connection with our board of directors’ approval of the application of the modified asset coverage requirements under the 1940 Act to the Company, our board of directors also approved an amendment to the Investment Management Agreement reducing the Investment Adviser’s annual base management fee from 1.50% to 1.00% on gross assets that exceed 200% of the Company’s total net assets as of the immediately preceding quarter-end. This amendment became effective on February 5, 2019 with the amendment and restatement of the Investment Management Agreement on April 12, 2019.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periods prior to January 1, 2018, the base management fee was calculated at an annual rate of 2.00% of our “average adjusted gross assets.” For the years ended September 30, 2021, 2020 and 2019, the Investment Adviser earned base management fees of $17.3 million, $18.6 million and $18.2 million, respectively, from us.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firstLine="438"/>
        <w:spacing w:after="0" w:line="227" w:lineRule="auto"/>
        <w:rPr>
          <w:sz w:val="20"/>
          <w:szCs w:val="20"/>
          <w:color w:val="auto"/>
        </w:rPr>
      </w:pPr>
      <w:r>
        <w:rPr>
          <w:rFonts w:ascii="Arial" w:cs="Arial" w:eastAsia="Arial" w:hAnsi="Arial"/>
          <w:sz w:val="14"/>
          <w:szCs w:val="14"/>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jc w:val="center"/>
        <w:ind w:right="20"/>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rPr>
          <w:sz w:val="20"/>
          <w:szCs w:val="20"/>
          <w:color w:val="auto"/>
        </w:rPr>
      </w:pPr>
      <w:r>
        <w:rPr>
          <w:rFonts w:ascii="Arial" w:cs="Arial" w:eastAsia="Arial" w:hAnsi="Arial"/>
          <w:sz w:val="14"/>
          <w:szCs w:val="14"/>
          <w:b w:val="1"/>
          <w:bCs w:val="1"/>
          <w:color w:val="auto"/>
        </w:rPr>
        <w:t>SEPTEMBER 30, 2021</w:t>
      </w:r>
    </w:p>
    <w:p>
      <w:pPr>
        <w:spacing w:after="0" w:line="205" w:lineRule="exact"/>
        <w:rPr>
          <w:sz w:val="20"/>
          <w:szCs w:val="20"/>
          <w:color w:val="auto"/>
        </w:rPr>
      </w:pPr>
    </w:p>
    <w:p>
      <w:pPr>
        <w:ind w:right="60"/>
        <w:spacing w:after="0" w:line="242" w:lineRule="auto"/>
        <w:rPr>
          <w:sz w:val="20"/>
          <w:szCs w:val="20"/>
          <w:color w:val="auto"/>
        </w:rPr>
      </w:pPr>
      <w:r>
        <w:rPr>
          <w:rFonts w:ascii="Arial" w:cs="Arial" w:eastAsia="Arial" w:hAnsi="Arial"/>
          <w:sz w:val="13"/>
          <w:szCs w:val="13"/>
          <w:color w:val="auto"/>
        </w:rPr>
        <w:t>value of our net assets at the end of the immediately preceding calendar quarter, is compared to the hurdle rate of 1.75% per quarter (7.00% annualized). Effective January 1, 2018, we pay the Investment Adviser an incentive fee with respect to our Pre- 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 For periods prior to January 1, 2018, we paid the Investment Adviser an incentive fee with respect to our Pre-Incentive Fee Net Investment Income in each calendar quarter as follows: (1) no incentive fee in any calendar quarter in which our Pre-Incentive Fee Net Investment Income did not exceed the hurdle rate of 1.75%, (2) 100% of our Pre-Incentive Fee Net Investment Income with respect to that portion of such Pre-Incentive Fee Net Investment Income, if any, that exceeded the hurdle rate but was less than 2.1875% in any calendar quarter (8.75% annualized), and (3) 20% of the amount of our Pre-Incentive Fee Net Investment Income, if any, that exceeded 2.1875% in any calendar quarter. From December 31, 2015 through December 31, 2017, the Investment Adviser voluntarily agreed, in consultation with the board of directors, to irrevocably waive 16% of incentive fees, correlated to our 16% energy cost exposure (oil &amp; gas and energy &amp; utilities industries) at cost as of December 31, 2015. Additionally, beginning April 1, 2020 and through March 31, 2021, the Investment Adviser has voluntarily agreed, in consultation with our board of directors, to irrevocably waive the performance-based incentive fees. For the years ended September 30, 2021, 2020 and 2019, the Investment Adviser earned $0.6 million, $2.7 million (after a waiver of $1.9 million) and $5.1 million, respectively, in incentive fees on net investment income from us.</w:t>
      </w:r>
    </w:p>
    <w:p>
      <w:pPr>
        <w:spacing w:after="0" w:line="119" w:lineRule="exact"/>
        <w:rPr>
          <w:sz w:val="20"/>
          <w:szCs w:val="20"/>
          <w:color w:val="auto"/>
        </w:rPr>
      </w:pPr>
    </w:p>
    <w:p>
      <w:pPr>
        <w:ind w:right="140" w:firstLine="438"/>
        <w:spacing w:after="0" w:line="231"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2021, 2020 and 2019, the Investment Adviser did not accrue an incentive fee on capital gains as calculated under the Investment Management Agreement (as described above).</w:t>
      </w:r>
    </w:p>
    <w:p>
      <w:pPr>
        <w:spacing w:after="0" w:line="116" w:lineRule="exact"/>
        <w:rPr>
          <w:sz w:val="20"/>
          <w:szCs w:val="20"/>
          <w:color w:val="auto"/>
        </w:rPr>
      </w:pPr>
    </w:p>
    <w:p>
      <w:pPr>
        <w:ind w:right="100" w:firstLine="438"/>
        <w:spacing w:after="0" w:line="227"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(20.0% for periods prior to January 1, 2018), less the aggregate amount of actual capital gains related to incentive fees paid in all prior years. If such amount is negative, then there is no accrual for such year. There can be no assurance that such unrealized capital appreciation will be realized in the future. For the years ended September 30, 2021, 2020 and 2019, the Investment Adviser did not accrue an incentive fee on capital gains as calculated under GAAP.</w:t>
      </w:r>
    </w:p>
    <w:p>
      <w:pPr>
        <w:spacing w:after="0" w:line="118" w:lineRule="exact"/>
        <w:rPr>
          <w:sz w:val="20"/>
          <w:szCs w:val="20"/>
          <w:color w:val="auto"/>
        </w:rPr>
      </w:pPr>
    </w:p>
    <w:p>
      <w:pPr>
        <w:ind w:right="80" w:firstLine="438"/>
        <w:spacing w:after="0" w:line="245"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our directors who are not interested persons of us, in February 2021. Under the Administration Agreement, the Administrator provides administrative services and office facilities to us. The Administrator provides similar services to SBIC II under its administration agreement with PennantPark Investment.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years ended September 30, 2021, 2020 and 2019, we reimbursed the Investment Adviser approximately $1.2 million, $1.4 million and $1.8 million, respectively, including expenses the Investment Adviser incurred on behalf of the Administrator, for services described above.</w:t>
      </w:r>
    </w:p>
    <w:p>
      <w:pPr>
        <w:spacing w:after="0" w:line="102" w:lineRule="exact"/>
        <w:rPr>
          <w:sz w:val="20"/>
          <w:szCs w:val="20"/>
          <w:color w:val="auto"/>
        </w:rPr>
      </w:pPr>
    </w:p>
    <w:p>
      <w:pPr>
        <w:ind w:right="180" w:firstLine="438"/>
        <w:spacing w:after="0" w:line="253" w:lineRule="auto"/>
        <w:rPr>
          <w:sz w:val="20"/>
          <w:szCs w:val="20"/>
          <w:color w:val="auto"/>
        </w:rPr>
      </w:pPr>
      <w:r>
        <w:rPr>
          <w:rFonts w:ascii="Arial" w:cs="Arial" w:eastAsia="Arial" w:hAnsi="Arial"/>
          <w:sz w:val="14"/>
          <w:szCs w:val="14"/>
          <w:color w:val="auto"/>
        </w:rPr>
        <w:t>For the years ended September 30, 2021, 2020 and 2019, the Company purchased zero, $15.0 million and zero, respectively, in total investments from an affiliated fund managed by our Investment Adviser in accordance with, and pursuant to, procedures adopted under Rule 17a-7 of the 1940 Act.</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40" w:lineRule="exact"/>
        <w:rPr>
          <w:sz w:val="20"/>
          <w:szCs w:val="20"/>
          <w:color w:val="auto"/>
        </w:rPr>
      </w:pPr>
    </w:p>
    <w:p>
      <w:pPr>
        <w:ind w:right="240" w:firstLine="438"/>
        <w:spacing w:after="0" w:line="253" w:lineRule="auto"/>
        <w:rPr>
          <w:sz w:val="20"/>
          <w:szCs w:val="20"/>
          <w:color w:val="auto"/>
        </w:rPr>
      </w:pPr>
      <w:r>
        <w:rPr>
          <w:rFonts w:ascii="Arial" w:cs="Arial" w:eastAsia="Arial" w:hAnsi="Arial"/>
          <w:sz w:val="14"/>
          <w:szCs w:val="14"/>
          <w:color w:val="auto"/>
        </w:rPr>
        <w:t>Purchases of investments, including PIK interest, for the years ended September 30, 2021, 2020 and 2019 totaled $456.5 million, $333.9 million and $545.6 million, respectively. Sales and repayments of investments for the same periods totaled $434.5 million, $162.7 million and $426.5 million, respectively.</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Investments and cash and cash equivalents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80" w:type="dxa"/>
            <w:vAlign w:val="bottom"/>
            <w:gridSpan w:val="4"/>
          </w:tcPr>
          <w:p>
            <w:pPr>
              <w:jc w:val="right"/>
              <w:ind w:right="948"/>
              <w:spacing w:after="0"/>
              <w:rPr>
                <w:sz w:val="20"/>
                <w:szCs w:val="20"/>
                <w:color w:val="auto"/>
              </w:rPr>
            </w:pPr>
            <w:r>
              <w:rPr>
                <w:rFonts w:ascii="Arial" w:cs="Arial" w:eastAsia="Arial" w:hAnsi="Arial"/>
                <w:sz w:val="14"/>
                <w:szCs w:val="14"/>
                <w:b w:val="1"/>
                <w:bCs w:val="1"/>
                <w:color w:val="auto"/>
              </w:rPr>
              <w:t>September 30, 2021</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0" w:type="dxa"/>
            <w:vAlign w:val="bottom"/>
            <w:gridSpan w:val="5"/>
          </w:tcPr>
          <w:p>
            <w:pPr>
              <w:ind w:left="660"/>
              <w:spacing w:after="0"/>
              <w:rPr>
                <w:sz w:val="20"/>
                <w:szCs w:val="20"/>
                <w:color w:val="auto"/>
              </w:rPr>
            </w:pPr>
            <w:r>
              <w:rPr>
                <w:rFonts w:ascii="Arial" w:cs="Arial" w:eastAsia="Arial" w:hAnsi="Arial"/>
                <w:sz w:val="14"/>
                <w:szCs w:val="14"/>
                <w:b w:val="1"/>
                <w:bCs w:val="1"/>
                <w:color w:val="auto"/>
              </w:rPr>
              <w:t>September 30, 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Cost</w:t>
            </w: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Cost</w:t>
            </w: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551,435,262</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552,530,069</w:t>
            </w:r>
          </w:p>
        </w:tc>
        <w:tc>
          <w:tcPr>
            <w:tcW w:w="2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451,763,766</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439,013,082</w:t>
            </w:r>
          </w:p>
        </w:tc>
        <w:tc>
          <w:tcPr>
            <w:tcW w:w="12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176,982,716</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176,893,514</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238,335,508</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220,843,480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56,315,308</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57,014,996</w:t>
            </w:r>
          </w:p>
        </w:tc>
        <w:tc>
          <w:tcPr>
            <w:tcW w:w="2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50,780,591</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50,569,409</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Subordinated notes in PSLF</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64,154,570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64,154,570</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63,000,000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63,000,000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338,340,770</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363,537,060</w:t>
            </w:r>
          </w:p>
        </w:tc>
        <w:tc>
          <w:tcPr>
            <w:tcW w:w="2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328,471,250</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272,082,870</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Equity in PSLF</w:t>
            </w:r>
          </w:p>
        </w:tc>
        <w:tc>
          <w:tcPr>
            <w:tcW w:w="16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33,892,823</w:t>
            </w:r>
          </w:p>
        </w:tc>
        <w:tc>
          <w:tcPr>
            <w:tcW w:w="26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41,159,625</w:t>
            </w:r>
          </w:p>
        </w:tc>
        <w:tc>
          <w:tcPr>
            <w:tcW w:w="26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33,221,176</w:t>
            </w:r>
          </w:p>
        </w:tc>
        <w:tc>
          <w:tcPr>
            <w:tcW w:w="26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36,262,577</w:t>
            </w:r>
          </w:p>
        </w:tc>
        <w:tc>
          <w:tcPr>
            <w:tcW w:w="120" w:type="dxa"/>
            <w:vAlign w:val="bottom"/>
            <w:tcBorders>
              <w:bottom w:val="single" w:sz="8" w:color="CCEC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1,221,121,450</w:t>
            </w:r>
          </w:p>
        </w:tc>
        <w:tc>
          <w:tcPr>
            <w:tcW w:w="26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1,255,289,834</w:t>
            </w:r>
          </w:p>
        </w:tc>
        <w:tc>
          <w:tcPr>
            <w:tcW w:w="26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1,165,572,291</w:t>
            </w:r>
          </w:p>
        </w:tc>
        <w:tc>
          <w:tcPr>
            <w:tcW w:w="26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1,081,771,418</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Cash and cash equivalents</w:t>
            </w:r>
          </w:p>
        </w:tc>
        <w:tc>
          <w:tcPr>
            <w:tcW w:w="1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20,382,959</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20,357,016</w:t>
            </w:r>
          </w:p>
        </w:tc>
        <w:tc>
          <w:tcPr>
            <w:tcW w:w="2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25,801,087</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25,806,002</w:t>
            </w:r>
          </w:p>
        </w:tc>
        <w:tc>
          <w:tcPr>
            <w:tcW w:w="120" w:type="dxa"/>
            <w:vAlign w:val="bottom"/>
            <w:tcBorders>
              <w:bottom w:val="single" w:sz="8" w:color="CCEC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1,241,504,409</w:t>
            </w:r>
          </w:p>
        </w:tc>
        <w:tc>
          <w:tcPr>
            <w:tcW w:w="26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1,275,646,851</w:t>
            </w:r>
          </w:p>
        </w:tc>
        <w:tc>
          <w:tcPr>
            <w:tcW w:w="2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1,191,373,378</w:t>
            </w:r>
          </w:p>
        </w:tc>
        <w:tc>
          <w:tcPr>
            <w:tcW w:w="26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1,107,577,420</w:t>
            </w:r>
          </w:p>
        </w:tc>
        <w:tc>
          <w:tcPr>
            <w:tcW w:w="120" w:type="dxa"/>
            <w:vAlign w:val="bottom"/>
            <w:tcBorders>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74</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74" w:name="page75"/>
    <w:bookmarkEnd w:id="74"/>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200" w:lineRule="exact"/>
        <w:rPr>
          <w:sz w:val="20"/>
          <w:szCs w:val="20"/>
          <w:color w:val="auto"/>
        </w:rPr>
      </w:pPr>
    </w:p>
    <w:p>
      <w:pPr>
        <w:spacing w:after="0" w:line="235" w:lineRule="exact"/>
        <w:rPr>
          <w:sz w:val="20"/>
          <w:szCs w:val="20"/>
          <w:color w:val="auto"/>
        </w:rPr>
      </w:pPr>
    </w:p>
    <w:p>
      <w:pPr>
        <w:ind w:right="220" w:firstLine="438"/>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 as of:</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26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 xml:space="preserve">September 30, 2021 </w:t>
            </w:r>
            <w:r>
              <w:rPr>
                <w:rFonts w:ascii="Arial" w:cs="Arial" w:eastAsia="Arial" w:hAnsi="Arial"/>
                <w:sz w:val="12"/>
                <w:szCs w:val="12"/>
                <w:b w:val="1"/>
                <w:bCs w:val="1"/>
                <w:color w:val="auto"/>
              </w:rPr>
              <w:t>(1)</w:t>
            </w:r>
          </w:p>
        </w:tc>
        <w:tc>
          <w:tcPr>
            <w:tcW w:w="2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September 30, 2020</w:t>
            </w:r>
          </w:p>
        </w:tc>
      </w:tr>
      <w:tr>
        <w:trPr>
          <w:trHeight w:val="26"/>
        </w:trPr>
        <w:tc>
          <w:tcPr>
            <w:tcW w:w="212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240" w:type="dxa"/>
            <w:vAlign w:val="bottom"/>
            <w:tcBorders>
              <w:bottom w:val="single" w:sz="8" w:color="CCEC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360" w:type="dxa"/>
            <w:vAlign w:val="bottom"/>
            <w:tcBorders>
              <w:bottom w:val="single" w:sz="8" w:color="CCEC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0" w:type="dxa"/>
            <w:vAlign w:val="bottom"/>
            <w:tcBorders>
              <w:bottom w:val="single" w:sz="8" w:color="CCECFF"/>
            </w:tcBorders>
          </w:tcPr>
          <w:p>
            <w:pPr>
              <w:spacing w:after="0"/>
              <w:rPr>
                <w:sz w:val="2"/>
                <w:szCs w:val="2"/>
                <w:color w:val="auto"/>
              </w:rPr>
            </w:pPr>
          </w:p>
        </w:tc>
      </w:tr>
      <w:tr>
        <w:trPr>
          <w:trHeight w:val="155"/>
        </w:trPr>
        <w:tc>
          <w:tcPr>
            <w:tcW w:w="608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Healthcare, Education and Childcare</w:t>
            </w:r>
          </w:p>
        </w:tc>
        <w:tc>
          <w:tcPr>
            <w:tcW w:w="240" w:type="dxa"/>
            <w:vAlign w:val="bottom"/>
            <w:shd w:val="clear" w:color="auto" w:fill="CCECFF"/>
          </w:tcPr>
          <w:p>
            <w:pPr>
              <w:spacing w:after="0"/>
              <w:rPr>
                <w:sz w:val="13"/>
                <w:szCs w:val="13"/>
                <w:color w:val="auto"/>
              </w:rPr>
            </w:pPr>
          </w:p>
        </w:tc>
        <w:tc>
          <w:tcPr>
            <w:tcW w:w="2680" w:type="dxa"/>
            <w:vAlign w:val="bottom"/>
            <w:gridSpan w:val="2"/>
            <w:shd w:val="clear" w:color="auto" w:fill="CCECFF"/>
          </w:tcPr>
          <w:p>
            <w:pPr>
              <w:jc w:val="right"/>
              <w:ind w:right="240"/>
              <w:spacing w:after="0" w:line="155" w:lineRule="exact"/>
              <w:rPr>
                <w:sz w:val="20"/>
                <w:szCs w:val="20"/>
                <w:color w:val="auto"/>
              </w:rPr>
            </w:pPr>
            <w:r>
              <w:rPr>
                <w:rFonts w:ascii="Arial" w:cs="Arial" w:eastAsia="Arial" w:hAnsi="Arial"/>
                <w:sz w:val="14"/>
                <w:szCs w:val="14"/>
                <w:color w:val="auto"/>
              </w:rPr>
              <w:t>23%</w:t>
            </w:r>
          </w:p>
        </w:tc>
        <w:tc>
          <w:tcPr>
            <w:tcW w:w="224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17%</w:t>
            </w:r>
          </w:p>
        </w:tc>
      </w:tr>
      <w:tr>
        <w:trPr>
          <w:trHeight w:val="162"/>
        </w:trPr>
        <w:tc>
          <w:tcPr>
            <w:tcW w:w="6320" w:type="dxa"/>
            <w:vAlign w:val="bottom"/>
            <w:gridSpan w:val="3"/>
          </w:tcPr>
          <w:p>
            <w:pPr>
              <w:spacing w:after="0"/>
              <w:rPr>
                <w:sz w:val="20"/>
                <w:szCs w:val="20"/>
                <w:color w:val="auto"/>
              </w:rPr>
            </w:pPr>
            <w:r>
              <w:rPr>
                <w:rFonts w:ascii="Arial" w:cs="Arial" w:eastAsia="Arial" w:hAnsi="Arial"/>
                <w:sz w:val="14"/>
                <w:szCs w:val="14"/>
                <w:color w:val="auto"/>
              </w:rPr>
              <w:t>Business Services</w:t>
            </w:r>
          </w:p>
        </w:tc>
        <w:tc>
          <w:tcPr>
            <w:tcW w:w="2320" w:type="dxa"/>
            <w:vAlign w:val="bottom"/>
          </w:tcPr>
          <w:p>
            <w:pPr>
              <w:jc w:val="right"/>
              <w:spacing w:after="0"/>
              <w:rPr>
                <w:sz w:val="20"/>
                <w:szCs w:val="20"/>
                <w:color w:val="auto"/>
              </w:rPr>
            </w:pPr>
            <w:r>
              <w:rPr>
                <w:rFonts w:ascii="Arial" w:cs="Arial" w:eastAsia="Arial" w:hAnsi="Arial"/>
                <w:sz w:val="14"/>
                <w:szCs w:val="14"/>
                <w:color w:val="auto"/>
              </w:rPr>
              <w:t>9</w:t>
            </w:r>
          </w:p>
        </w:tc>
        <w:tc>
          <w:tcPr>
            <w:tcW w:w="36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r>
      <w:tr>
        <w:trPr>
          <w:trHeight w:val="162"/>
        </w:trPr>
        <w:tc>
          <w:tcPr>
            <w:tcW w:w="63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Consumer Products</w:t>
            </w:r>
          </w:p>
        </w:tc>
        <w:tc>
          <w:tcPr>
            <w:tcW w:w="23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w:t>
            </w:r>
          </w:p>
        </w:tc>
        <w:tc>
          <w:tcPr>
            <w:tcW w:w="360" w:type="dxa"/>
            <w:vAlign w:val="bottom"/>
            <w:shd w:val="clear" w:color="auto" w:fill="CCECFF"/>
          </w:tcPr>
          <w:p>
            <w:pPr>
              <w:spacing w:after="0"/>
              <w:rPr>
                <w:sz w:val="14"/>
                <w:szCs w:val="14"/>
                <w:color w:val="auto"/>
              </w:rPr>
            </w:pPr>
          </w:p>
        </w:tc>
        <w:tc>
          <w:tcPr>
            <w:tcW w:w="2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r>
      <w:tr>
        <w:trPr>
          <w:trHeight w:val="162"/>
        </w:trPr>
        <w:tc>
          <w:tcPr>
            <w:tcW w:w="6320" w:type="dxa"/>
            <w:vAlign w:val="bottom"/>
            <w:gridSpan w:val="3"/>
          </w:tcPr>
          <w:p>
            <w:pPr>
              <w:spacing w:after="0"/>
              <w:rPr>
                <w:sz w:val="20"/>
                <w:szCs w:val="20"/>
                <w:color w:val="auto"/>
              </w:rPr>
            </w:pPr>
            <w:r>
              <w:rPr>
                <w:rFonts w:ascii="Arial" w:cs="Arial" w:eastAsia="Arial" w:hAnsi="Arial"/>
                <w:sz w:val="14"/>
                <w:szCs w:val="14"/>
                <w:color w:val="auto"/>
              </w:rPr>
              <w:t>Distribution</w:t>
            </w:r>
          </w:p>
        </w:tc>
        <w:tc>
          <w:tcPr>
            <w:tcW w:w="2320" w:type="dxa"/>
            <w:vAlign w:val="bottom"/>
          </w:tcPr>
          <w:p>
            <w:pPr>
              <w:jc w:val="right"/>
              <w:spacing w:after="0"/>
              <w:rPr>
                <w:sz w:val="20"/>
                <w:szCs w:val="20"/>
                <w:color w:val="auto"/>
              </w:rPr>
            </w:pPr>
            <w:r>
              <w:rPr>
                <w:rFonts w:ascii="Arial" w:cs="Arial" w:eastAsia="Arial" w:hAnsi="Arial"/>
                <w:sz w:val="14"/>
                <w:szCs w:val="14"/>
                <w:color w:val="auto"/>
              </w:rPr>
              <w:t>7</w:t>
            </w:r>
          </w:p>
        </w:tc>
        <w:tc>
          <w:tcPr>
            <w:tcW w:w="36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r>
      <w:tr>
        <w:trPr>
          <w:trHeight w:val="162"/>
        </w:trPr>
        <w:tc>
          <w:tcPr>
            <w:tcW w:w="63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Energy and Utilities</w:t>
            </w:r>
          </w:p>
        </w:tc>
        <w:tc>
          <w:tcPr>
            <w:tcW w:w="23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360" w:type="dxa"/>
            <w:vAlign w:val="bottom"/>
            <w:shd w:val="clear" w:color="auto" w:fill="CCECFF"/>
          </w:tcPr>
          <w:p>
            <w:pPr>
              <w:spacing w:after="0"/>
              <w:rPr>
                <w:sz w:val="14"/>
                <w:szCs w:val="14"/>
                <w:color w:val="auto"/>
              </w:rPr>
            </w:pPr>
          </w:p>
        </w:tc>
        <w:tc>
          <w:tcPr>
            <w:tcW w:w="2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w:t>
            </w:r>
          </w:p>
        </w:tc>
        <w:tc>
          <w:tcPr>
            <w:tcW w:w="140" w:type="dxa"/>
            <w:vAlign w:val="bottom"/>
            <w:shd w:val="clear" w:color="auto" w:fill="CCECFF"/>
          </w:tcPr>
          <w:p>
            <w:pPr>
              <w:spacing w:after="0"/>
              <w:rPr>
                <w:sz w:val="14"/>
                <w:szCs w:val="14"/>
                <w:color w:val="auto"/>
              </w:rPr>
            </w:pPr>
          </w:p>
        </w:tc>
      </w:tr>
      <w:tr>
        <w:trPr>
          <w:trHeight w:val="162"/>
        </w:trPr>
        <w:tc>
          <w:tcPr>
            <w:tcW w:w="6320" w:type="dxa"/>
            <w:vAlign w:val="bottom"/>
            <w:gridSpan w:val="3"/>
          </w:tcPr>
          <w:p>
            <w:pPr>
              <w:spacing w:after="0"/>
              <w:rPr>
                <w:sz w:val="20"/>
                <w:szCs w:val="20"/>
                <w:color w:val="auto"/>
              </w:rPr>
            </w:pPr>
            <w:r>
              <w:rPr>
                <w:rFonts w:ascii="Arial" w:cs="Arial" w:eastAsia="Arial" w:hAnsi="Arial"/>
                <w:sz w:val="14"/>
                <w:szCs w:val="14"/>
                <w:color w:val="auto"/>
              </w:rPr>
              <w:t>Media</w:t>
            </w:r>
          </w:p>
        </w:tc>
        <w:tc>
          <w:tcPr>
            <w:tcW w:w="2320" w:type="dxa"/>
            <w:vAlign w:val="bottom"/>
          </w:tcPr>
          <w:p>
            <w:pPr>
              <w:jc w:val="right"/>
              <w:spacing w:after="0"/>
              <w:rPr>
                <w:sz w:val="20"/>
                <w:szCs w:val="20"/>
                <w:color w:val="auto"/>
              </w:rPr>
            </w:pPr>
            <w:r>
              <w:rPr>
                <w:rFonts w:ascii="Arial" w:cs="Arial" w:eastAsia="Arial" w:hAnsi="Arial"/>
                <w:sz w:val="14"/>
                <w:szCs w:val="14"/>
                <w:color w:val="auto"/>
              </w:rPr>
              <w:t>7</w:t>
            </w:r>
          </w:p>
        </w:tc>
        <w:tc>
          <w:tcPr>
            <w:tcW w:w="36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r>
      <w:tr>
        <w:trPr>
          <w:trHeight w:val="162"/>
        </w:trPr>
        <w:tc>
          <w:tcPr>
            <w:tcW w:w="63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Environmental Services</w:t>
            </w:r>
          </w:p>
        </w:tc>
        <w:tc>
          <w:tcPr>
            <w:tcW w:w="23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60" w:type="dxa"/>
            <w:vAlign w:val="bottom"/>
            <w:shd w:val="clear" w:color="auto" w:fill="CCECFF"/>
          </w:tcPr>
          <w:p>
            <w:pPr>
              <w:spacing w:after="0"/>
              <w:rPr>
                <w:sz w:val="14"/>
                <w:szCs w:val="14"/>
                <w:color w:val="auto"/>
              </w:rPr>
            </w:pPr>
          </w:p>
        </w:tc>
        <w:tc>
          <w:tcPr>
            <w:tcW w:w="2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r>
      <w:tr>
        <w:trPr>
          <w:trHeight w:val="162"/>
        </w:trPr>
        <w:tc>
          <w:tcPr>
            <w:tcW w:w="6320" w:type="dxa"/>
            <w:vAlign w:val="bottom"/>
            <w:gridSpan w:val="3"/>
          </w:tcPr>
          <w:p>
            <w:pPr>
              <w:spacing w:after="0"/>
              <w:rPr>
                <w:sz w:val="20"/>
                <w:szCs w:val="20"/>
                <w:color w:val="auto"/>
              </w:rPr>
            </w:pPr>
            <w:r>
              <w:rPr>
                <w:rFonts w:ascii="Arial" w:cs="Arial" w:eastAsia="Arial" w:hAnsi="Arial"/>
                <w:sz w:val="14"/>
                <w:szCs w:val="14"/>
                <w:color w:val="auto"/>
              </w:rPr>
              <w:t>Hotels, Motels, Inns and Gaming</w:t>
            </w:r>
          </w:p>
        </w:tc>
        <w:tc>
          <w:tcPr>
            <w:tcW w:w="2320" w:type="dxa"/>
            <w:vAlign w:val="bottom"/>
          </w:tcPr>
          <w:p>
            <w:pPr>
              <w:jc w:val="right"/>
              <w:spacing w:after="0"/>
              <w:rPr>
                <w:sz w:val="20"/>
                <w:szCs w:val="20"/>
                <w:color w:val="auto"/>
              </w:rPr>
            </w:pPr>
            <w:r>
              <w:rPr>
                <w:rFonts w:ascii="Arial" w:cs="Arial" w:eastAsia="Arial" w:hAnsi="Arial"/>
                <w:sz w:val="14"/>
                <w:szCs w:val="14"/>
                <w:color w:val="auto"/>
              </w:rPr>
              <w:t>4</w:t>
            </w:r>
          </w:p>
        </w:tc>
        <w:tc>
          <w:tcPr>
            <w:tcW w:w="36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r>
      <w:tr>
        <w:trPr>
          <w:trHeight w:val="162"/>
        </w:trPr>
        <w:tc>
          <w:tcPr>
            <w:tcW w:w="63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Building Materials</w:t>
            </w:r>
          </w:p>
        </w:tc>
        <w:tc>
          <w:tcPr>
            <w:tcW w:w="23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60" w:type="dxa"/>
            <w:vAlign w:val="bottom"/>
            <w:shd w:val="clear" w:color="auto" w:fill="CCECFF"/>
          </w:tcPr>
          <w:p>
            <w:pPr>
              <w:spacing w:after="0"/>
              <w:rPr>
                <w:sz w:val="14"/>
                <w:szCs w:val="14"/>
                <w:color w:val="auto"/>
              </w:rPr>
            </w:pPr>
          </w:p>
        </w:tc>
        <w:tc>
          <w:tcPr>
            <w:tcW w:w="2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r>
      <w:tr>
        <w:trPr>
          <w:trHeight w:val="162"/>
        </w:trPr>
        <w:tc>
          <w:tcPr>
            <w:tcW w:w="6320" w:type="dxa"/>
            <w:vAlign w:val="bottom"/>
            <w:gridSpan w:val="3"/>
          </w:tcPr>
          <w:p>
            <w:pPr>
              <w:spacing w:after="0"/>
              <w:rPr>
                <w:sz w:val="20"/>
                <w:szCs w:val="20"/>
                <w:color w:val="auto"/>
              </w:rPr>
            </w:pPr>
            <w:r>
              <w:rPr>
                <w:rFonts w:ascii="Arial" w:cs="Arial" w:eastAsia="Arial" w:hAnsi="Arial"/>
                <w:sz w:val="14"/>
                <w:szCs w:val="14"/>
                <w:color w:val="auto"/>
              </w:rPr>
              <w:t>Education</w:t>
            </w:r>
          </w:p>
        </w:tc>
        <w:tc>
          <w:tcPr>
            <w:tcW w:w="2320" w:type="dxa"/>
            <w:vAlign w:val="bottom"/>
          </w:tcPr>
          <w:p>
            <w:pPr>
              <w:jc w:val="right"/>
              <w:spacing w:after="0"/>
              <w:rPr>
                <w:sz w:val="20"/>
                <w:szCs w:val="20"/>
                <w:color w:val="auto"/>
              </w:rPr>
            </w:pPr>
            <w:r>
              <w:rPr>
                <w:rFonts w:ascii="Arial" w:cs="Arial" w:eastAsia="Arial" w:hAnsi="Arial"/>
                <w:sz w:val="14"/>
                <w:szCs w:val="14"/>
                <w:color w:val="auto"/>
              </w:rPr>
              <w:t>3</w:t>
            </w:r>
          </w:p>
        </w:tc>
        <w:tc>
          <w:tcPr>
            <w:tcW w:w="36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r>
      <w:tr>
        <w:trPr>
          <w:trHeight w:val="162"/>
        </w:trPr>
        <w:tc>
          <w:tcPr>
            <w:tcW w:w="63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Home and Office Furnishings</w:t>
            </w:r>
          </w:p>
        </w:tc>
        <w:tc>
          <w:tcPr>
            <w:tcW w:w="23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60" w:type="dxa"/>
            <w:vAlign w:val="bottom"/>
            <w:shd w:val="clear" w:color="auto" w:fill="CCECFF"/>
          </w:tcPr>
          <w:p>
            <w:pPr>
              <w:spacing w:after="0"/>
              <w:rPr>
                <w:sz w:val="14"/>
                <w:szCs w:val="14"/>
                <w:color w:val="auto"/>
              </w:rPr>
            </w:pPr>
          </w:p>
        </w:tc>
        <w:tc>
          <w:tcPr>
            <w:tcW w:w="2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6320" w:type="dxa"/>
            <w:vAlign w:val="bottom"/>
            <w:gridSpan w:val="3"/>
          </w:tcPr>
          <w:p>
            <w:pPr>
              <w:spacing w:after="0"/>
              <w:rPr>
                <w:sz w:val="20"/>
                <w:szCs w:val="20"/>
                <w:color w:val="auto"/>
              </w:rPr>
            </w:pPr>
            <w:r>
              <w:rPr>
                <w:rFonts w:ascii="Arial" w:cs="Arial" w:eastAsia="Arial" w:hAnsi="Arial"/>
                <w:sz w:val="14"/>
                <w:szCs w:val="14"/>
                <w:color w:val="auto"/>
              </w:rPr>
              <w:t>Aerospace and Defense</w:t>
            </w:r>
          </w:p>
        </w:tc>
        <w:tc>
          <w:tcPr>
            <w:tcW w:w="2320" w:type="dxa"/>
            <w:vAlign w:val="bottom"/>
          </w:tcPr>
          <w:p>
            <w:pPr>
              <w:jc w:val="right"/>
              <w:spacing w:after="0"/>
              <w:rPr>
                <w:sz w:val="20"/>
                <w:szCs w:val="20"/>
                <w:color w:val="auto"/>
              </w:rPr>
            </w:pPr>
            <w:r>
              <w:rPr>
                <w:rFonts w:ascii="Arial" w:cs="Arial" w:eastAsia="Arial" w:hAnsi="Arial"/>
                <w:sz w:val="14"/>
                <w:szCs w:val="14"/>
                <w:color w:val="auto"/>
              </w:rPr>
              <w:t>2</w:t>
            </w:r>
          </w:p>
        </w:tc>
        <w:tc>
          <w:tcPr>
            <w:tcW w:w="36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63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Electronics</w:t>
            </w:r>
          </w:p>
        </w:tc>
        <w:tc>
          <w:tcPr>
            <w:tcW w:w="23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60" w:type="dxa"/>
            <w:vAlign w:val="bottom"/>
            <w:shd w:val="clear" w:color="auto" w:fill="CCECFF"/>
          </w:tcPr>
          <w:p>
            <w:pPr>
              <w:spacing w:after="0"/>
              <w:rPr>
                <w:sz w:val="14"/>
                <w:szCs w:val="14"/>
                <w:color w:val="auto"/>
              </w:rPr>
            </w:pPr>
          </w:p>
        </w:tc>
        <w:tc>
          <w:tcPr>
            <w:tcW w:w="2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r>
      <w:tr>
        <w:trPr>
          <w:trHeight w:val="162"/>
        </w:trPr>
        <w:tc>
          <w:tcPr>
            <w:tcW w:w="6320" w:type="dxa"/>
            <w:vAlign w:val="bottom"/>
            <w:gridSpan w:val="3"/>
          </w:tcPr>
          <w:p>
            <w:pPr>
              <w:spacing w:after="0"/>
              <w:rPr>
                <w:sz w:val="20"/>
                <w:szCs w:val="20"/>
                <w:color w:val="auto"/>
              </w:rPr>
            </w:pPr>
            <w:r>
              <w:rPr>
                <w:rFonts w:ascii="Arial" w:cs="Arial" w:eastAsia="Arial" w:hAnsi="Arial"/>
                <w:sz w:val="14"/>
                <w:szCs w:val="14"/>
                <w:color w:val="auto"/>
              </w:rPr>
              <w:t>Insurance</w:t>
            </w:r>
          </w:p>
        </w:tc>
        <w:tc>
          <w:tcPr>
            <w:tcW w:w="2320" w:type="dxa"/>
            <w:vAlign w:val="bottom"/>
          </w:tcPr>
          <w:p>
            <w:pPr>
              <w:jc w:val="right"/>
              <w:spacing w:after="0"/>
              <w:rPr>
                <w:sz w:val="20"/>
                <w:szCs w:val="20"/>
                <w:color w:val="auto"/>
              </w:rPr>
            </w:pPr>
            <w:r>
              <w:rPr>
                <w:rFonts w:ascii="Arial" w:cs="Arial" w:eastAsia="Arial" w:hAnsi="Arial"/>
                <w:sz w:val="14"/>
                <w:szCs w:val="14"/>
                <w:color w:val="auto"/>
              </w:rPr>
              <w:t>2</w:t>
            </w:r>
          </w:p>
        </w:tc>
        <w:tc>
          <w:tcPr>
            <w:tcW w:w="36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r>
      <w:tr>
        <w:trPr>
          <w:trHeight w:val="162"/>
        </w:trPr>
        <w:tc>
          <w:tcPr>
            <w:tcW w:w="63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Other Media</w:t>
            </w:r>
          </w:p>
        </w:tc>
        <w:tc>
          <w:tcPr>
            <w:tcW w:w="23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60" w:type="dxa"/>
            <w:vAlign w:val="bottom"/>
            <w:shd w:val="clear" w:color="auto" w:fill="CCECFF"/>
          </w:tcPr>
          <w:p>
            <w:pPr>
              <w:spacing w:after="0"/>
              <w:rPr>
                <w:sz w:val="14"/>
                <w:szCs w:val="14"/>
                <w:color w:val="auto"/>
              </w:rPr>
            </w:pPr>
          </w:p>
        </w:tc>
        <w:tc>
          <w:tcPr>
            <w:tcW w:w="2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6320" w:type="dxa"/>
            <w:vAlign w:val="bottom"/>
            <w:gridSpan w:val="3"/>
          </w:tcPr>
          <w:p>
            <w:pPr>
              <w:spacing w:after="0"/>
              <w:rPr>
                <w:sz w:val="20"/>
                <w:szCs w:val="20"/>
                <w:color w:val="auto"/>
              </w:rPr>
            </w:pPr>
            <w:r>
              <w:rPr>
                <w:rFonts w:ascii="Arial" w:cs="Arial" w:eastAsia="Arial" w:hAnsi="Arial"/>
                <w:sz w:val="14"/>
                <w:szCs w:val="14"/>
                <w:color w:val="auto"/>
              </w:rPr>
              <w:t>Printing and Publishing</w:t>
            </w:r>
          </w:p>
        </w:tc>
        <w:tc>
          <w:tcPr>
            <w:tcW w:w="2320" w:type="dxa"/>
            <w:vAlign w:val="bottom"/>
          </w:tcPr>
          <w:p>
            <w:pPr>
              <w:jc w:val="right"/>
              <w:spacing w:after="0"/>
              <w:rPr>
                <w:sz w:val="20"/>
                <w:szCs w:val="20"/>
                <w:color w:val="auto"/>
              </w:rPr>
            </w:pPr>
            <w:r>
              <w:rPr>
                <w:rFonts w:ascii="Arial" w:cs="Arial" w:eastAsia="Arial" w:hAnsi="Arial"/>
                <w:sz w:val="14"/>
                <w:szCs w:val="14"/>
                <w:color w:val="auto"/>
              </w:rPr>
              <w:t>2</w:t>
            </w:r>
          </w:p>
        </w:tc>
        <w:tc>
          <w:tcPr>
            <w:tcW w:w="36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63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Telecommunications</w:t>
            </w:r>
          </w:p>
        </w:tc>
        <w:tc>
          <w:tcPr>
            <w:tcW w:w="23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60" w:type="dxa"/>
            <w:vAlign w:val="bottom"/>
            <w:shd w:val="clear" w:color="auto" w:fill="CCECFF"/>
          </w:tcPr>
          <w:p>
            <w:pPr>
              <w:spacing w:after="0"/>
              <w:rPr>
                <w:sz w:val="14"/>
                <w:szCs w:val="14"/>
                <w:color w:val="auto"/>
              </w:rPr>
            </w:pPr>
          </w:p>
        </w:tc>
        <w:tc>
          <w:tcPr>
            <w:tcW w:w="2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6320" w:type="dxa"/>
            <w:vAlign w:val="bottom"/>
            <w:gridSpan w:val="3"/>
          </w:tcPr>
          <w:p>
            <w:pPr>
              <w:spacing w:after="0"/>
              <w:rPr>
                <w:sz w:val="20"/>
                <w:szCs w:val="20"/>
                <w:color w:val="auto"/>
              </w:rPr>
            </w:pPr>
            <w:r>
              <w:rPr>
                <w:rFonts w:ascii="Arial" w:cs="Arial" w:eastAsia="Arial" w:hAnsi="Arial"/>
                <w:sz w:val="14"/>
                <w:szCs w:val="14"/>
                <w:color w:val="auto"/>
              </w:rPr>
              <w:t>Transportation</w:t>
            </w:r>
          </w:p>
        </w:tc>
        <w:tc>
          <w:tcPr>
            <w:tcW w:w="2320" w:type="dxa"/>
            <w:vAlign w:val="bottom"/>
          </w:tcPr>
          <w:p>
            <w:pPr>
              <w:jc w:val="right"/>
              <w:spacing w:after="0"/>
              <w:rPr>
                <w:sz w:val="20"/>
                <w:szCs w:val="20"/>
                <w:color w:val="auto"/>
              </w:rPr>
            </w:pPr>
            <w:r>
              <w:rPr>
                <w:rFonts w:ascii="Arial" w:cs="Arial" w:eastAsia="Arial" w:hAnsi="Arial"/>
                <w:sz w:val="14"/>
                <w:szCs w:val="14"/>
                <w:color w:val="auto"/>
              </w:rPr>
              <w:t>2</w:t>
            </w:r>
          </w:p>
        </w:tc>
        <w:tc>
          <w:tcPr>
            <w:tcW w:w="36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63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Cargo Transport</w:t>
            </w:r>
          </w:p>
        </w:tc>
        <w:tc>
          <w:tcPr>
            <w:tcW w:w="23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60" w:type="dxa"/>
            <w:vAlign w:val="bottom"/>
            <w:shd w:val="clear" w:color="auto" w:fill="CCECFF"/>
          </w:tcPr>
          <w:p>
            <w:pPr>
              <w:spacing w:after="0"/>
              <w:rPr>
                <w:sz w:val="14"/>
                <w:szCs w:val="14"/>
                <w:color w:val="auto"/>
              </w:rPr>
            </w:pPr>
          </w:p>
        </w:tc>
        <w:tc>
          <w:tcPr>
            <w:tcW w:w="22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320" w:type="dxa"/>
            <w:vAlign w:val="bottom"/>
            <w:gridSpan w:val="3"/>
          </w:tcPr>
          <w:p>
            <w:pPr>
              <w:spacing w:after="0"/>
              <w:rPr>
                <w:sz w:val="20"/>
                <w:szCs w:val="20"/>
                <w:color w:val="auto"/>
              </w:rPr>
            </w:pPr>
            <w:r>
              <w:rPr>
                <w:rFonts w:ascii="Arial" w:cs="Arial" w:eastAsia="Arial" w:hAnsi="Arial"/>
                <w:sz w:val="14"/>
                <w:szCs w:val="14"/>
                <w:color w:val="auto"/>
              </w:rPr>
              <w:t>Chemicals, Plastics and Rubber</w:t>
            </w:r>
          </w:p>
        </w:tc>
        <w:tc>
          <w:tcPr>
            <w:tcW w:w="2320" w:type="dxa"/>
            <w:vAlign w:val="bottom"/>
          </w:tcPr>
          <w:p>
            <w:pPr>
              <w:jc w:val="right"/>
              <w:spacing w:after="0"/>
              <w:rPr>
                <w:sz w:val="20"/>
                <w:szCs w:val="20"/>
                <w:color w:val="auto"/>
              </w:rPr>
            </w:pPr>
            <w:r>
              <w:rPr>
                <w:rFonts w:ascii="Arial" w:cs="Arial" w:eastAsia="Arial" w:hAnsi="Arial"/>
                <w:sz w:val="14"/>
                <w:szCs w:val="14"/>
                <w:color w:val="auto"/>
              </w:rPr>
              <w:t>1</w:t>
            </w:r>
          </w:p>
        </w:tc>
        <w:tc>
          <w:tcPr>
            <w:tcW w:w="36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63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Manufacturing / Basic Industries</w:t>
            </w:r>
          </w:p>
        </w:tc>
        <w:tc>
          <w:tcPr>
            <w:tcW w:w="23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60" w:type="dxa"/>
            <w:vAlign w:val="bottom"/>
            <w:shd w:val="clear" w:color="auto" w:fill="CCECFF"/>
          </w:tcPr>
          <w:p>
            <w:pPr>
              <w:spacing w:after="0"/>
              <w:rPr>
                <w:sz w:val="14"/>
                <w:szCs w:val="14"/>
                <w:color w:val="auto"/>
              </w:rPr>
            </w:pPr>
          </w:p>
        </w:tc>
        <w:tc>
          <w:tcPr>
            <w:tcW w:w="2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CFF"/>
          </w:tcPr>
          <w:p>
            <w:pPr>
              <w:spacing w:after="0"/>
              <w:rPr>
                <w:sz w:val="14"/>
                <w:szCs w:val="14"/>
                <w:color w:val="auto"/>
              </w:rPr>
            </w:pPr>
          </w:p>
        </w:tc>
      </w:tr>
      <w:tr>
        <w:trPr>
          <w:trHeight w:val="162"/>
        </w:trPr>
        <w:tc>
          <w:tcPr>
            <w:tcW w:w="6320" w:type="dxa"/>
            <w:vAlign w:val="bottom"/>
            <w:gridSpan w:val="3"/>
          </w:tcPr>
          <w:p>
            <w:pPr>
              <w:spacing w:after="0"/>
              <w:rPr>
                <w:sz w:val="20"/>
                <w:szCs w:val="20"/>
                <w:color w:val="auto"/>
              </w:rPr>
            </w:pPr>
            <w:r>
              <w:rPr>
                <w:rFonts w:ascii="Arial" w:cs="Arial" w:eastAsia="Arial" w:hAnsi="Arial"/>
                <w:sz w:val="14"/>
                <w:szCs w:val="14"/>
                <w:color w:val="auto"/>
              </w:rPr>
              <w:t>Personal and Non-Durable Consumer Products</w:t>
            </w:r>
          </w:p>
        </w:tc>
        <w:tc>
          <w:tcPr>
            <w:tcW w:w="2320" w:type="dxa"/>
            <w:vAlign w:val="bottom"/>
          </w:tcPr>
          <w:p>
            <w:pPr>
              <w:jc w:val="right"/>
              <w:spacing w:after="0"/>
              <w:rPr>
                <w:sz w:val="20"/>
                <w:szCs w:val="20"/>
                <w:color w:val="auto"/>
              </w:rPr>
            </w:pPr>
            <w:r>
              <w:rPr>
                <w:rFonts w:ascii="Arial" w:cs="Arial" w:eastAsia="Arial" w:hAnsi="Arial"/>
                <w:sz w:val="14"/>
                <w:szCs w:val="14"/>
                <w:color w:val="auto"/>
              </w:rPr>
              <w:t>1</w:t>
            </w:r>
          </w:p>
        </w:tc>
        <w:tc>
          <w:tcPr>
            <w:tcW w:w="360" w:type="dxa"/>
            <w:vAlign w:val="bottom"/>
          </w:tcPr>
          <w:p>
            <w:pPr>
              <w:spacing w:after="0"/>
              <w:rPr>
                <w:sz w:val="14"/>
                <w:szCs w:val="14"/>
                <w:color w:val="auto"/>
              </w:rPr>
            </w:pPr>
          </w:p>
        </w:tc>
        <w:tc>
          <w:tcPr>
            <w:tcW w:w="2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32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Personal, Food and Miscellaneous Services</w:t>
            </w:r>
          </w:p>
        </w:tc>
        <w:tc>
          <w:tcPr>
            <w:tcW w:w="23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60" w:type="dxa"/>
            <w:vAlign w:val="bottom"/>
            <w:shd w:val="clear" w:color="auto" w:fill="CCECFF"/>
          </w:tcPr>
          <w:p>
            <w:pPr>
              <w:spacing w:after="0"/>
              <w:rPr>
                <w:sz w:val="14"/>
                <w:szCs w:val="14"/>
                <w:color w:val="auto"/>
              </w:rPr>
            </w:pPr>
          </w:p>
        </w:tc>
        <w:tc>
          <w:tcPr>
            <w:tcW w:w="2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r>
      <w:tr>
        <w:trPr>
          <w:trHeight w:val="162"/>
        </w:trPr>
        <w:tc>
          <w:tcPr>
            <w:tcW w:w="6320" w:type="dxa"/>
            <w:vAlign w:val="bottom"/>
            <w:tcBorders>
              <w:bottom w:val="single" w:sz="8" w:color="CCECFF"/>
            </w:tcBorders>
            <w:gridSpan w:val="3"/>
          </w:tcPr>
          <w:p>
            <w:pPr>
              <w:spacing w:after="0"/>
              <w:rPr>
                <w:sz w:val="20"/>
                <w:szCs w:val="20"/>
                <w:color w:val="auto"/>
              </w:rPr>
            </w:pPr>
            <w:r>
              <w:rPr>
                <w:rFonts w:ascii="Arial" w:cs="Arial" w:eastAsia="Arial" w:hAnsi="Arial"/>
                <w:sz w:val="14"/>
                <w:szCs w:val="14"/>
                <w:color w:val="auto"/>
              </w:rPr>
              <w:t>Other</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CFF"/>
            </w:tcBorders>
          </w:tcPr>
          <w:p>
            <w:pPr>
              <w:spacing w:after="0"/>
              <w:rPr>
                <w:sz w:val="14"/>
                <w:szCs w:val="14"/>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40" w:type="dxa"/>
            <w:vAlign w:val="bottom"/>
            <w:tcBorders>
              <w:bottom w:val="single" w:sz="8" w:color="CCECFF"/>
            </w:tcBorders>
          </w:tcPr>
          <w:p>
            <w:pPr>
              <w:spacing w:after="0"/>
              <w:rPr>
                <w:sz w:val="14"/>
                <w:szCs w:val="14"/>
                <w:color w:val="auto"/>
              </w:rPr>
            </w:pPr>
          </w:p>
        </w:tc>
      </w:tr>
      <w:tr>
        <w:trPr>
          <w:trHeight w:val="156"/>
        </w:trPr>
        <w:tc>
          <w:tcPr>
            <w:tcW w:w="632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color w:val="auto"/>
              </w:rPr>
              <w:t>Total</w:t>
            </w:r>
          </w:p>
        </w:tc>
        <w:tc>
          <w:tcPr>
            <w:tcW w:w="2680" w:type="dxa"/>
            <w:vAlign w:val="bottom"/>
            <w:gridSpan w:val="2"/>
            <w:shd w:val="clear" w:color="auto" w:fill="CCECFF"/>
          </w:tcPr>
          <w:p>
            <w:pPr>
              <w:jc w:val="right"/>
              <w:ind w:right="240"/>
              <w:spacing w:after="0" w:line="155" w:lineRule="exact"/>
              <w:rPr>
                <w:sz w:val="20"/>
                <w:szCs w:val="20"/>
                <w:color w:val="auto"/>
              </w:rPr>
            </w:pPr>
            <w:r>
              <w:rPr>
                <w:rFonts w:ascii="Arial" w:cs="Arial" w:eastAsia="Arial" w:hAnsi="Arial"/>
                <w:sz w:val="14"/>
                <w:szCs w:val="14"/>
                <w:color w:val="auto"/>
              </w:rPr>
              <w:t>100%</w:t>
            </w:r>
          </w:p>
        </w:tc>
        <w:tc>
          <w:tcPr>
            <w:tcW w:w="224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100%</w:t>
            </w:r>
          </w:p>
        </w:tc>
      </w:tr>
      <w:tr>
        <w:trPr>
          <w:trHeight w:val="20"/>
        </w:trPr>
        <w:tc>
          <w:tcPr>
            <w:tcW w:w="2120" w:type="dxa"/>
            <w:vAlign w:val="bottom"/>
            <w:tcBorders>
              <w:top w:val="single" w:sz="8" w:color="CCECFF"/>
            </w:tcBorders>
          </w:tcPr>
          <w:p>
            <w:pPr>
              <w:spacing w:after="0" w:line="20" w:lineRule="exact"/>
              <w:rPr>
                <w:sz w:val="1"/>
                <w:szCs w:val="1"/>
                <w:color w:val="auto"/>
              </w:rPr>
            </w:pPr>
          </w:p>
        </w:tc>
        <w:tc>
          <w:tcPr>
            <w:tcW w:w="396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CFF"/>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r>
      <w:tr>
        <w:trPr>
          <w:trHeight w:val="34"/>
        </w:trPr>
        <w:tc>
          <w:tcPr>
            <w:tcW w:w="2120" w:type="dxa"/>
            <w:vAlign w:val="bottom"/>
            <w:tcBorders>
              <w:bottom w:val="single" w:sz="8" w:color="auto"/>
            </w:tcBorders>
          </w:tcPr>
          <w:p>
            <w:pPr>
              <w:spacing w:after="0"/>
              <w:rPr>
                <w:sz w:val="3"/>
                <w:szCs w:val="3"/>
                <w:color w:val="auto"/>
              </w:rPr>
            </w:pPr>
          </w:p>
        </w:tc>
        <w:tc>
          <w:tcPr>
            <w:tcW w:w="3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40" w:type="dxa"/>
            <w:vAlign w:val="bottom"/>
          </w:tcPr>
          <w:p>
            <w:pPr>
              <w:spacing w:after="0"/>
              <w:rPr>
                <w:sz w:val="3"/>
                <w:szCs w:val="3"/>
                <w:color w:val="auto"/>
              </w:rPr>
            </w:pPr>
          </w:p>
        </w:tc>
      </w:tr>
    </w:tbl>
    <w:p>
      <w:pPr>
        <w:ind w:left="380" w:hanging="372"/>
        <w:spacing w:after="0" w:line="190" w:lineRule="auto"/>
        <w:tabs>
          <w:tab w:leader="none" w:pos="380" w:val="left"/>
        </w:tabs>
        <w:numPr>
          <w:ilvl w:val="0"/>
          <w:numId w:val="79"/>
        </w:numPr>
        <w:rPr>
          <w:rFonts w:ascii="Arial" w:cs="Arial" w:eastAsia="Arial" w:hAnsi="Arial"/>
          <w:sz w:val="20"/>
          <w:szCs w:val="20"/>
          <w:b w:val="1"/>
          <w:bCs w:val="1"/>
          <w:color w:val="auto"/>
          <w:vertAlign w:val="superscript"/>
        </w:rPr>
      </w:pPr>
      <w:r>
        <w:rPr>
          <w:rFonts w:ascii="Arial" w:cs="Arial" w:eastAsia="Arial" w:hAnsi="Arial"/>
          <w:sz w:val="12"/>
          <w:szCs w:val="12"/>
          <w:color w:val="auto"/>
        </w:rPr>
        <w:t>Excludes investments in PSLF.</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Loan Fund, LLC</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3"/>
          <w:szCs w:val="13"/>
          <w:color w:val="auto"/>
        </w:rPr>
        <w:t>In July 2020, we and Pantheon formed PSLF, an unconsolidated joint venture. PSLF invests primarily in middle-market and other corporate debt securities consistent with our strategy.</w:t>
      </w:r>
    </w:p>
    <w:p>
      <w:pPr>
        <w:spacing w:after="0" w:line="33" w:lineRule="exact"/>
        <w:rPr>
          <w:sz w:val="20"/>
          <w:szCs w:val="20"/>
          <w:color w:val="auto"/>
        </w:rPr>
      </w:pPr>
    </w:p>
    <w:p>
      <w:pPr>
        <w:ind w:right="80"/>
        <w:spacing w:after="0" w:line="252" w:lineRule="auto"/>
        <w:rPr>
          <w:sz w:val="20"/>
          <w:szCs w:val="20"/>
          <w:color w:val="auto"/>
        </w:rPr>
      </w:pPr>
      <w:r>
        <w:rPr>
          <w:rFonts w:ascii="Arial" w:cs="Arial" w:eastAsia="Arial" w:hAnsi="Arial"/>
          <w:sz w:val="13"/>
          <w:szCs w:val="13"/>
          <w:color w:val="auto"/>
        </w:rPr>
        <w:t>PSLF was formed as a Delaware limited liability company. As of September 30, 2021 and 2020 PSLF had total assets of $417.4 million and $361.8 million, respectively. PSLF’s portfolio consisted of debt investments in 47 and 37 portfolio companies as of September 30, 2021 and 2020, respectively. As of September 30, 2021, at fair value, the largest investment in a single portfolio company in PSLF was $16.8 million and the five largest investments totaled $74.4 million. As of September 30, 2020, at fair value, the largest investment in a single portfolio company in PSLF was $18.4 million and the five largest investments totaled $77.9 million. PSLF invests in portfolio companies in the same industries in which we may directly invest.</w:t>
      </w:r>
    </w:p>
    <w:p>
      <w:pPr>
        <w:spacing w:after="0" w:line="108"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We provide capital to PSLF in the form of subordinated notes and equity interests. As of September 30, 2021 and 2020 we and Pantheon owned 60.5% and 39.5%, and 72.0% and 28.0%, respectively, of each of the outstanding subordinated notes and equity interests of PSLF. As of September 30, 2021 and 2020, our investment in PSLF consisted of subordinated notes of $64.2 million and equity interests of $41.2 million and subordinated notes of $63.0 million and equity interests of $36.3 million.</w:t>
      </w:r>
    </w:p>
    <w:p>
      <w:pPr>
        <w:spacing w:after="0" w:line="115"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We and Pantheon each appointed two members to PSLF’s four-person Member Designees’ Committee, or the Member Designees’ Committee. All material decisions with respect to PSLF, including those involving its investment portfolio, require unanimous approval of a quorum of Member Designees’ Committee. Quorum is defined as (i) the presence of two members of the Member Designees’ Committee; provided that at least one individual is present that was elected, designated or appointed by each of us and Pantheon; (ii) the presence of three members of the Member Designees’ Committee, provided that the individual that was elected, designated or appointed by each of us or Pantheon, as the case may be, with only one individual present shall be entitled to cast two votes on each matter; and (iii) the presence of four members of the Member Designees’ Committee shall constitute a quorum, provided that two individuals are present that were elected, designated or appointed by each of us or Pantheon.</w:t>
      </w:r>
    </w:p>
    <w:p>
      <w:pPr>
        <w:spacing w:after="0" w:line="118"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Additionally, PSLF, through its wholly-owned subsidiary, or PSLF Subsidiary, has entered into a $275.0 million (increased from $250.0 million on November 6, 2020) senior secured revolving credit facility which bears interest at LIBOR (or an alternative risk-free interest rate index) plus 260 basis points, or the PSLF Credit Facility, with BNP Paribas, subject to leverage and borrowing base restrictions.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60" w:type="dxa"/>
            <w:vAlign w:val="bottom"/>
          </w:tcPr>
          <w:p>
            <w:pPr>
              <w:ind w:left="440"/>
              <w:spacing w:after="0"/>
              <w:rPr>
                <w:sz w:val="20"/>
                <w:szCs w:val="20"/>
                <w:color w:val="auto"/>
              </w:rPr>
            </w:pPr>
            <w:r>
              <w:rPr>
                <w:rFonts w:ascii="Arial" w:cs="Arial" w:eastAsia="Arial" w:hAnsi="Arial"/>
                <w:sz w:val="14"/>
                <w:szCs w:val="14"/>
                <w:color w:val="auto"/>
              </w:rPr>
              <w:t>Below is a summary of PSLF’s portfolio at fair value:</w:t>
            </w:r>
          </w:p>
        </w:tc>
        <w:tc>
          <w:tcPr>
            <w:tcW w:w="1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14"/>
        </w:trPr>
        <w:tc>
          <w:tcPr>
            <w:tcW w:w="5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7"/>
              </w:rPr>
              <w:t>September 30, 2021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September 30, 2020</w:t>
            </w:r>
          </w:p>
        </w:tc>
      </w:tr>
      <w:tr>
        <w:trPr>
          <w:trHeight w:val="155"/>
        </w:trPr>
        <w:tc>
          <w:tcPr>
            <w:tcW w:w="53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182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405,232,480</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353,366,358</w:t>
            </w:r>
          </w:p>
        </w:tc>
        <w:tc>
          <w:tcPr>
            <w:tcW w:w="140" w:type="dxa"/>
            <w:vAlign w:val="bottom"/>
            <w:tcBorders>
              <w:top w:val="single" w:sz="8" w:color="CCECFF"/>
            </w:tcBorders>
            <w:shd w:val="clear" w:color="auto" w:fill="CCECFF"/>
          </w:tcPr>
          <w:p>
            <w:pPr>
              <w:spacing w:after="0"/>
              <w:rPr>
                <w:sz w:val="13"/>
                <w:szCs w:val="13"/>
                <w:color w:val="auto"/>
              </w:rPr>
            </w:pPr>
          </w:p>
        </w:tc>
      </w:tr>
      <w:tr>
        <w:trPr>
          <w:trHeight w:val="162"/>
        </w:trPr>
        <w:tc>
          <w:tcPr>
            <w:tcW w:w="5360" w:type="dxa"/>
            <w:vAlign w:val="bottom"/>
          </w:tcPr>
          <w:p>
            <w:pPr>
              <w:spacing w:after="0"/>
              <w:rPr>
                <w:sz w:val="20"/>
                <w:szCs w:val="20"/>
                <w:color w:val="auto"/>
              </w:rPr>
            </w:pPr>
            <w:r>
              <w:rPr>
                <w:rFonts w:ascii="Arial" w:cs="Arial" w:eastAsia="Arial" w:hAnsi="Arial"/>
                <w:sz w:val="14"/>
                <w:szCs w:val="14"/>
                <w:color w:val="auto"/>
              </w:rPr>
              <w:t>Weighted average yield on debt investments</w:t>
            </w: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7.3%</w:t>
            </w:r>
          </w:p>
        </w:tc>
      </w:tr>
      <w:tr>
        <w:trPr>
          <w:trHeight w:val="162"/>
        </w:trPr>
        <w:tc>
          <w:tcPr>
            <w:tcW w:w="5360" w:type="dxa"/>
            <w:vAlign w:val="bottom"/>
            <w:shd w:val="clear" w:color="auto" w:fill="CCECFF"/>
          </w:tcPr>
          <w:p>
            <w:pPr>
              <w:spacing w:after="0"/>
              <w:rPr>
                <w:sz w:val="20"/>
                <w:szCs w:val="20"/>
                <w:color w:val="auto"/>
              </w:rPr>
            </w:pPr>
            <w:r>
              <w:rPr>
                <w:rFonts w:ascii="Arial" w:cs="Arial" w:eastAsia="Arial" w:hAnsi="Arial"/>
                <w:sz w:val="14"/>
                <w:szCs w:val="14"/>
                <w:color w:val="auto"/>
              </w:rPr>
              <w:t>Number of portfolio companies in PSLF</w:t>
            </w:r>
          </w:p>
        </w:tc>
        <w:tc>
          <w:tcPr>
            <w:tcW w:w="18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47</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w:t>
            </w:r>
          </w:p>
        </w:tc>
        <w:tc>
          <w:tcPr>
            <w:tcW w:w="140" w:type="dxa"/>
            <w:vAlign w:val="bottom"/>
            <w:shd w:val="clear" w:color="auto" w:fill="CCECFF"/>
          </w:tcPr>
          <w:p>
            <w:pPr>
              <w:spacing w:after="0"/>
              <w:rPr>
                <w:sz w:val="14"/>
                <w:szCs w:val="14"/>
                <w:color w:val="auto"/>
              </w:rPr>
            </w:pPr>
          </w:p>
        </w:tc>
      </w:tr>
      <w:tr>
        <w:trPr>
          <w:trHeight w:val="162"/>
        </w:trPr>
        <w:tc>
          <w:tcPr>
            <w:tcW w:w="5360" w:type="dxa"/>
            <w:vAlign w:val="bottom"/>
          </w:tcPr>
          <w:p>
            <w:pPr>
              <w:spacing w:after="0"/>
              <w:rPr>
                <w:sz w:val="20"/>
                <w:szCs w:val="20"/>
                <w:color w:val="auto"/>
              </w:rPr>
            </w:pPr>
            <w:r>
              <w:rPr>
                <w:rFonts w:ascii="Arial" w:cs="Arial" w:eastAsia="Arial" w:hAnsi="Arial"/>
                <w:sz w:val="14"/>
                <w:szCs w:val="14"/>
                <w:color w:val="auto"/>
              </w:rPr>
              <w:t>Largest portfolio company investment</w:t>
            </w:r>
          </w:p>
        </w:tc>
        <w:tc>
          <w:tcPr>
            <w:tcW w:w="200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16,816,670</w:t>
            </w:r>
          </w:p>
        </w:tc>
        <w:tc>
          <w:tcPr>
            <w:tcW w:w="220" w:type="dxa"/>
            <w:vAlign w:val="bottom"/>
          </w:tcPr>
          <w:p>
            <w:pPr>
              <w:spacing w:after="0"/>
              <w:rPr>
                <w:sz w:val="14"/>
                <w:szCs w:val="14"/>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18,411,916</w:t>
            </w:r>
          </w:p>
        </w:tc>
        <w:tc>
          <w:tcPr>
            <w:tcW w:w="140" w:type="dxa"/>
            <w:vAlign w:val="bottom"/>
          </w:tcPr>
          <w:p>
            <w:pPr>
              <w:spacing w:after="0"/>
              <w:rPr>
                <w:sz w:val="14"/>
                <w:szCs w:val="14"/>
                <w:color w:val="auto"/>
              </w:rPr>
            </w:pPr>
          </w:p>
        </w:tc>
      </w:tr>
      <w:tr>
        <w:trPr>
          <w:trHeight w:val="162"/>
        </w:trPr>
        <w:tc>
          <w:tcPr>
            <w:tcW w:w="5360" w:type="dxa"/>
            <w:vAlign w:val="bottom"/>
            <w:shd w:val="clear" w:color="auto" w:fill="CCECFF"/>
          </w:tcPr>
          <w:p>
            <w:pPr>
              <w:spacing w:after="0"/>
              <w:rPr>
                <w:sz w:val="20"/>
                <w:szCs w:val="20"/>
                <w:color w:val="auto"/>
              </w:rPr>
            </w:pPr>
            <w:r>
              <w:rPr>
                <w:rFonts w:ascii="Arial" w:cs="Arial" w:eastAsia="Arial" w:hAnsi="Arial"/>
                <w:sz w:val="14"/>
                <w:szCs w:val="14"/>
                <w:color w:val="auto"/>
              </w:rPr>
              <w:t>Total of five largest portfolio company investments</w:t>
            </w:r>
          </w:p>
        </w:tc>
        <w:tc>
          <w:tcPr>
            <w:tcW w:w="2000" w:type="dxa"/>
            <w:vAlign w:val="bottom"/>
            <w:gridSpan w:val="2"/>
            <w:shd w:val="clear" w:color="auto" w:fill="CCECFF"/>
          </w:tcPr>
          <w:p>
            <w:pPr>
              <w:jc w:val="right"/>
              <w:ind w:right="69"/>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74,444,646</w:t>
            </w:r>
          </w:p>
        </w:tc>
        <w:tc>
          <w:tcPr>
            <w:tcW w:w="22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77,896,431</w:t>
            </w:r>
          </w:p>
        </w:tc>
        <w:tc>
          <w:tcPr>
            <w:tcW w:w="140" w:type="dxa"/>
            <w:vAlign w:val="bottom"/>
            <w:shd w:val="clear" w:color="auto" w:fill="CCECFF"/>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200" w:lineRule="exact"/>
        <w:rPr>
          <w:sz w:val="20"/>
          <w:szCs w:val="20"/>
          <w:color w:val="auto"/>
        </w:rPr>
      </w:pPr>
    </w:p>
    <w:p>
      <w:pPr>
        <w:spacing w:after="0" w:line="23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listing of PSLF’s individual investments as of: September 30, 2021</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120" w:type="dxa"/>
            <w:vAlign w:val="bottom"/>
            <w:tcBorders>
              <w:top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0"/>
              </w:rPr>
              <w:t>Current</w:t>
            </w:r>
          </w:p>
        </w:tc>
        <w:tc>
          <w:tcPr>
            <w:tcW w:w="7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b w:val="1"/>
                <w:bCs w:val="1"/>
                <w:color w:val="auto"/>
              </w:rPr>
              <w:t>Issuer Name</w:t>
            </w: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Maturity</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Industry</w:t>
            </w:r>
          </w:p>
        </w:tc>
        <w:tc>
          <w:tcPr>
            <w:tcW w:w="8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6"/>
              </w:rPr>
              <w:t>Coupon</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206"/>
              <w:spacing w:after="0"/>
              <w:rPr>
                <w:sz w:val="20"/>
                <w:szCs w:val="20"/>
                <w:color w:val="auto"/>
              </w:rPr>
            </w:pPr>
            <w:r>
              <w:rPr>
                <w:rFonts w:ascii="Arial" w:cs="Arial" w:eastAsia="Arial" w:hAnsi="Arial"/>
                <w:sz w:val="11"/>
                <w:szCs w:val="11"/>
                <w:b w:val="1"/>
                <w:bCs w:val="1"/>
                <w:color w:val="auto"/>
              </w:rPr>
              <w:t>Par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8"/>
              </w:rPr>
              <w:t xml:space="preserve">Fair Value </w:t>
            </w:r>
            <w:r>
              <w:rPr>
                <w:rFonts w:ascii="Arial" w:cs="Arial" w:eastAsia="Arial" w:hAnsi="Arial"/>
                <w:sz w:val="9"/>
                <w:szCs w:val="9"/>
                <w:b w:val="1"/>
                <w:bCs w:val="1"/>
                <w:color w:val="auto"/>
                <w:w w:val="98"/>
              </w:rPr>
              <w:t>(2)</w:t>
            </w:r>
          </w:p>
        </w:tc>
        <w:tc>
          <w:tcPr>
            <w:tcW w:w="0" w:type="dxa"/>
            <w:vAlign w:val="bottom"/>
          </w:tcPr>
          <w:p>
            <w:pPr>
              <w:spacing w:after="0"/>
              <w:rPr>
                <w:sz w:val="1"/>
                <w:szCs w:val="1"/>
                <w:color w:val="auto"/>
              </w:rPr>
            </w:pPr>
          </w:p>
        </w:tc>
      </w:tr>
      <w:tr>
        <w:trPr>
          <w:trHeight w:val="128"/>
        </w:trPr>
        <w:tc>
          <w:tcPr>
            <w:tcW w:w="306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rPr>
              <w:t>First Lien Secured Debt - 570.7%</w:t>
            </w:r>
          </w:p>
        </w:tc>
        <w:tc>
          <w:tcPr>
            <w:tcW w:w="120" w:type="dxa"/>
            <w:vAlign w:val="bottom"/>
            <w:tcBorders>
              <w:top w:val="single" w:sz="8" w:color="CCECFF"/>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262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80" w:type="dxa"/>
            <w:vAlign w:val="bottom"/>
            <w:tcBorders>
              <w:top w:val="single" w:sz="8" w:color="CCECFF"/>
            </w:tcBorders>
            <w:shd w:val="clear" w:color="auto" w:fill="CCECFF"/>
          </w:tcPr>
          <w:p>
            <w:pPr>
              <w:spacing w:after="0"/>
              <w:rPr>
                <w:sz w:val="11"/>
                <w:szCs w:val="11"/>
                <w:color w:val="auto"/>
              </w:rPr>
            </w:pPr>
          </w:p>
        </w:tc>
        <w:tc>
          <w:tcPr>
            <w:tcW w:w="7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Ad.net Acquisition,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05/06/26</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Media</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7.00%</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3"/>
              </w:rPr>
              <w:t>3M L + 600</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4,987,500</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4,919,652</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4,912,688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Altamira Technologies,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07/24/25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8.00%</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3M L+700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921,231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911,674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863,654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American Insulated Glass,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12/21/23</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4"/>
              </w:rPr>
              <w:t>Building Materials</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6.50%</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3M L+550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14,625,244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14,480,504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14,478,992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Any Hour Services</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07/21/27</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Personal, Food and Miscellaneous Services</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6.75%</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1M L+525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6,500,000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6,378,125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6,370,000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Apex Service Partners,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07/31/25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Personal, Food and Miscellaneous Services</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6.25%</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1M L+550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6,569,222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6,517,624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6,503,530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Apex Service Partners, LLC Term Loan B</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07/31/25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Personal, Food and Miscellaneous Services</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6.55%</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ind w:left="38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3,346,690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3,313,038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3,313,223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Applied Technical Services,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12/29/26</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Environmental Services</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6.75%</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3M L+575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7,443,750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7,335,875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7,294,875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Bottom Line Systems,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02/13/23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6.25%</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1M L+550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13,729,432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13,673,678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13,729,432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Crash Champions,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08/05/25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Auto Sector</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6.00%</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1M L+525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5,985,000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5,873,298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5,865,300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DRS Holdings III,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11/03/25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7.25%</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1M L+625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13,428,053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13,335,008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13,334,057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ECL Entertainment,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03/31/28</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Hotels, Motels, Inns and Gaming</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8.25%</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3M L+750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4,603,846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4,559,898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4,707,433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ECM Industries,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12/23/25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2"/>
              </w:rPr>
              <w:t>Electronics</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5.50%</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3M L+450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2,826,993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2,804,979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2,770,453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Global Holdings InterCo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03/16/26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Banking, Finance, Insurance &amp; Real Estate</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7.00%</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3M L+600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7,462,500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7,360,276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7,425,188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Hancock Roofing and Construction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12/31/26</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Insurance</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6.00%</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3M L+500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5,955,000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5,819,284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5,895,450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Holdco Sands Intermediate,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12/19/25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7.50%</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3M L+600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12,070,714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11,934,092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12,010,361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HW Holdco,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12/10/24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5.50%</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3M L+450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14,587,500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14,499,086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14,441,625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IMIA Holdings, Inc.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04/09/27</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6.75%</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3M L+600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9,059,429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8,889,612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8,878,241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Integrity Marketing Acquisition,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08/27/25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Insurance</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6.50%</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3M L+550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7,868,080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7,803,025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7,828,740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Juniper Landscaping of Florida,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12/22/21</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Personal, Food and Miscellaneous Services</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6.50%</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3M L+550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9,420,290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9,420,290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9,420,290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K2 Pure Solutions NoCal, L.P.</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12/20/23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8.00%</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1M L+700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14,587,500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14,478,841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14,199,473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LAV Gear Holdings, Inc.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10/31/24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Leisure, Amusement, Motion Pictures, Entertainment</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8.50%</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3M L+750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2,119,558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2,106,623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1,986,661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Lightspeed Buyer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02/03/26</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6.75%</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1M L+550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12,471,593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12,273,343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12,471,593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Lombart Brothers, Inc.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04/13/23</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7.25%</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1M L+825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16,816,670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16,728,518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16,816,670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MAG DS Corp.</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04/01/27</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6.50%</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1M L+550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5,836,801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5,581,189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5,253,121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Mars Acquisition Holdings Corp.</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05/14/26</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Media</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6.50%</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1M L+575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8,000,000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7,851,584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7,920,000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MBS Holdings,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04/16/27</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6.75%</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3M L+550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7,481,250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7,337,946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7,331,625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MeritDirect,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05/23/24</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Media</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6.50%</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3M L+550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13,386,132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13,271,890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13,252,270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PlayPower,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05/08/26</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5.65%</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3M L+575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3,805,440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3,777,669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3,735,687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Radius Aerospace, Inc.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03/31/25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6.75%</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3M L+600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13,334,912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13,201,809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13,068,214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Rancho Health MSO,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12/18/25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6.75%</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3M L+550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5,231,625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5,140,072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5,231,625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Recteq,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01/29/26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7.00%</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3M L+450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9,950,000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9,774,928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9,850,500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Research Now Group, LLC and Dynata,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12/20/24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6.50%</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3M L+600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14,694,656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14,601,817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14,507,887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Riverpoint Medical,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06/20/25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5.50%</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1M L+550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3,245,909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3,216,526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3,205,984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Sales Benchmark Index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01/03/25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7.75%</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3M L+750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7,632,493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7,526,205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7,441,681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Sargent &amp; Greenleaf Inc.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12/20/24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Electronics</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7.00%</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3M L+575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5,232,159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5,180,794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5,232,159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Signature Systems Holding Company</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05/03/24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8.50%</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1M L+525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13,500,000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13,396,987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13,365,000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Solutionreach, Inc.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01/17/24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Communications</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6.75%</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1M L+600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11,881,773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11,758,141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11,881,773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STV Group Incorporated</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12/11/26</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Transportation</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5.33%</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1M L+450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12,098,653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12,002,839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12,038,160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TAC LifePort Purchaser,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03/01/26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7.00%</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1M L+525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4,967,133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4,891,093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4,965,530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TeleGuam Holdings,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11/20/25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5.50%</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3M L+525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4,593,270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4,557,883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4,547,337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Teneo Holdings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07/18/25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Financial Services</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6.25%</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1M L+575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2,996,753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2,883,779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2,980,511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TPC Canada Parent, Inc. and TPC US Parent,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11/24/25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Food</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6.25%</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1M L+625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5,593,148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5,537,216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5,425,353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TVC Enterprises,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03/26/26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Transportation</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6.75%</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3M L+550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12,773,152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12,642,764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12,773,152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TWS Acquisition Corporation</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06/16/25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Education</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7.25%</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3M L+450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9,647,753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9,514,502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9,647,753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Tyto Athene, LLC</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04/03/28</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6.25%</w:t>
            </w:r>
          </w:p>
        </w:tc>
        <w:tc>
          <w:tcPr>
            <w:tcW w:w="2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1M L+675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9,950,000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9,853,217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9,950,000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UBEO,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04/03/24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Printing and Publishing</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5.50%</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1M L+500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4,710,212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4,676,033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4,686,661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Vision Purchaser Corporation</w:t>
            </w: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06/10/25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Media</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7.75%</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14,248,804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14,055,791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14,035,072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Wildcat Buyerco,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02/27/26</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2"/>
              </w:rPr>
              <w:t>Electronics</w:t>
            </w:r>
          </w:p>
        </w:tc>
        <w:tc>
          <w:tcPr>
            <w:tcW w:w="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6.00%</w:t>
            </w: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7,424,623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7,360,375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7,387,500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Borders>
              <w:bottom w:val="single" w:sz="8" w:color="CCECFF"/>
            </w:tcBorders>
            <w:gridSpan w:val="2"/>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7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1"/>
              </w:rPr>
              <w:t>409,602,447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1"/>
              </w:rPr>
              <w:t>405,009,393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405,232,480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b w:val="1"/>
                <w:bCs w:val="1"/>
                <w:color w:val="auto"/>
              </w:rPr>
              <w:t>Cash and Cash Equivalents—18.9%</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11,013,454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11,013,454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color w:val="auto"/>
              </w:rPr>
              <w:t>US Bank Cash</w:t>
            </w:r>
          </w:p>
        </w:tc>
        <w:tc>
          <w:tcPr>
            <w:tcW w:w="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7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CCECFF"/>
            </w:tcBorders>
          </w:tcPr>
          <w:p>
            <w:pPr>
              <w:spacing w:after="0"/>
              <w:rPr>
                <w:sz w:val="11"/>
                <w:szCs w:val="11"/>
                <w:color w:val="auto"/>
              </w:rPr>
            </w:pPr>
          </w:p>
        </w:tc>
        <w:tc>
          <w:tcPr>
            <w:tcW w:w="6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11,013,454</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11,013,454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80" w:type="dxa"/>
            <w:vAlign w:val="bottom"/>
            <w:gridSpan w:val="3"/>
          </w:tcPr>
          <w:p>
            <w:pPr>
              <w:spacing w:after="0"/>
              <w:rPr>
                <w:sz w:val="20"/>
                <w:szCs w:val="20"/>
                <w:color w:val="auto"/>
              </w:rPr>
            </w:pPr>
            <w:r>
              <w:rPr>
                <w:rFonts w:ascii="Arial" w:cs="Arial" w:eastAsia="Arial" w:hAnsi="Arial"/>
                <w:sz w:val="11"/>
                <w:szCs w:val="11"/>
                <w:b w:val="1"/>
                <w:bCs w:val="1"/>
                <w:color w:val="auto"/>
              </w:rPr>
              <w:t>Total Investments and Cash Equivalents—592.7%</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w w:val="91"/>
              </w:rPr>
              <w:t>416,022,848</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w w:val="98"/>
              </w:rPr>
              <w:t>416,245,935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CFF"/>
            </w:tcBorders>
            <w:gridSpan w:val="3"/>
            <w:vMerge w:val="restart"/>
            <w:shd w:val="clear" w:color="auto" w:fill="CCECFF"/>
          </w:tcPr>
          <w:p>
            <w:pPr>
              <w:spacing w:after="0"/>
              <w:rPr>
                <w:sz w:val="20"/>
                <w:szCs w:val="20"/>
                <w:color w:val="auto"/>
              </w:rPr>
            </w:pPr>
            <w:r>
              <w:rPr>
                <w:rFonts w:ascii="Arial" w:cs="Arial" w:eastAsia="Arial" w:hAnsi="Arial"/>
                <w:sz w:val="11"/>
                <w:szCs w:val="11"/>
                <w:b w:val="1"/>
                <w:bCs w:val="1"/>
                <w:color w:val="auto"/>
              </w:rPr>
              <w:t>Liabilities in Excess of Other Assets—(492.7)%</w:t>
            </w:r>
          </w:p>
        </w:tc>
        <w:tc>
          <w:tcPr>
            <w:tcW w:w="64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262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58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76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60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80" w:type="dxa"/>
            <w:vAlign w:val="bottom"/>
            <w:gridSpan w:val="3"/>
            <w:vMerge w:val="continue"/>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26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w w:val="96"/>
              </w:rPr>
              <w:t>(348,213,498)</w:t>
            </w:r>
          </w:p>
        </w:tc>
        <w:tc>
          <w:tcPr>
            <w:tcW w:w="0" w:type="dxa"/>
            <w:vAlign w:val="bottom"/>
          </w:tcPr>
          <w:p>
            <w:pPr>
              <w:spacing w:after="0"/>
              <w:rPr>
                <w:sz w:val="1"/>
                <w:szCs w:val="1"/>
                <w:color w:val="auto"/>
              </w:rPr>
            </w:pPr>
          </w:p>
        </w:tc>
      </w:tr>
      <w:tr>
        <w:trPr>
          <w:trHeight w:val="128"/>
        </w:trPr>
        <w:tc>
          <w:tcPr>
            <w:tcW w:w="3180" w:type="dxa"/>
            <w:vAlign w:val="bottom"/>
            <w:gridSpan w:val="3"/>
          </w:tcPr>
          <w:p>
            <w:pPr>
              <w:spacing w:after="0"/>
              <w:rPr>
                <w:sz w:val="20"/>
                <w:szCs w:val="20"/>
                <w:color w:val="auto"/>
              </w:rPr>
            </w:pPr>
            <w:r>
              <w:rPr>
                <w:rFonts w:ascii="Arial" w:cs="Arial" w:eastAsia="Arial" w:hAnsi="Arial"/>
                <w:sz w:val="11"/>
                <w:szCs w:val="11"/>
                <w:b w:val="1"/>
                <w:bCs w:val="1"/>
                <w:color w:val="auto"/>
              </w:rPr>
              <w:t>Members' Equity—100.0%</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68,032,437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1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2120" w:type="dxa"/>
            <w:vAlign w:val="bottom"/>
            <w:tcBorders>
              <w:bottom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120" w:type="dxa"/>
            <w:vAlign w:val="bottom"/>
            <w:tcBorders>
              <w:bottom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380" w:right="60" w:hanging="372"/>
        <w:spacing w:after="0" w:line="212" w:lineRule="auto"/>
        <w:tabs>
          <w:tab w:leader="none" w:pos="380" w:val="left"/>
        </w:tabs>
        <w:numPr>
          <w:ilvl w:val="0"/>
          <w:numId w:val="80"/>
        </w:numPr>
        <w:rPr>
          <w:rFonts w:ascii="Arial" w:cs="Arial" w:eastAsia="Arial" w:hAnsi="Arial"/>
          <w:sz w:val="19"/>
          <w:szCs w:val="19"/>
          <w:b w:val="1"/>
          <w:bCs w:val="1"/>
          <w:color w:val="auto"/>
          <w:vertAlign w:val="superscript"/>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1" w:lineRule="exact"/>
        <w:rPr>
          <w:rFonts w:ascii="Arial" w:cs="Arial" w:eastAsia="Arial" w:hAnsi="Arial"/>
          <w:sz w:val="19"/>
          <w:szCs w:val="19"/>
          <w:b w:val="1"/>
          <w:bCs w:val="1"/>
          <w:color w:val="auto"/>
          <w:vertAlign w:val="superscript"/>
        </w:rPr>
      </w:pPr>
    </w:p>
    <w:p>
      <w:pPr>
        <w:ind w:left="380" w:hanging="372"/>
        <w:spacing w:after="0" w:line="225" w:lineRule="auto"/>
        <w:tabs>
          <w:tab w:leader="none" w:pos="380" w:val="left"/>
        </w:tabs>
        <w:numPr>
          <w:ilvl w:val="0"/>
          <w:numId w:val="80"/>
        </w:numPr>
        <w:rPr>
          <w:rFonts w:ascii="Arial" w:cs="Arial" w:eastAsia="Arial" w:hAnsi="Arial"/>
          <w:sz w:val="20"/>
          <w:szCs w:val="20"/>
          <w:b w:val="1"/>
          <w:bCs w:val="1"/>
          <w:color w:val="auto"/>
          <w:vertAlign w:val="superscript"/>
        </w:rPr>
      </w:pPr>
      <w:r>
        <w:rPr>
          <w:rFonts w:ascii="Arial" w:cs="Arial" w:eastAsia="Arial" w:hAnsi="Arial"/>
          <w:sz w:val="12"/>
          <w:szCs w:val="12"/>
          <w:color w:val="auto"/>
        </w:rPr>
        <w:t>Valued based on PSLF’s accounting policy.</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color w:val="auto"/>
        </w:rPr>
        <w:t>Below is a listing of PSLF’s individual investments as of: September 30,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6"/>
              </w:rPr>
              <w:t>Basis Point</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right"/>
              <w:ind w:right="400"/>
              <w:spacing w:after="0" w:line="122" w:lineRule="exact"/>
              <w:rPr>
                <w:sz w:val="20"/>
                <w:szCs w:val="20"/>
                <w:color w:val="auto"/>
              </w:rPr>
            </w:pPr>
            <w:r>
              <w:rPr>
                <w:rFonts w:ascii="Arial" w:cs="Arial" w:eastAsia="Arial" w:hAnsi="Arial"/>
                <w:sz w:val="11"/>
                <w:szCs w:val="11"/>
                <w:b w:val="1"/>
                <w:bCs w:val="1"/>
                <w:color w:val="auto"/>
              </w:rPr>
              <w:t>Current</w:t>
            </w:r>
          </w:p>
        </w:tc>
        <w:tc>
          <w:tcPr>
            <w:tcW w:w="10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b w:val="1"/>
                <w:bCs w:val="1"/>
                <w:color w:val="auto"/>
              </w:rPr>
              <w:t>Issuer Name</w:t>
            </w: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Maturity</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Industry</w:t>
            </w:r>
          </w:p>
        </w:tc>
        <w:tc>
          <w:tcPr>
            <w:tcW w:w="86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Coupon</w:t>
            </w: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680" w:type="dxa"/>
            <w:vAlign w:val="bottom"/>
          </w:tcPr>
          <w:p>
            <w:pPr>
              <w:jc w:val="right"/>
              <w:ind w:right="206"/>
              <w:spacing w:after="0"/>
              <w:rPr>
                <w:sz w:val="20"/>
                <w:szCs w:val="20"/>
                <w:color w:val="auto"/>
              </w:rPr>
            </w:pPr>
            <w:r>
              <w:rPr>
                <w:rFonts w:ascii="Arial" w:cs="Arial" w:eastAsia="Arial" w:hAnsi="Arial"/>
                <w:sz w:val="11"/>
                <w:szCs w:val="11"/>
                <w:b w:val="1"/>
                <w:bCs w:val="1"/>
                <w:color w:val="auto"/>
              </w:rPr>
              <w:t>Par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8"/>
              </w:rPr>
              <w:t xml:space="preserve">Fair Value </w:t>
            </w:r>
            <w:r>
              <w:rPr>
                <w:rFonts w:ascii="Arial" w:cs="Arial" w:eastAsia="Arial" w:hAnsi="Arial"/>
                <w:sz w:val="9"/>
                <w:szCs w:val="9"/>
                <w:b w:val="1"/>
                <w:bCs w:val="1"/>
                <w:color w:val="auto"/>
                <w:w w:val="98"/>
              </w:rPr>
              <w:t>(2)</w:t>
            </w:r>
          </w:p>
        </w:tc>
        <w:tc>
          <w:tcPr>
            <w:tcW w:w="0" w:type="dxa"/>
            <w:vAlign w:val="bottom"/>
          </w:tcPr>
          <w:p>
            <w:pPr>
              <w:spacing w:after="0"/>
              <w:rPr>
                <w:sz w:val="1"/>
                <w:szCs w:val="1"/>
                <w:color w:val="auto"/>
              </w:rPr>
            </w:pPr>
          </w:p>
        </w:tc>
      </w:tr>
      <w:tr>
        <w:trPr>
          <w:trHeight w:val="128"/>
        </w:trPr>
        <w:tc>
          <w:tcPr>
            <w:tcW w:w="306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rPr>
              <w:t>First Lien Secured Debt—701.6%</w:t>
            </w:r>
          </w:p>
        </w:tc>
        <w:tc>
          <w:tcPr>
            <w:tcW w:w="120" w:type="dxa"/>
            <w:vAlign w:val="bottom"/>
            <w:tcBorders>
              <w:top w:val="single" w:sz="8" w:color="CCECFF"/>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262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80" w:type="dxa"/>
            <w:vAlign w:val="bottom"/>
            <w:tcBorders>
              <w:top w:val="single" w:sz="8" w:color="CCECFF"/>
            </w:tcBorders>
            <w:shd w:val="clear" w:color="auto" w:fill="CCECFF"/>
          </w:tcPr>
          <w:p>
            <w:pPr>
              <w:spacing w:after="0"/>
              <w:rPr>
                <w:sz w:val="11"/>
                <w:szCs w:val="11"/>
                <w:color w:val="auto"/>
              </w:rPr>
            </w:pPr>
          </w:p>
        </w:tc>
        <w:tc>
          <w:tcPr>
            <w:tcW w:w="88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Advantage Sales &amp; Marketing</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07/23/2021</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Grocery</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4.25%</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L+325</w:t>
            </w:r>
          </w:p>
        </w:tc>
        <w:tc>
          <w:tcPr>
            <w:tcW w:w="680" w:type="dxa"/>
            <w:vAlign w:val="bottom"/>
          </w:tcPr>
          <w:p>
            <w:pPr>
              <w:jc w:val="right"/>
              <w:spacing w:after="0"/>
              <w:rPr>
                <w:sz w:val="20"/>
                <w:szCs w:val="20"/>
                <w:color w:val="auto"/>
              </w:rPr>
            </w:pPr>
            <w:r>
              <w:rPr>
                <w:rFonts w:ascii="Arial" w:cs="Arial" w:eastAsia="Arial" w:hAnsi="Arial"/>
                <w:sz w:val="11"/>
                <w:szCs w:val="11"/>
                <w:color w:val="auto"/>
              </w:rPr>
              <w:t>8,627,315</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8,418,699</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8,456,926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Altamira Technologies,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07/24/2025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L+600</w:t>
            </w:r>
          </w:p>
        </w:tc>
        <w:tc>
          <w:tcPr>
            <w:tcW w:w="680" w:type="dxa"/>
            <w:vAlign w:val="bottom"/>
            <w:shd w:val="clear" w:color="auto" w:fill="CCECFF"/>
          </w:tcPr>
          <w:p>
            <w:pPr>
              <w:jc w:val="right"/>
              <w:ind w:right="66"/>
              <w:spacing w:after="0"/>
              <w:rPr>
                <w:sz w:val="20"/>
                <w:szCs w:val="20"/>
                <w:color w:val="auto"/>
              </w:rPr>
            </w:pPr>
            <w:r>
              <w:rPr>
                <w:rFonts w:ascii="Arial" w:cs="Arial" w:eastAsia="Arial" w:hAnsi="Arial"/>
                <w:sz w:val="11"/>
                <w:szCs w:val="11"/>
                <w:color w:val="auto"/>
              </w:rPr>
              <w:t>971,231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ind w:right="66"/>
              <w:spacing w:after="0"/>
              <w:rPr>
                <w:sz w:val="20"/>
                <w:szCs w:val="20"/>
                <w:color w:val="auto"/>
              </w:rPr>
            </w:pPr>
            <w:r>
              <w:rPr>
                <w:rFonts w:ascii="Arial" w:cs="Arial" w:eastAsia="Arial" w:hAnsi="Arial"/>
                <w:sz w:val="11"/>
                <w:szCs w:val="11"/>
                <w:color w:val="auto"/>
              </w:rPr>
              <w:t>958,950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937,238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American Insulated Glass,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12/21/2023</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4"/>
              </w:rPr>
              <w:t>Building Materials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14,775,105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14,571,097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14,479,603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Apex Service Partners,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07/31/2025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Personal, Food and Miscellaneous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L+525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6,607,449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6,546,594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6,409,225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Bazaarvoice, Inc.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02/01/2024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Printing and Publishing</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L+575</w:t>
            </w:r>
          </w:p>
        </w:tc>
        <w:tc>
          <w:tcPr>
            <w:tcW w:w="680" w:type="dxa"/>
            <w:vAlign w:val="bottom"/>
          </w:tcPr>
          <w:p>
            <w:pPr>
              <w:jc w:val="right"/>
              <w:spacing w:after="0"/>
              <w:rPr>
                <w:sz w:val="20"/>
                <w:szCs w:val="20"/>
                <w:color w:val="auto"/>
              </w:rPr>
            </w:pPr>
            <w:r>
              <w:rPr>
                <w:rFonts w:ascii="Arial" w:cs="Arial" w:eastAsia="Arial" w:hAnsi="Arial"/>
                <w:sz w:val="11"/>
                <w:szCs w:val="11"/>
                <w:color w:val="auto"/>
              </w:rPr>
              <w:t>14,628,085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14,509,210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14,408,664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Bottom Line Systems,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02/13/2023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14,895,515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14,683,499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Cano Health,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06/02/2025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L+750</w:t>
            </w:r>
          </w:p>
        </w:tc>
        <w:tc>
          <w:tcPr>
            <w:tcW w:w="680" w:type="dxa"/>
            <w:vAlign w:val="bottom"/>
          </w:tcPr>
          <w:p>
            <w:pPr>
              <w:jc w:val="right"/>
              <w:spacing w:after="0"/>
              <w:rPr>
                <w:sz w:val="20"/>
                <w:szCs w:val="20"/>
                <w:color w:val="auto"/>
              </w:rPr>
            </w:pPr>
            <w:r>
              <w:rPr>
                <w:rFonts w:ascii="Arial" w:cs="Arial" w:eastAsia="Arial" w:hAnsi="Arial"/>
                <w:sz w:val="11"/>
                <w:szCs w:val="11"/>
                <w:color w:val="auto"/>
              </w:rPr>
              <w:t>18,274,854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18,174,687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18,411,916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Datalot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01/24/2025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Insurance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L+525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7,116,895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6,991,975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7,125,435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DRS Holdings III, Inc.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11/03/2025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L+575</w:t>
            </w:r>
          </w:p>
        </w:tc>
        <w:tc>
          <w:tcPr>
            <w:tcW w:w="680" w:type="dxa"/>
            <w:vAlign w:val="bottom"/>
          </w:tcPr>
          <w:p>
            <w:pPr>
              <w:jc w:val="right"/>
              <w:spacing w:after="0"/>
              <w:rPr>
                <w:sz w:val="20"/>
                <w:szCs w:val="20"/>
                <w:color w:val="auto"/>
              </w:rPr>
            </w:pPr>
            <w:r>
              <w:rPr>
                <w:rFonts w:ascii="Arial" w:cs="Arial" w:eastAsia="Arial" w:hAnsi="Arial"/>
                <w:sz w:val="11"/>
                <w:szCs w:val="11"/>
                <w:color w:val="auto"/>
              </w:rPr>
              <w:t>13,564,726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13,448,313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13,316,490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ECM Industries,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12/23/2025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2"/>
              </w:rPr>
              <w:t>Electronics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2,873,184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2,846,226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2,858,818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Holdco Sands Intermediate,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12/19/2025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L+600</w:t>
            </w:r>
          </w:p>
        </w:tc>
        <w:tc>
          <w:tcPr>
            <w:tcW w:w="680" w:type="dxa"/>
            <w:vAlign w:val="bottom"/>
          </w:tcPr>
          <w:p>
            <w:pPr>
              <w:jc w:val="right"/>
              <w:spacing w:after="0"/>
              <w:rPr>
                <w:sz w:val="20"/>
                <w:szCs w:val="20"/>
                <w:color w:val="auto"/>
              </w:rPr>
            </w:pPr>
            <w:r>
              <w:rPr>
                <w:rFonts w:ascii="Arial" w:cs="Arial" w:eastAsia="Arial" w:hAnsi="Arial"/>
                <w:sz w:val="11"/>
                <w:szCs w:val="11"/>
                <w:color w:val="auto"/>
              </w:rPr>
              <w:t>12,193,571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12,028,384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11,888,732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HW Holdco,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12/10/2024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14,737,500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14,619,623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14,295,375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Integrity Marketing Acquisition,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08/27/2025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Insurance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447,833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444,755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443,354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K2 Pure Solutions NoCal, L.P.</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12/20/2023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L+700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14,737,500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14,583,983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14,413,275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Kentucky Downs,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03/07/2025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Hotels, Motels, Inns and Gaming</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9.50%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L+850</w:t>
            </w:r>
          </w:p>
        </w:tc>
        <w:tc>
          <w:tcPr>
            <w:tcW w:w="680" w:type="dxa"/>
            <w:vAlign w:val="bottom"/>
          </w:tcPr>
          <w:p>
            <w:pPr>
              <w:jc w:val="right"/>
              <w:spacing w:after="0"/>
              <w:rPr>
                <w:sz w:val="20"/>
                <w:szCs w:val="20"/>
                <w:color w:val="auto"/>
              </w:rPr>
            </w:pPr>
            <w:r>
              <w:rPr>
                <w:rFonts w:ascii="Arial" w:cs="Arial" w:eastAsia="Arial" w:hAnsi="Arial"/>
                <w:sz w:val="11"/>
                <w:szCs w:val="11"/>
                <w:color w:val="auto"/>
              </w:rPr>
              <w:t>10,153,350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9,978,792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10,001,050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LAV Gear Holdings,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10/31/2024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Leisure, Amusement, Motion Pictures, Entertainment</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8.50%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L+750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2,015,428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1,998,623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1,856,411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Lightspeed Buyer Inc.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02/03/2026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L+525</w:t>
            </w:r>
          </w:p>
        </w:tc>
        <w:tc>
          <w:tcPr>
            <w:tcW w:w="680" w:type="dxa"/>
            <w:vAlign w:val="bottom"/>
          </w:tcPr>
          <w:p>
            <w:pPr>
              <w:jc w:val="right"/>
              <w:spacing w:after="0"/>
              <w:rPr>
                <w:sz w:val="20"/>
                <w:szCs w:val="20"/>
                <w:color w:val="auto"/>
              </w:rPr>
            </w:pPr>
            <w:r>
              <w:rPr>
                <w:rFonts w:ascii="Arial" w:cs="Arial" w:eastAsia="Arial" w:hAnsi="Arial"/>
                <w:sz w:val="11"/>
                <w:szCs w:val="11"/>
                <w:color w:val="auto"/>
              </w:rPr>
              <w:t>12,598,209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12,365,207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12,440,731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Lombart Brothers,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04/13/2023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L+625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16,914,403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16,770,520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15,882,625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MAG DS Corp.</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04/01/2027</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L+550</w:t>
            </w:r>
          </w:p>
        </w:tc>
        <w:tc>
          <w:tcPr>
            <w:tcW w:w="680" w:type="dxa"/>
            <w:vAlign w:val="bottom"/>
          </w:tcPr>
          <w:p>
            <w:pPr>
              <w:jc w:val="right"/>
              <w:spacing w:after="0"/>
              <w:rPr>
                <w:sz w:val="20"/>
                <w:szCs w:val="20"/>
                <w:color w:val="auto"/>
              </w:rPr>
            </w:pPr>
            <w:r>
              <w:rPr>
                <w:rFonts w:ascii="Arial" w:cs="Arial" w:eastAsia="Arial" w:hAnsi="Arial"/>
                <w:sz w:val="11"/>
                <w:szCs w:val="11"/>
                <w:color w:val="auto"/>
              </w:rPr>
              <w:t>6,000,000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5,700,000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5,707,500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MeritDirect,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05/23/2024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14,076,563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13,914,921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13,407,926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PlayPower, Inc.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05/08/2026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5.72%</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4,025,520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3,990,631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3,824,244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Radius Aerospace,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03/31/2025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13,779,429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13,608,176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13,503,840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80" w:type="dxa"/>
            <w:vAlign w:val="bottom"/>
            <w:gridSpan w:val="3"/>
          </w:tcPr>
          <w:p>
            <w:pPr>
              <w:spacing w:after="0" w:line="125" w:lineRule="exact"/>
              <w:rPr>
                <w:sz w:val="20"/>
                <w:szCs w:val="20"/>
                <w:color w:val="auto"/>
              </w:rPr>
            </w:pPr>
            <w:r>
              <w:rPr>
                <w:rFonts w:ascii="Arial" w:cs="Arial" w:eastAsia="Arial" w:hAnsi="Arial"/>
                <w:sz w:val="11"/>
                <w:szCs w:val="11"/>
                <w:color w:val="auto"/>
              </w:rPr>
              <w:t>Research Now Group, Inc. and Survey</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180" w:type="dxa"/>
            <w:vAlign w:val="bottom"/>
            <w:gridSpan w:val="3"/>
          </w:tcPr>
          <w:p>
            <w:pPr>
              <w:ind w:left="80"/>
              <w:spacing w:after="0"/>
              <w:rPr>
                <w:sz w:val="20"/>
                <w:szCs w:val="20"/>
                <w:color w:val="auto"/>
              </w:rPr>
            </w:pPr>
            <w:r>
              <w:rPr>
                <w:rFonts w:ascii="Arial" w:cs="Arial" w:eastAsia="Arial" w:hAnsi="Arial"/>
                <w:sz w:val="11"/>
                <w:szCs w:val="11"/>
                <w:color w:val="auto"/>
              </w:rPr>
              <w:t>Sampling International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12/20/2024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14,847,328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14,728,854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14,023,302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Riverpoint Medical,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06/20/2025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1,975,000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1,958,417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1,905,678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Sales Benchmark Index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01/03/2025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7.75%</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L+600</w:t>
            </w:r>
          </w:p>
        </w:tc>
        <w:tc>
          <w:tcPr>
            <w:tcW w:w="680" w:type="dxa"/>
            <w:vAlign w:val="bottom"/>
          </w:tcPr>
          <w:p>
            <w:pPr>
              <w:jc w:val="right"/>
              <w:spacing w:after="0"/>
              <w:rPr>
                <w:sz w:val="20"/>
                <w:szCs w:val="20"/>
                <w:color w:val="auto"/>
              </w:rPr>
            </w:pPr>
            <w:r>
              <w:rPr>
                <w:rFonts w:ascii="Arial" w:cs="Arial" w:eastAsia="Arial" w:hAnsi="Arial"/>
                <w:sz w:val="11"/>
                <w:szCs w:val="11"/>
                <w:color w:val="auto"/>
              </w:rPr>
              <w:t>7,887,195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7,748,712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7,697,903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Sargent &amp; Greenleaf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12/20/2024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2"/>
              </w:rPr>
              <w:t>Electronics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5,448,483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5,378,893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5,350,411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Signature Systems Holding Company</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05/03/2024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L+650</w:t>
            </w:r>
          </w:p>
        </w:tc>
        <w:tc>
          <w:tcPr>
            <w:tcW w:w="680" w:type="dxa"/>
            <w:vAlign w:val="bottom"/>
          </w:tcPr>
          <w:p>
            <w:pPr>
              <w:jc w:val="right"/>
              <w:spacing w:after="0"/>
              <w:rPr>
                <w:sz w:val="20"/>
                <w:szCs w:val="20"/>
                <w:color w:val="auto"/>
              </w:rPr>
            </w:pPr>
            <w:r>
              <w:rPr>
                <w:rFonts w:ascii="Arial" w:cs="Arial" w:eastAsia="Arial" w:hAnsi="Arial"/>
                <w:sz w:val="11"/>
                <w:szCs w:val="11"/>
                <w:color w:val="auto"/>
              </w:rPr>
              <w:t>14,250,000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14,096,623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13,786,875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Solutionreach,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01/17/2024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Communications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12,531,123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12,351,398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12,393,282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STV Group Incorporated</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12/11/2026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Transportation</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5.40%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L+525</w:t>
            </w:r>
          </w:p>
        </w:tc>
        <w:tc>
          <w:tcPr>
            <w:tcW w:w="680" w:type="dxa"/>
            <w:vAlign w:val="bottom"/>
          </w:tcPr>
          <w:p>
            <w:pPr>
              <w:jc w:val="right"/>
              <w:spacing w:after="0"/>
              <w:rPr>
                <w:sz w:val="20"/>
                <w:szCs w:val="20"/>
                <w:color w:val="auto"/>
              </w:rPr>
            </w:pPr>
            <w:r>
              <w:rPr>
                <w:rFonts w:ascii="Arial" w:cs="Arial" w:eastAsia="Arial" w:hAnsi="Arial"/>
                <w:sz w:val="11"/>
                <w:szCs w:val="11"/>
                <w:color w:val="auto"/>
              </w:rPr>
              <w:t>12,351,980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12,238,771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12,228,460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TeleGuam Holdings,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11/20/2025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5,080,832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5,034,725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4,928,407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Teneo Holdings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07/18/2025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Financial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L+525</w:t>
            </w:r>
          </w:p>
        </w:tc>
        <w:tc>
          <w:tcPr>
            <w:tcW w:w="680" w:type="dxa"/>
            <w:vAlign w:val="bottom"/>
          </w:tcPr>
          <w:p>
            <w:pPr>
              <w:jc w:val="right"/>
              <w:spacing w:after="0"/>
              <w:rPr>
                <w:sz w:val="20"/>
                <w:szCs w:val="20"/>
                <w:color w:val="auto"/>
              </w:rPr>
            </w:pPr>
            <w:r>
              <w:rPr>
                <w:rFonts w:ascii="Arial" w:cs="Arial" w:eastAsia="Arial" w:hAnsi="Arial"/>
                <w:sz w:val="11"/>
                <w:szCs w:val="11"/>
                <w:color w:val="auto"/>
              </w:rPr>
              <w:t>1,980,000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1,874,970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1,905,750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TPC Canada Parent, Inc. and TPC US Parent,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11/24/2025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Food</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3M L+525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5,650,076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5,593,575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5,480,573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TVC Enterprises,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01/18/2024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Transportation</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1M L+550</w:t>
            </w:r>
          </w:p>
        </w:tc>
        <w:tc>
          <w:tcPr>
            <w:tcW w:w="680" w:type="dxa"/>
            <w:vAlign w:val="bottom"/>
          </w:tcPr>
          <w:p>
            <w:pPr>
              <w:jc w:val="right"/>
              <w:spacing w:after="0"/>
              <w:rPr>
                <w:sz w:val="20"/>
                <w:szCs w:val="20"/>
                <w:color w:val="auto"/>
              </w:rPr>
            </w:pPr>
            <w:r>
              <w:rPr>
                <w:rFonts w:ascii="Arial" w:cs="Arial" w:eastAsia="Arial" w:hAnsi="Arial"/>
                <w:sz w:val="11"/>
                <w:szCs w:val="11"/>
                <w:color w:val="auto"/>
              </w:rPr>
              <w:t>14,547,897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14,343,185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14,438,788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TWS Acquisition Corporation</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06/16/2025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Education</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L+625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8,644,186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8,469,082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8,471,302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color w:val="auto"/>
              </w:rPr>
              <w:t>UBEO, LLC</w:t>
            </w:r>
          </w:p>
        </w:tc>
        <w:tc>
          <w:tcPr>
            <w:tcW w:w="640" w:type="dxa"/>
            <w:vAlign w:val="bottom"/>
          </w:tcPr>
          <w:p>
            <w:pPr>
              <w:jc w:val="center"/>
              <w:spacing w:after="0"/>
              <w:rPr>
                <w:sz w:val="20"/>
                <w:szCs w:val="20"/>
                <w:color w:val="auto"/>
              </w:rPr>
            </w:pPr>
            <w:r>
              <w:rPr>
                <w:rFonts w:ascii="Arial" w:cs="Arial" w:eastAsia="Arial" w:hAnsi="Arial"/>
                <w:sz w:val="11"/>
                <w:szCs w:val="11"/>
                <w:color w:val="auto"/>
                <w:w w:val="87"/>
              </w:rPr>
              <w:t>04/03/2024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Printing and Publishing</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1000" w:type="dxa"/>
            <w:vAlign w:val="bottom"/>
            <w:gridSpan w:val="2"/>
          </w:tcPr>
          <w:p>
            <w:pPr>
              <w:ind w:left="400"/>
              <w:spacing w:after="0"/>
              <w:rPr>
                <w:sz w:val="20"/>
                <w:szCs w:val="20"/>
                <w:color w:val="auto"/>
              </w:rPr>
            </w:pPr>
            <w:r>
              <w:rPr>
                <w:rFonts w:ascii="Arial" w:cs="Arial" w:eastAsia="Arial" w:hAnsi="Arial"/>
                <w:sz w:val="11"/>
                <w:szCs w:val="11"/>
                <w:color w:val="auto"/>
              </w:rPr>
              <w:t>3M L+450</w:t>
            </w:r>
          </w:p>
        </w:tc>
        <w:tc>
          <w:tcPr>
            <w:tcW w:w="680" w:type="dxa"/>
            <w:vAlign w:val="bottom"/>
          </w:tcPr>
          <w:p>
            <w:pPr>
              <w:jc w:val="right"/>
              <w:spacing w:after="0"/>
              <w:rPr>
                <w:sz w:val="20"/>
                <w:szCs w:val="20"/>
                <w:color w:val="auto"/>
              </w:rPr>
            </w:pPr>
            <w:r>
              <w:rPr>
                <w:rFonts w:ascii="Arial" w:cs="Arial" w:eastAsia="Arial" w:hAnsi="Arial"/>
                <w:sz w:val="11"/>
                <w:szCs w:val="11"/>
                <w:color w:val="auto"/>
              </w:rPr>
              <w:t>4,738,102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4,700,032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4,453,816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Vision Purchaser Corporation</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06/10/2025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1000" w:type="dxa"/>
            <w:vAlign w:val="bottom"/>
            <w:gridSpan w:val="2"/>
            <w:shd w:val="clear" w:color="auto" w:fill="CCECFF"/>
          </w:tcPr>
          <w:p>
            <w:pPr>
              <w:ind w:left="400"/>
              <w:spacing w:after="0"/>
              <w:rPr>
                <w:sz w:val="20"/>
                <w:szCs w:val="20"/>
                <w:color w:val="auto"/>
              </w:rPr>
            </w:pPr>
            <w:r>
              <w:rPr>
                <w:rFonts w:ascii="Arial" w:cs="Arial" w:eastAsia="Arial" w:hAnsi="Arial"/>
                <w:sz w:val="11"/>
                <w:szCs w:val="11"/>
                <w:color w:val="auto"/>
              </w:rPr>
              <w:t>1M L+625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14,358,203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14,112,113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13,496,711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color w:val="auto"/>
              </w:rPr>
              <w:t>Whitney, Bradley &amp; Brown, Inc.</w:t>
            </w:r>
          </w:p>
        </w:tc>
        <w:tc>
          <w:tcPr>
            <w:tcW w:w="640" w:type="dxa"/>
            <w:vAlign w:val="bottom"/>
            <w:tcBorders>
              <w:bottom w:val="single" w:sz="8" w:color="CCECFF"/>
            </w:tcBorders>
          </w:tcPr>
          <w:p>
            <w:pPr>
              <w:jc w:val="center"/>
              <w:spacing w:after="0"/>
              <w:rPr>
                <w:sz w:val="20"/>
                <w:szCs w:val="20"/>
                <w:color w:val="auto"/>
              </w:rPr>
            </w:pPr>
            <w:r>
              <w:rPr>
                <w:rFonts w:ascii="Arial" w:cs="Arial" w:eastAsia="Arial" w:hAnsi="Arial"/>
                <w:sz w:val="11"/>
                <w:szCs w:val="11"/>
                <w:color w:val="auto"/>
                <w:w w:val="87"/>
              </w:rPr>
              <w:t>10/18/2022</w:t>
            </w:r>
          </w:p>
        </w:tc>
        <w:tc>
          <w:tcPr>
            <w:tcW w:w="120" w:type="dxa"/>
            <w:vAlign w:val="bottom"/>
            <w:tcBorders>
              <w:bottom w:val="single" w:sz="8" w:color="CCECFF"/>
            </w:tcBorders>
          </w:tcPr>
          <w:p>
            <w:pPr>
              <w:spacing w:after="0"/>
              <w:rPr>
                <w:sz w:val="11"/>
                <w:szCs w:val="11"/>
                <w:color w:val="auto"/>
              </w:rPr>
            </w:pPr>
          </w:p>
        </w:tc>
        <w:tc>
          <w:tcPr>
            <w:tcW w:w="27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1"/>
                <w:szCs w:val="11"/>
                <w:color w:val="auto"/>
              </w:rPr>
              <w:t>8.50%</w:t>
            </w:r>
          </w:p>
        </w:tc>
        <w:tc>
          <w:tcPr>
            <w:tcW w:w="1000" w:type="dxa"/>
            <w:vAlign w:val="bottom"/>
            <w:tcBorders>
              <w:bottom w:val="single" w:sz="8" w:color="CCECFF"/>
            </w:tcBorders>
            <w:gridSpan w:val="2"/>
          </w:tcPr>
          <w:p>
            <w:pPr>
              <w:ind w:left="400"/>
              <w:spacing w:after="0"/>
              <w:rPr>
                <w:sz w:val="20"/>
                <w:szCs w:val="20"/>
                <w:color w:val="auto"/>
              </w:rPr>
            </w:pPr>
            <w:r>
              <w:rPr>
                <w:rFonts w:ascii="Arial" w:cs="Arial" w:eastAsia="Arial" w:hAnsi="Arial"/>
                <w:sz w:val="11"/>
                <w:szCs w:val="11"/>
                <w:color w:val="auto"/>
              </w:rPr>
              <w:t>1M L+750</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14,194,162</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14,029,177</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14,052,223</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1"/>
              </w:rPr>
              <w:t>358,023,408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353,366,358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tcPr>
          <w:p>
            <w:pPr>
              <w:spacing w:after="0"/>
              <w:rPr>
                <w:sz w:val="20"/>
                <w:szCs w:val="20"/>
                <w:color w:val="auto"/>
              </w:rPr>
            </w:pPr>
            <w:r>
              <w:rPr>
                <w:rFonts w:ascii="Arial" w:cs="Arial" w:eastAsia="Arial" w:hAnsi="Arial"/>
                <w:sz w:val="11"/>
                <w:szCs w:val="11"/>
                <w:b w:val="1"/>
                <w:bCs w:val="1"/>
                <w:color w:val="auto"/>
              </w:rPr>
              <w:t>Cash and Cash Equivalents—26.9%</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7,353,307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7,353,307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color w:val="auto"/>
              </w:rPr>
              <w:t>US Bank Cash</w:t>
            </w:r>
          </w:p>
        </w:tc>
        <w:tc>
          <w:tcPr>
            <w:tcW w:w="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183,412</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183,412</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8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7,536,719</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7,536,719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80" w:type="dxa"/>
            <w:vAlign w:val="bottom"/>
            <w:gridSpan w:val="3"/>
          </w:tcPr>
          <w:p>
            <w:pPr>
              <w:spacing w:after="0"/>
              <w:rPr>
                <w:sz w:val="20"/>
                <w:szCs w:val="20"/>
                <w:color w:val="auto"/>
              </w:rPr>
            </w:pPr>
            <w:r>
              <w:rPr>
                <w:rFonts w:ascii="Arial" w:cs="Arial" w:eastAsia="Arial" w:hAnsi="Arial"/>
                <w:sz w:val="11"/>
                <w:szCs w:val="11"/>
                <w:b w:val="1"/>
                <w:bCs w:val="1"/>
                <w:color w:val="auto"/>
              </w:rPr>
              <w:t>Total Investments and Cash Equivalents—1,141.9%</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w w:val="91"/>
              </w:rPr>
              <w:t>365,560,127</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w w:val="98"/>
              </w:rPr>
              <w:t>360,903,077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CFF"/>
            </w:tcBorders>
            <w:gridSpan w:val="3"/>
            <w:vMerge w:val="restart"/>
            <w:shd w:val="clear" w:color="auto" w:fill="CCECFF"/>
          </w:tcPr>
          <w:p>
            <w:pPr>
              <w:spacing w:after="0"/>
              <w:rPr>
                <w:sz w:val="20"/>
                <w:szCs w:val="20"/>
                <w:color w:val="auto"/>
              </w:rPr>
            </w:pPr>
            <w:r>
              <w:rPr>
                <w:rFonts w:ascii="Arial" w:cs="Arial" w:eastAsia="Arial" w:hAnsi="Arial"/>
                <w:sz w:val="11"/>
                <w:szCs w:val="11"/>
                <w:b w:val="1"/>
                <w:bCs w:val="1"/>
                <w:color w:val="auto"/>
              </w:rPr>
              <w:t>Liabilities in Excess of Other Assets—(1,041.9)%</w:t>
            </w:r>
          </w:p>
        </w:tc>
        <w:tc>
          <w:tcPr>
            <w:tcW w:w="64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262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58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88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68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80" w:type="dxa"/>
            <w:vAlign w:val="bottom"/>
            <w:gridSpan w:val="3"/>
            <w:vMerge w:val="continue"/>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26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w w:val="96"/>
              </w:rPr>
              <w:t>(310,538,386)</w:t>
            </w:r>
          </w:p>
        </w:tc>
        <w:tc>
          <w:tcPr>
            <w:tcW w:w="0" w:type="dxa"/>
            <w:vAlign w:val="bottom"/>
          </w:tcPr>
          <w:p>
            <w:pPr>
              <w:spacing w:after="0"/>
              <w:rPr>
                <w:sz w:val="1"/>
                <w:szCs w:val="1"/>
                <w:color w:val="auto"/>
              </w:rPr>
            </w:pPr>
          </w:p>
        </w:tc>
      </w:tr>
      <w:tr>
        <w:trPr>
          <w:trHeight w:val="128"/>
        </w:trPr>
        <w:tc>
          <w:tcPr>
            <w:tcW w:w="3180" w:type="dxa"/>
            <w:vAlign w:val="bottom"/>
            <w:gridSpan w:val="3"/>
          </w:tcPr>
          <w:p>
            <w:pPr>
              <w:spacing w:after="0"/>
              <w:rPr>
                <w:sz w:val="20"/>
                <w:szCs w:val="20"/>
                <w:color w:val="auto"/>
              </w:rPr>
            </w:pPr>
            <w:r>
              <w:rPr>
                <w:rFonts w:ascii="Arial" w:cs="Arial" w:eastAsia="Arial" w:hAnsi="Arial"/>
                <w:sz w:val="11"/>
                <w:szCs w:val="11"/>
                <w:b w:val="1"/>
                <w:bCs w:val="1"/>
                <w:color w:val="auto"/>
              </w:rPr>
              <w:t>Members' Equity—100.0%</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50,364,691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120" w:type="dxa"/>
            <w:vAlign w:val="bottom"/>
            <w:tcBorders>
              <w:bottom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120" w:type="dxa"/>
            <w:vAlign w:val="bottom"/>
            <w:tcBorders>
              <w:bottom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120" w:type="dxa"/>
            <w:vAlign w:val="bottom"/>
            <w:tcBorders>
              <w:bottom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380" w:right="60" w:hanging="372"/>
        <w:spacing w:after="0" w:line="212" w:lineRule="auto"/>
        <w:tabs>
          <w:tab w:leader="none" w:pos="380" w:val="left"/>
        </w:tabs>
        <w:numPr>
          <w:ilvl w:val="0"/>
          <w:numId w:val="81"/>
        </w:numPr>
        <w:rPr>
          <w:rFonts w:ascii="Arial" w:cs="Arial" w:eastAsia="Arial" w:hAnsi="Arial"/>
          <w:sz w:val="19"/>
          <w:szCs w:val="19"/>
          <w:b w:val="1"/>
          <w:bCs w:val="1"/>
          <w:color w:val="auto"/>
          <w:vertAlign w:val="superscript"/>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1" w:lineRule="exact"/>
        <w:rPr>
          <w:rFonts w:ascii="Arial" w:cs="Arial" w:eastAsia="Arial" w:hAnsi="Arial"/>
          <w:sz w:val="19"/>
          <w:szCs w:val="19"/>
          <w:b w:val="1"/>
          <w:bCs w:val="1"/>
          <w:color w:val="auto"/>
          <w:vertAlign w:val="superscript"/>
        </w:rPr>
      </w:pPr>
    </w:p>
    <w:p>
      <w:pPr>
        <w:ind w:left="380" w:hanging="372"/>
        <w:spacing w:after="0" w:line="225" w:lineRule="auto"/>
        <w:tabs>
          <w:tab w:leader="none" w:pos="380" w:val="left"/>
        </w:tabs>
        <w:numPr>
          <w:ilvl w:val="0"/>
          <w:numId w:val="81"/>
        </w:numPr>
        <w:rPr>
          <w:rFonts w:ascii="Arial" w:cs="Arial" w:eastAsia="Arial" w:hAnsi="Arial"/>
          <w:sz w:val="20"/>
          <w:szCs w:val="20"/>
          <w:b w:val="1"/>
          <w:bCs w:val="1"/>
          <w:color w:val="auto"/>
          <w:vertAlign w:val="superscript"/>
        </w:rPr>
      </w:pPr>
      <w:r>
        <w:rPr>
          <w:rFonts w:ascii="Arial" w:cs="Arial" w:eastAsia="Arial" w:hAnsi="Arial"/>
          <w:sz w:val="12"/>
          <w:szCs w:val="12"/>
          <w:color w:val="auto"/>
        </w:rPr>
        <w:t>Valued based on PSLF’s accounting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560" w:type="dxa"/>
            <w:vAlign w:val="bottom"/>
            <w:gridSpan w:val="2"/>
          </w:tcPr>
          <w:p>
            <w:pPr>
              <w:spacing w:after="0"/>
              <w:rPr>
                <w:sz w:val="20"/>
                <w:szCs w:val="20"/>
                <w:color w:val="auto"/>
              </w:rPr>
            </w:pPr>
            <w:r>
              <w:rPr>
                <w:rFonts w:ascii="Arial" w:cs="Arial" w:eastAsia="Arial" w:hAnsi="Arial"/>
                <w:sz w:val="14"/>
                <w:szCs w:val="14"/>
                <w:color w:val="auto"/>
              </w:rPr>
              <w:t>Below is the financial information for PSLF:</w:t>
            </w: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2120" w:type="dxa"/>
            <w:vAlign w:val="bottom"/>
          </w:tcPr>
          <w:p>
            <w:pPr>
              <w:spacing w:after="0"/>
              <w:rPr>
                <w:sz w:val="24"/>
                <w:szCs w:val="24"/>
                <w:color w:val="auto"/>
              </w:rPr>
            </w:pPr>
          </w:p>
        </w:tc>
        <w:tc>
          <w:tcPr>
            <w:tcW w:w="5440" w:type="dxa"/>
            <w:vAlign w:val="bottom"/>
          </w:tcPr>
          <w:p>
            <w:pPr>
              <w:ind w:left="2360"/>
              <w:spacing w:after="0"/>
              <w:rPr>
                <w:sz w:val="20"/>
                <w:szCs w:val="20"/>
                <w:color w:val="auto"/>
              </w:rPr>
            </w:pPr>
            <w:r>
              <w:rPr>
                <w:rFonts w:ascii="Arial" w:cs="Arial" w:eastAsia="Arial" w:hAnsi="Arial"/>
                <w:sz w:val="14"/>
                <w:szCs w:val="14"/>
                <w:b w:val="1"/>
                <w:bCs w:val="1"/>
                <w:color w:val="auto"/>
              </w:rPr>
              <w:t>Statements of Assets and Liabilities</w:t>
            </w:r>
          </w:p>
        </w:tc>
        <w:tc>
          <w:tcPr>
            <w:tcW w:w="140" w:type="dxa"/>
            <w:vAlign w:val="bottom"/>
          </w:tcPr>
          <w:p>
            <w:pPr>
              <w:spacing w:after="0"/>
              <w:rPr>
                <w:sz w:val="24"/>
                <w:szCs w:val="24"/>
                <w:color w:val="auto"/>
              </w:rPr>
            </w:pPr>
          </w:p>
        </w:tc>
        <w:tc>
          <w:tcPr>
            <w:tcW w:w="1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September 30, 2021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47"/>
        </w:trPr>
        <w:tc>
          <w:tcPr>
            <w:tcW w:w="7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560" w:type="dxa"/>
            <w:vAlign w:val="bottom"/>
            <w:gridSpan w:val="2"/>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CFF"/>
          </w:tcPr>
          <w:p>
            <w:pPr>
              <w:spacing w:after="0"/>
              <w:rPr>
                <w:sz w:val="20"/>
                <w:szCs w:val="20"/>
                <w:color w:val="auto"/>
              </w:rPr>
            </w:pPr>
            <w:r>
              <w:rPr>
                <w:rFonts w:ascii="Arial" w:cs="Arial" w:eastAsia="Arial" w:hAnsi="Arial"/>
                <w:sz w:val="16"/>
                <w:szCs w:val="16"/>
                <w:color w:val="auto"/>
              </w:rPr>
              <w:t>Investments (cost—$405,009,393 and $358,023,408, respectively)</w:t>
            </w: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405,232,480</w:t>
            </w:r>
          </w:p>
        </w:tc>
        <w:tc>
          <w:tcPr>
            <w:tcW w:w="300" w:type="dxa"/>
            <w:vAlign w:val="bottom"/>
            <w:shd w:val="clear" w:color="auto" w:fill="CCECFF"/>
          </w:tcPr>
          <w:p>
            <w:pPr>
              <w:spacing w:after="0"/>
              <w:rPr>
                <w:sz w:val="18"/>
                <w:szCs w:val="18"/>
                <w:color w:val="auto"/>
              </w:rPr>
            </w:pPr>
          </w:p>
        </w:tc>
        <w:tc>
          <w:tcPr>
            <w:tcW w:w="140" w:type="dxa"/>
            <w:vAlign w:val="bottom"/>
            <w:gridSpan w:val="2"/>
            <w:shd w:val="clear" w:color="auto" w:fill="CCECFF"/>
          </w:tcPr>
          <w:p>
            <w:pPr>
              <w:jc w:val="right"/>
              <w:ind w:right="9"/>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353,366,358</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6"/>
                <w:szCs w:val="16"/>
                <w:color w:val="auto"/>
              </w:rPr>
              <w:t>Cash and cash equivalents (cost—$11,013,454 and $7,536,719, respectively)</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11,013,454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7,536,719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5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140" w:type="dxa"/>
            <w:vAlign w:val="bottom"/>
            <w:tcBorders>
              <w:bottom w:val="single" w:sz="8" w:color="auto"/>
            </w:tcBorders>
            <w:shd w:val="clear" w:color="auto" w:fill="CCECFF"/>
          </w:tcPr>
          <w:p>
            <w:pPr>
              <w:spacing w:after="0"/>
              <w:rPr>
                <w:sz w:val="14"/>
                <w:szCs w:val="14"/>
                <w:color w:val="auto"/>
              </w:rPr>
            </w:pPr>
          </w:p>
        </w:tc>
        <w:tc>
          <w:tcPr>
            <w:tcW w:w="15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1,175,230</w:t>
            </w:r>
          </w:p>
        </w:tc>
        <w:tc>
          <w:tcPr>
            <w:tcW w:w="3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5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877,008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560" w:type="dxa"/>
            <w:vAlign w:val="bottom"/>
            <w:tcBorders>
              <w:bottom w:val="single" w:sz="8" w:color="CCECFF"/>
            </w:tcBorders>
            <w:gridSpan w:val="2"/>
          </w:tcPr>
          <w:p>
            <w:pPr>
              <w:ind w:left="740"/>
              <w:spacing w:after="0" w:line="155" w:lineRule="exact"/>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417,421,164</w:t>
            </w:r>
          </w:p>
        </w:tc>
        <w:tc>
          <w:tcPr>
            <w:tcW w:w="30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361,780,085</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56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140" w:type="dxa"/>
            <w:vAlign w:val="bottom"/>
            <w:shd w:val="clear" w:color="auto" w:fill="CCECFF"/>
          </w:tcPr>
          <w:p>
            <w:pPr>
              <w:spacing w:after="0"/>
              <w:rPr>
                <w:sz w:val="13"/>
                <w:szCs w:val="13"/>
                <w:color w:val="auto"/>
              </w:rPr>
            </w:pPr>
          </w:p>
        </w:tc>
        <w:tc>
          <w:tcPr>
            <w:tcW w:w="150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5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560" w:type="dxa"/>
            <w:vAlign w:val="bottom"/>
            <w:gridSpan w:val="2"/>
          </w:tcPr>
          <w:p>
            <w:pPr>
              <w:spacing w:after="0"/>
              <w:rPr>
                <w:sz w:val="20"/>
                <w:szCs w:val="20"/>
                <w:color w:val="auto"/>
              </w:rPr>
            </w:pPr>
            <w:r>
              <w:rPr>
                <w:rFonts w:ascii="Arial" w:cs="Arial" w:eastAsia="Arial" w:hAnsi="Arial"/>
                <w:sz w:val="14"/>
                <w:szCs w:val="14"/>
                <w:color w:val="auto"/>
              </w:rPr>
              <w:t>Distribution payable</w:t>
            </w: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2,800,000</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1,393,716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Payable for investments purchased</w:t>
            </w:r>
          </w:p>
        </w:tc>
        <w:tc>
          <w:tcPr>
            <w:tcW w:w="14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12,792,969</w:t>
            </w:r>
          </w:p>
        </w:tc>
        <w:tc>
          <w:tcPr>
            <w:tcW w:w="3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5,700,000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gridSpan w:val="2"/>
          </w:tcPr>
          <w:p>
            <w:pPr>
              <w:spacing w:after="0"/>
              <w:rPr>
                <w:sz w:val="20"/>
                <w:szCs w:val="20"/>
                <w:color w:val="auto"/>
              </w:rPr>
            </w:pPr>
            <w:r>
              <w:rPr>
                <w:rFonts w:ascii="Arial" w:cs="Arial" w:eastAsia="Arial" w:hAnsi="Arial"/>
                <w:sz w:val="14"/>
                <w:szCs w:val="14"/>
                <w:color w:val="auto"/>
              </w:rPr>
              <w:t>Credit facility payable</w:t>
            </w: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224,000,000</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213,500,000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Notes payable to members</w:t>
            </w:r>
          </w:p>
        </w:tc>
        <w:tc>
          <w:tcPr>
            <w:tcW w:w="14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106,040,612</w:t>
            </w:r>
          </w:p>
        </w:tc>
        <w:tc>
          <w:tcPr>
            <w:tcW w:w="3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87,500,000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gridSpan w:val="2"/>
          </w:tcPr>
          <w:p>
            <w:pPr>
              <w:spacing w:after="0"/>
              <w:rPr>
                <w:sz w:val="20"/>
                <w:szCs w:val="20"/>
                <w:color w:val="auto"/>
              </w:rPr>
            </w:pPr>
            <w:r>
              <w:rPr>
                <w:rFonts w:ascii="Arial" w:cs="Arial" w:eastAsia="Arial" w:hAnsi="Arial"/>
                <w:sz w:val="14"/>
                <w:szCs w:val="14"/>
                <w:color w:val="auto"/>
              </w:rPr>
              <w:t>Interest payable on credit facility</w:t>
            </w: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1,499,406</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1,649,852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Interest payable on members notes</w:t>
            </w:r>
          </w:p>
        </w:tc>
        <w:tc>
          <w:tcPr>
            <w:tcW w:w="14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1,643,629</w:t>
            </w:r>
          </w:p>
        </w:tc>
        <w:tc>
          <w:tcPr>
            <w:tcW w:w="3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1,356,250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Accrued other expenses</w:t>
            </w: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612,111</w:t>
            </w:r>
          </w:p>
        </w:tc>
        <w:tc>
          <w:tcPr>
            <w:tcW w:w="30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315,576</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560" w:type="dxa"/>
            <w:vAlign w:val="bottom"/>
            <w:gridSpan w:val="2"/>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w:t>
            </w:r>
          </w:p>
        </w:tc>
        <w:tc>
          <w:tcPr>
            <w:tcW w:w="140" w:type="dxa"/>
            <w:vAlign w:val="bottom"/>
            <w:tcBorders>
              <w:bottom w:val="single" w:sz="8" w:color="auto"/>
            </w:tcBorders>
            <w:shd w:val="clear" w:color="auto" w:fill="CCECFF"/>
          </w:tcPr>
          <w:p>
            <w:pPr>
              <w:spacing w:after="0"/>
              <w:rPr>
                <w:sz w:val="13"/>
                <w:szCs w:val="13"/>
                <w:color w:val="auto"/>
              </w:rPr>
            </w:pPr>
          </w:p>
        </w:tc>
        <w:tc>
          <w:tcPr>
            <w:tcW w:w="15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349,388,727</w:t>
            </w:r>
          </w:p>
        </w:tc>
        <w:tc>
          <w:tcPr>
            <w:tcW w:w="3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5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311,415,394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560" w:type="dxa"/>
            <w:vAlign w:val="bottom"/>
            <w:tcBorders>
              <w:bottom w:val="single" w:sz="8" w:color="CCECFF"/>
            </w:tcBorders>
            <w:gridSpan w:val="2"/>
          </w:tcPr>
          <w:p>
            <w:pPr>
              <w:spacing w:after="0" w:line="155" w:lineRule="exact"/>
              <w:rPr>
                <w:sz w:val="20"/>
                <w:szCs w:val="20"/>
                <w:color w:val="auto"/>
              </w:rPr>
            </w:pPr>
            <w:r>
              <w:rPr>
                <w:rFonts w:ascii="Arial" w:cs="Arial" w:eastAsia="Arial" w:hAnsi="Arial"/>
                <w:sz w:val="14"/>
                <w:szCs w:val="14"/>
                <w:color w:val="auto"/>
              </w:rPr>
              <w:t xml:space="preserve">Commitments and contingencies </w:t>
            </w:r>
            <w:r>
              <w:rPr>
                <w:rFonts w:ascii="Arial" w:cs="Arial" w:eastAsia="Arial" w:hAnsi="Arial"/>
                <w:sz w:val="12"/>
                <w:szCs w:val="12"/>
                <w:color w:val="auto"/>
              </w:rPr>
              <w:t>(1)</w:t>
            </w:r>
          </w:p>
        </w:tc>
        <w:tc>
          <w:tcPr>
            <w:tcW w:w="1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560" w:type="dxa"/>
            <w:vAlign w:val="bottom"/>
            <w:gridSpan w:val="2"/>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Members' equity</w:t>
            </w:r>
          </w:p>
        </w:tc>
        <w:tc>
          <w:tcPr>
            <w:tcW w:w="140" w:type="dxa"/>
            <w:vAlign w:val="bottom"/>
            <w:tcBorders>
              <w:bottom w:val="single" w:sz="8" w:color="auto"/>
            </w:tcBorders>
            <w:shd w:val="clear" w:color="auto" w:fill="CCECFF"/>
          </w:tcPr>
          <w:p>
            <w:pPr>
              <w:spacing w:after="0"/>
              <w:rPr>
                <w:sz w:val="13"/>
                <w:szCs w:val="13"/>
                <w:color w:val="auto"/>
              </w:rPr>
            </w:pPr>
          </w:p>
        </w:tc>
        <w:tc>
          <w:tcPr>
            <w:tcW w:w="15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68,032,437</w:t>
            </w:r>
          </w:p>
        </w:tc>
        <w:tc>
          <w:tcPr>
            <w:tcW w:w="3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5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50,364,691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560" w:type="dxa"/>
            <w:vAlign w:val="bottom"/>
            <w:gridSpan w:val="2"/>
          </w:tcPr>
          <w:p>
            <w:pPr>
              <w:ind w:left="740"/>
              <w:spacing w:after="0" w:line="155" w:lineRule="exact"/>
              <w:rPr>
                <w:sz w:val="20"/>
                <w:szCs w:val="20"/>
                <w:color w:val="auto"/>
              </w:rPr>
            </w:pPr>
            <w:r>
              <w:rPr>
                <w:rFonts w:ascii="Arial" w:cs="Arial" w:eastAsia="Arial" w:hAnsi="Arial"/>
                <w:sz w:val="14"/>
                <w:szCs w:val="14"/>
                <w:b w:val="1"/>
                <w:bCs w:val="1"/>
                <w:color w:val="auto"/>
              </w:rPr>
              <w:t>Total liabilities and members' equity</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417,421,164</w:t>
            </w:r>
          </w:p>
        </w:tc>
        <w:tc>
          <w:tcPr>
            <w:tcW w:w="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361,780,085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120" w:type="dxa"/>
            <w:vAlign w:val="bottom"/>
            <w:tcBorders>
              <w:bottom w:val="single" w:sz="8" w:color="auto"/>
            </w:tcBorders>
          </w:tcPr>
          <w:p>
            <w:pPr>
              <w:spacing w:after="0"/>
              <w:rPr>
                <w:sz w:val="4"/>
                <w:szCs w:val="4"/>
                <w:color w:val="auto"/>
              </w:rPr>
            </w:pPr>
          </w:p>
        </w:tc>
        <w:tc>
          <w:tcPr>
            <w:tcW w:w="5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80" w:hanging="372"/>
        <w:spacing w:after="0" w:line="190" w:lineRule="auto"/>
        <w:tabs>
          <w:tab w:leader="none" w:pos="380" w:val="left"/>
        </w:tabs>
        <w:numPr>
          <w:ilvl w:val="0"/>
          <w:numId w:val="82"/>
        </w:numPr>
        <w:rPr>
          <w:rFonts w:ascii="Arial" w:cs="Arial" w:eastAsia="Arial" w:hAnsi="Arial"/>
          <w:sz w:val="20"/>
          <w:szCs w:val="20"/>
          <w:b w:val="1"/>
          <w:bCs w:val="1"/>
          <w:color w:val="auto"/>
          <w:vertAlign w:val="superscript"/>
        </w:rPr>
      </w:pPr>
      <w:r>
        <w:rPr>
          <w:rFonts w:ascii="Arial" w:cs="Arial" w:eastAsia="Arial" w:hAnsi="Arial"/>
          <w:sz w:val="12"/>
          <w:szCs w:val="12"/>
          <w:color w:val="auto"/>
        </w:rPr>
        <w:t>For the years ended of September 30, 2021 and 2020, PSLF did not have any unfunded commitments to fund investments.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800" w:type="dxa"/>
            <w:vAlign w:val="bottom"/>
            <w:gridSpan w:val="2"/>
          </w:tcPr>
          <w:p>
            <w:pPr>
              <w:jc w:val="right"/>
              <w:ind w:right="1448"/>
              <w:spacing w:after="0"/>
              <w:rPr>
                <w:sz w:val="20"/>
                <w:szCs w:val="20"/>
                <w:color w:val="auto"/>
              </w:rPr>
            </w:pPr>
            <w:r>
              <w:rPr>
                <w:rFonts w:ascii="Arial" w:cs="Arial" w:eastAsia="Arial" w:hAnsi="Arial"/>
                <w:sz w:val="14"/>
                <w:szCs w:val="14"/>
                <w:b w:val="1"/>
                <w:bCs w:val="1"/>
                <w:color w:val="auto"/>
              </w:rPr>
              <w:t xml:space="preserve">Statements of Operations </w:t>
            </w:r>
            <w:r>
              <w:rPr>
                <w:rFonts w:ascii="Arial" w:cs="Arial" w:eastAsia="Arial" w:hAnsi="Arial"/>
                <w:sz w:val="12"/>
                <w:szCs w:val="12"/>
                <w:b w:val="1"/>
                <w:bCs w:val="1"/>
                <w:color w:val="auto"/>
              </w:rPr>
              <w:t>(1)</w:t>
            </w:r>
          </w:p>
        </w:tc>
        <w:tc>
          <w:tcPr>
            <w:tcW w:w="16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3"/>
              </w:rPr>
              <w:t>Period Ended</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Period Ended</w:t>
            </w:r>
          </w:p>
        </w:tc>
        <w:tc>
          <w:tcPr>
            <w:tcW w:w="0" w:type="dxa"/>
            <w:vAlign w:val="bottom"/>
          </w:tcPr>
          <w:p>
            <w:pPr>
              <w:spacing w:after="0"/>
              <w:rPr>
                <w:sz w:val="1"/>
                <w:szCs w:val="1"/>
                <w:color w:val="auto"/>
              </w:rPr>
            </w:pPr>
          </w:p>
        </w:tc>
      </w:tr>
      <w:tr>
        <w:trPr>
          <w:trHeight w:val="124"/>
        </w:trPr>
        <w:tc>
          <w:tcPr>
            <w:tcW w:w="21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55"/>
        </w:trPr>
        <w:tc>
          <w:tcPr>
            <w:tcW w:w="2120" w:type="dxa"/>
            <w:vAlign w:val="bottom"/>
            <w:tcBorders>
              <w:bottom w:val="single" w:sz="8" w:color="CCECFF"/>
            </w:tcBorders>
          </w:tcPr>
          <w:p>
            <w:pPr>
              <w:spacing w:after="0"/>
              <w:rPr>
                <w:sz w:val="13"/>
                <w:szCs w:val="13"/>
                <w:color w:val="auto"/>
              </w:rPr>
            </w:pPr>
          </w:p>
        </w:tc>
        <w:tc>
          <w:tcPr>
            <w:tcW w:w="2020" w:type="dxa"/>
            <w:vAlign w:val="bottom"/>
            <w:tcBorders>
              <w:bottom w:val="single" w:sz="8" w:color="CCECFF"/>
            </w:tcBorders>
          </w:tcPr>
          <w:p>
            <w:pPr>
              <w:spacing w:after="0"/>
              <w:rPr>
                <w:sz w:val="13"/>
                <w:szCs w:val="13"/>
                <w:color w:val="auto"/>
              </w:rPr>
            </w:pPr>
          </w:p>
        </w:tc>
        <w:tc>
          <w:tcPr>
            <w:tcW w:w="3600" w:type="dxa"/>
            <w:vAlign w:val="bottom"/>
            <w:tcBorders>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center"/>
              <w:ind w:right="148"/>
              <w:spacing w:after="0" w:line="155" w:lineRule="exact"/>
              <w:rPr>
                <w:sz w:val="20"/>
                <w:szCs w:val="20"/>
                <w:color w:val="auto"/>
              </w:rPr>
            </w:pPr>
            <w:r>
              <w:rPr>
                <w:rFonts w:ascii="Arial" w:cs="Arial" w:eastAsia="Arial" w:hAnsi="Arial"/>
                <w:sz w:val="14"/>
                <w:szCs w:val="14"/>
                <w:b w:val="1"/>
                <w:bCs w:val="1"/>
                <w:color w:val="auto"/>
                <w:w w:val="96"/>
              </w:rPr>
              <w:t>2021</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center"/>
              <w:ind w:right="148"/>
              <w:spacing w:after="0" w:line="155"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4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36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3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3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40" w:type="dxa"/>
            <w:vAlign w:val="bottom"/>
            <w:gridSpan w:val="2"/>
          </w:tcPr>
          <w:p>
            <w:pPr>
              <w:ind w:left="260"/>
              <w:spacing w:after="0"/>
              <w:rPr>
                <w:sz w:val="20"/>
                <w:szCs w:val="20"/>
                <w:color w:val="auto"/>
              </w:rPr>
            </w:pPr>
            <w:r>
              <w:rPr>
                <w:rFonts w:ascii="Arial" w:cs="Arial" w:eastAsia="Arial" w:hAnsi="Arial"/>
                <w:sz w:val="14"/>
                <w:szCs w:val="14"/>
                <w:color w:val="auto"/>
              </w:rPr>
              <w:t>Interest</w:t>
            </w:r>
          </w:p>
        </w:tc>
        <w:tc>
          <w:tcPr>
            <w:tcW w:w="38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27,489,180</w:t>
            </w:r>
          </w:p>
        </w:tc>
        <w:tc>
          <w:tcPr>
            <w:tcW w:w="280" w:type="dxa"/>
            <w:vAlign w:val="bottom"/>
          </w:tcPr>
          <w:p>
            <w:pPr>
              <w:spacing w:after="0"/>
              <w:rPr>
                <w:sz w:val="14"/>
                <w:szCs w:val="14"/>
                <w:color w:val="auto"/>
              </w:rPr>
            </w:pPr>
          </w:p>
        </w:tc>
        <w:tc>
          <w:tcPr>
            <w:tcW w:w="200" w:type="dxa"/>
            <w:vAlign w:val="bottom"/>
            <w:gridSpan w:val="2"/>
          </w:tcPr>
          <w:p>
            <w:pPr>
              <w:jc w:val="right"/>
              <w:ind w:right="69"/>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4,504,788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360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13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1,802,790</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13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2,444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40" w:type="dxa"/>
            <w:vAlign w:val="bottom"/>
            <w:tcBorders>
              <w:bottom w:val="single" w:sz="8" w:color="CCECFF"/>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360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29,291,970</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4,507,232</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4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36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3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3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40" w:type="dxa"/>
            <w:vAlign w:val="bottom"/>
            <w:gridSpan w:val="2"/>
          </w:tcPr>
          <w:p>
            <w:pPr>
              <w:ind w:left="260"/>
              <w:spacing w:after="0"/>
              <w:rPr>
                <w:sz w:val="20"/>
                <w:szCs w:val="20"/>
                <w:color w:val="auto"/>
              </w:rPr>
            </w:pPr>
            <w:r>
              <w:rPr>
                <w:rFonts w:ascii="Arial" w:cs="Arial" w:eastAsia="Arial" w:hAnsi="Arial"/>
                <w:sz w:val="14"/>
                <w:szCs w:val="14"/>
                <w:color w:val="auto"/>
              </w:rPr>
              <w:t>Interest and expenses on credit facility</w:t>
            </w:r>
          </w:p>
        </w:tc>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6,283,544</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1,039,327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Interest expense on members notes</w:t>
            </w:r>
          </w:p>
        </w:tc>
        <w:tc>
          <w:tcPr>
            <w:tcW w:w="36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9,532,516</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1,356,250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gridSpan w:val="2"/>
          </w:tcPr>
          <w:p>
            <w:pPr>
              <w:ind w:left="260"/>
              <w:spacing w:after="0"/>
              <w:rPr>
                <w:sz w:val="20"/>
                <w:szCs w:val="20"/>
                <w:color w:val="auto"/>
              </w:rPr>
            </w:pPr>
            <w:r>
              <w:rPr>
                <w:rFonts w:ascii="Arial" w:cs="Arial" w:eastAsia="Arial" w:hAnsi="Arial"/>
                <w:sz w:val="14"/>
                <w:szCs w:val="14"/>
                <w:color w:val="auto"/>
              </w:rPr>
              <w:t>Administrative services expenses</w:t>
            </w:r>
          </w:p>
        </w:tc>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1,171,860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195,310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 xml:space="preserve">Other general and administrative expenses </w:t>
            </w:r>
            <w:r>
              <w:rPr>
                <w:rFonts w:ascii="Arial" w:cs="Arial" w:eastAsia="Arial" w:hAnsi="Arial"/>
                <w:sz w:val="12"/>
                <w:szCs w:val="12"/>
                <w:color w:val="auto"/>
              </w:rPr>
              <w:t>(2)</w:t>
            </w:r>
          </w:p>
        </w:tc>
        <w:tc>
          <w:tcPr>
            <w:tcW w:w="360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13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446,588</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13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120,266</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40" w:type="dxa"/>
            <w:vAlign w:val="bottom"/>
            <w:tcBorders>
              <w:bottom w:val="single" w:sz="8" w:color="CCECFF"/>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360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17,434,508</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2,711,153</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40" w:type="dxa"/>
            <w:vAlign w:val="bottom"/>
            <w:gridSpan w:val="2"/>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360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13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11,857,462</w:t>
            </w: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13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1,796,079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Realized and unrealized gain on investments:</w:t>
            </w:r>
          </w:p>
        </w:tc>
        <w:tc>
          <w:tcPr>
            <w:tcW w:w="3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Net realized gain on investments</w:t>
            </w:r>
          </w:p>
        </w:tc>
        <w:tc>
          <w:tcPr>
            <w:tcW w:w="36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544,547</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254,653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Net change in unrealized appreciation on investments</w:t>
            </w:r>
          </w:p>
        </w:tc>
        <w:tc>
          <w:tcPr>
            <w:tcW w:w="360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4,880,137</w:t>
            </w:r>
          </w:p>
        </w:tc>
        <w:tc>
          <w:tcPr>
            <w:tcW w:w="28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2,173,436</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4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realized and unrealized gain from investments</w:t>
            </w:r>
          </w:p>
        </w:tc>
        <w:tc>
          <w:tcPr>
            <w:tcW w:w="360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13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5,424,684</w:t>
            </w: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13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2,428,089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increase in members' equity resulting from operations</w:t>
            </w:r>
          </w:p>
        </w:tc>
        <w:tc>
          <w:tcPr>
            <w:tcW w:w="360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17,282,146</w:t>
            </w:r>
          </w:p>
        </w:tc>
        <w:tc>
          <w:tcPr>
            <w:tcW w:w="2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4,224,168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120" w:type="dxa"/>
            <w:vAlign w:val="bottom"/>
            <w:tcBorders>
              <w:bottom w:val="single" w:sz="8" w:color="auto"/>
            </w:tcBorders>
          </w:tcPr>
          <w:p>
            <w:pPr>
              <w:spacing w:after="0"/>
              <w:rPr>
                <w:sz w:val="4"/>
                <w:szCs w:val="4"/>
                <w:color w:val="auto"/>
              </w:rPr>
            </w:pPr>
          </w:p>
        </w:tc>
        <w:tc>
          <w:tcPr>
            <w:tcW w:w="2020" w:type="dxa"/>
            <w:vAlign w:val="bottom"/>
          </w:tcPr>
          <w:p>
            <w:pPr>
              <w:spacing w:after="0"/>
              <w:rPr>
                <w:sz w:val="4"/>
                <w:szCs w:val="4"/>
                <w:color w:val="auto"/>
              </w:rPr>
            </w:pPr>
          </w:p>
        </w:tc>
        <w:tc>
          <w:tcPr>
            <w:tcW w:w="3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80" w:hanging="372"/>
        <w:spacing w:after="0" w:line="190" w:lineRule="auto"/>
        <w:tabs>
          <w:tab w:leader="none" w:pos="380" w:val="left"/>
        </w:tabs>
        <w:numPr>
          <w:ilvl w:val="0"/>
          <w:numId w:val="83"/>
        </w:numPr>
        <w:rPr>
          <w:rFonts w:ascii="Arial" w:cs="Arial" w:eastAsia="Arial" w:hAnsi="Arial"/>
          <w:sz w:val="20"/>
          <w:szCs w:val="20"/>
          <w:b w:val="1"/>
          <w:bCs w:val="1"/>
          <w:color w:val="auto"/>
          <w:vertAlign w:val="superscript"/>
        </w:rPr>
      </w:pPr>
      <w:r>
        <w:rPr>
          <w:rFonts w:ascii="Arial" w:cs="Arial" w:eastAsia="Arial" w:hAnsi="Arial"/>
          <w:sz w:val="12"/>
          <w:szCs w:val="12"/>
          <w:color w:val="auto"/>
        </w:rPr>
        <w:t>PSLF commenced operations on July 31, 2020.</w:t>
      </w:r>
    </w:p>
    <w:p>
      <w:pPr>
        <w:spacing w:after="0" w:line="37" w:lineRule="exact"/>
        <w:rPr>
          <w:rFonts w:ascii="Arial" w:cs="Arial" w:eastAsia="Arial" w:hAnsi="Arial"/>
          <w:sz w:val="20"/>
          <w:szCs w:val="20"/>
          <w:b w:val="1"/>
          <w:bCs w:val="1"/>
          <w:color w:val="auto"/>
          <w:vertAlign w:val="superscript"/>
        </w:rPr>
      </w:pPr>
    </w:p>
    <w:p>
      <w:pPr>
        <w:ind w:left="380" w:hanging="372"/>
        <w:spacing w:after="0" w:line="180" w:lineRule="auto"/>
        <w:tabs>
          <w:tab w:leader="none" w:pos="380" w:val="left"/>
        </w:tabs>
        <w:numPr>
          <w:ilvl w:val="0"/>
          <w:numId w:val="83"/>
        </w:numPr>
        <w:rPr>
          <w:rFonts w:ascii="Arial" w:cs="Arial" w:eastAsia="Arial" w:hAnsi="Arial"/>
          <w:sz w:val="16"/>
          <w:szCs w:val="16"/>
          <w:b w:val="1"/>
          <w:bCs w:val="1"/>
          <w:color w:val="auto"/>
          <w:vertAlign w:val="superscript"/>
        </w:rPr>
      </w:pPr>
      <w:r>
        <w:rPr>
          <w:rFonts w:ascii="Arial" w:cs="Arial" w:eastAsia="Arial" w:hAnsi="Arial"/>
          <w:sz w:val="10"/>
          <w:szCs w:val="10"/>
          <w:color w:val="auto"/>
        </w:rPr>
        <w:t>No management or incentive fees are payable by PSLF.</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40"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560"/>
        <w:spacing w:after="0"/>
        <w:tabs>
          <w:tab w:leader="none" w:pos="13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380" w:right="280" w:hanging="809"/>
        <w:spacing w:after="0" w:line="290" w:lineRule="auto"/>
        <w:tabs>
          <w:tab w:leader="none" w:pos="136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560"/>
        <w:spacing w:after="0"/>
        <w:tabs>
          <w:tab w:leader="none" w:pos="13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400" w:firstLine="438"/>
        <w:spacing w:after="0" w:line="25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our Credit Facilities and our SBA debentures are classified as Level 3. Our 2024 Notes are classified as Level 1 and our 2026 Notes are classified as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jc w:val="center"/>
        <w:ind w:right="20"/>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rPr>
          <w:sz w:val="20"/>
          <w:szCs w:val="20"/>
          <w:color w:val="auto"/>
        </w:rPr>
      </w:pPr>
      <w:r>
        <w:rPr>
          <w:rFonts w:ascii="Arial" w:cs="Arial" w:eastAsia="Arial" w:hAnsi="Arial"/>
          <w:sz w:val="14"/>
          <w:szCs w:val="14"/>
          <w:b w:val="1"/>
          <w:bCs w:val="1"/>
          <w:color w:val="auto"/>
        </w:rPr>
        <w:t>SEPTEMBER 30, 2021</w:t>
      </w:r>
    </w:p>
    <w:p>
      <w:pPr>
        <w:spacing w:after="0" w:line="354" w:lineRule="exact"/>
        <w:rPr>
          <w:sz w:val="20"/>
          <w:szCs w:val="20"/>
          <w:color w:val="auto"/>
        </w:rPr>
      </w:pPr>
    </w:p>
    <w:p>
      <w:pPr>
        <w:ind w:right="200"/>
        <w:spacing w:after="0" w:line="253" w:lineRule="auto"/>
        <w:rPr>
          <w:sz w:val="20"/>
          <w:szCs w:val="20"/>
          <w:color w:val="auto"/>
        </w:rPr>
      </w:pPr>
      <w:r>
        <w:rPr>
          <w:rFonts w:ascii="Arial" w:cs="Arial" w:eastAsia="Arial" w:hAnsi="Arial"/>
          <w:sz w:val="14"/>
          <w:szCs w:val="14"/>
          <w:color w:val="auto"/>
        </w:rPr>
        <w:t>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93"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16"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16" w:lineRule="exact"/>
        <w:rPr>
          <w:sz w:val="20"/>
          <w:szCs w:val="20"/>
          <w:color w:val="auto"/>
        </w:rPr>
      </w:pPr>
    </w:p>
    <w:p>
      <w:pPr>
        <w:ind w:right="300" w:firstLine="438"/>
        <w:spacing w:after="0" w:line="25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w:t>
      </w:r>
    </w:p>
    <w:p>
      <w:pPr>
        <w:spacing w:after="0" w:line="93"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In addition to using the above inputs to value cash equivalents, investments, our 2019 Notes, our SBA debentures, our 2024 Notes, our 2026 Notes and our Credit Facilities,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15" w:lineRule="exact"/>
        <w:rPr>
          <w:sz w:val="20"/>
          <w:szCs w:val="20"/>
          <w:color w:val="auto"/>
        </w:rPr>
      </w:pPr>
    </w:p>
    <w:p>
      <w:pPr>
        <w:jc w:val="both"/>
        <w:ind w:right="160" w:firstLine="438"/>
        <w:spacing w:after="0" w:line="251"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In accordance with ASC 820, we do not categorize any investments for which fair value is measured using the net asset value per share within the fair value hierarchy.</w:t>
      </w:r>
    </w:p>
    <w:p>
      <w:pPr>
        <w:spacing w:after="0" w:line="109" w:lineRule="exact"/>
        <w:rPr>
          <w:sz w:val="20"/>
          <w:szCs w:val="20"/>
          <w:color w:val="auto"/>
        </w:rPr>
      </w:pPr>
    </w:p>
    <w:p>
      <w:pPr>
        <w:ind w:right="80" w:firstLine="438"/>
        <w:spacing w:after="0" w:line="225" w:lineRule="auto"/>
        <w:rPr>
          <w:sz w:val="20"/>
          <w:szCs w:val="20"/>
          <w:color w:val="auto"/>
        </w:rPr>
      </w:pPr>
      <w:r>
        <w:rPr>
          <w:rFonts w:ascii="Arial" w:cs="Arial" w:eastAsia="Arial" w:hAnsi="Arial"/>
          <w:sz w:val="14"/>
          <w:szCs w:val="14"/>
          <w:color w:val="auto"/>
        </w:rPr>
        <w:t>The remainder of our investment portfolio and our long-term Credit Facilities are valued using a market comparable or an enterprise market value technique.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ind w:right="348"/>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14"/>
                <w:szCs w:val="14"/>
                <w:color w:val="auto"/>
              </w:rPr>
            </w:pPr>
          </w:p>
        </w:tc>
        <w:tc>
          <w:tcPr>
            <w:tcW w:w="22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Valuation Technique</w:t>
            </w: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25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b w:val="1"/>
                <w:bCs w:val="1"/>
                <w:color w:val="auto"/>
                <w:w w:val="94"/>
              </w:rPr>
              <w:t>September 30, 2021</w:t>
            </w:r>
          </w:p>
        </w:tc>
        <w:tc>
          <w:tcPr>
            <w:tcW w:w="26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1"/>
              </w:rPr>
              <w:t xml:space="preserve">(Weighted Average) </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55"/>
        </w:trPr>
        <w:tc>
          <w:tcPr>
            <w:tcW w:w="2580" w:type="dxa"/>
            <w:vAlign w:val="bottom"/>
            <w:tcBorders>
              <w:top w:val="single" w:sz="8" w:color="auto"/>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90,266,035</w:t>
            </w:r>
          </w:p>
        </w:tc>
        <w:tc>
          <w:tcPr>
            <w:tcW w:w="2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222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2580" w:type="dxa"/>
            <w:vAlign w:val="bottom"/>
            <w:gridSpan w:val="2"/>
          </w:tcPr>
          <w:p>
            <w:pPr>
              <w:spacing w:after="0"/>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462,264,033</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80"/>
              <w:spacing w:after="0"/>
              <w:rPr>
                <w:sz w:val="20"/>
                <w:szCs w:val="20"/>
                <w:color w:val="auto"/>
              </w:rPr>
            </w:pPr>
            <w:r>
              <w:rPr>
                <w:rFonts w:ascii="Arial" w:cs="Arial" w:eastAsia="Arial" w:hAnsi="Arial"/>
                <w:sz w:val="14"/>
                <w:szCs w:val="14"/>
                <w:color w:val="auto"/>
                <w:w w:val="98"/>
              </w:rPr>
              <w:t>Market yield</w:t>
            </w:r>
          </w:p>
        </w:tc>
        <w:tc>
          <w:tcPr>
            <w:tcW w:w="2220" w:type="dxa"/>
            <w:vAlign w:val="bottom"/>
          </w:tcPr>
          <w:p>
            <w:pPr>
              <w:jc w:val="center"/>
              <w:spacing w:after="0"/>
              <w:rPr>
                <w:sz w:val="20"/>
                <w:szCs w:val="20"/>
                <w:color w:val="auto"/>
              </w:rPr>
            </w:pPr>
            <w:r>
              <w:rPr>
                <w:rFonts w:ascii="Arial" w:cs="Arial" w:eastAsia="Arial" w:hAnsi="Arial"/>
                <w:sz w:val="14"/>
                <w:szCs w:val="14"/>
                <w:color w:val="auto"/>
                <w:w w:val="93"/>
              </w:rPr>
              <w:t>6.1% – 13.1% (8.1%)</w:t>
            </w:r>
          </w:p>
        </w:tc>
        <w:tc>
          <w:tcPr>
            <w:tcW w:w="0" w:type="dxa"/>
            <w:vAlign w:val="bottom"/>
          </w:tcPr>
          <w:p>
            <w:pPr>
              <w:spacing w:after="0"/>
              <w:rPr>
                <w:sz w:val="1"/>
                <w:szCs w:val="1"/>
                <w:color w:val="auto"/>
              </w:rPr>
            </w:pPr>
          </w:p>
        </w:tc>
      </w:tr>
      <w:tr>
        <w:trPr>
          <w:trHeight w:val="162"/>
        </w:trPr>
        <w:tc>
          <w:tcPr>
            <w:tcW w:w="25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Second lien</w:t>
            </w:r>
          </w:p>
        </w:tc>
        <w:tc>
          <w:tcPr>
            <w:tcW w:w="1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39,297,500</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Broker/Dealer bids or quotes</w:t>
            </w:r>
          </w:p>
        </w:tc>
        <w:tc>
          <w:tcPr>
            <w:tcW w:w="2220" w:type="dxa"/>
            <w:vAlign w:val="bottom"/>
            <w:shd w:val="clear" w:color="auto" w:fill="CCEC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258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126,509,070</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80"/>
              <w:spacing w:after="0"/>
              <w:rPr>
                <w:sz w:val="20"/>
                <w:szCs w:val="20"/>
                <w:color w:val="auto"/>
              </w:rPr>
            </w:pPr>
            <w:r>
              <w:rPr>
                <w:rFonts w:ascii="Arial" w:cs="Arial" w:eastAsia="Arial" w:hAnsi="Arial"/>
                <w:sz w:val="14"/>
                <w:szCs w:val="14"/>
                <w:color w:val="auto"/>
                <w:w w:val="98"/>
              </w:rPr>
              <w:t>Market yield</w:t>
            </w:r>
          </w:p>
        </w:tc>
        <w:tc>
          <w:tcPr>
            <w:tcW w:w="2220" w:type="dxa"/>
            <w:vAlign w:val="bottom"/>
          </w:tcPr>
          <w:p>
            <w:pPr>
              <w:jc w:val="center"/>
              <w:spacing w:after="0"/>
              <w:rPr>
                <w:sz w:val="20"/>
                <w:szCs w:val="20"/>
                <w:color w:val="auto"/>
              </w:rPr>
            </w:pPr>
            <w:r>
              <w:rPr>
                <w:rFonts w:ascii="Arial" w:cs="Arial" w:eastAsia="Arial" w:hAnsi="Arial"/>
                <w:sz w:val="14"/>
                <w:szCs w:val="14"/>
                <w:color w:val="auto"/>
                <w:w w:val="93"/>
              </w:rPr>
              <w:t>10.3% – 11.5% (10.7%)</w:t>
            </w:r>
          </w:p>
        </w:tc>
        <w:tc>
          <w:tcPr>
            <w:tcW w:w="0" w:type="dxa"/>
            <w:vAlign w:val="bottom"/>
          </w:tcPr>
          <w:p>
            <w:pPr>
              <w:spacing w:after="0"/>
              <w:rPr>
                <w:sz w:val="1"/>
                <w:szCs w:val="1"/>
                <w:color w:val="auto"/>
              </w:rPr>
            </w:pPr>
          </w:p>
        </w:tc>
      </w:tr>
      <w:tr>
        <w:trPr>
          <w:trHeight w:val="162"/>
        </w:trPr>
        <w:tc>
          <w:tcPr>
            <w:tcW w:w="25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Second lien</w:t>
            </w:r>
          </w:p>
        </w:tc>
        <w:tc>
          <w:tcPr>
            <w:tcW w:w="1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11,086,944</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rPr>
              <w:t>EBITDA multiple</w:t>
            </w:r>
          </w:p>
        </w:tc>
        <w:tc>
          <w:tcPr>
            <w:tcW w:w="222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8"/>
              </w:rPr>
              <w:t>5.4x</w:t>
            </w:r>
          </w:p>
        </w:tc>
        <w:tc>
          <w:tcPr>
            <w:tcW w:w="0" w:type="dxa"/>
            <w:vAlign w:val="bottom"/>
          </w:tcPr>
          <w:p>
            <w:pPr>
              <w:spacing w:after="0"/>
              <w:rPr>
                <w:sz w:val="1"/>
                <w:szCs w:val="1"/>
                <w:color w:val="auto"/>
              </w:rPr>
            </w:pPr>
          </w:p>
        </w:tc>
      </w:tr>
      <w:tr>
        <w:trPr>
          <w:trHeight w:val="162"/>
        </w:trPr>
        <w:tc>
          <w:tcPr>
            <w:tcW w:w="2580" w:type="dxa"/>
            <w:vAlign w:val="bottom"/>
            <w:gridSpan w:val="2"/>
          </w:tcPr>
          <w:p>
            <w:pPr>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121,169,566</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80"/>
              <w:spacing w:after="0"/>
              <w:rPr>
                <w:sz w:val="20"/>
                <w:szCs w:val="20"/>
                <w:color w:val="auto"/>
              </w:rPr>
            </w:pPr>
            <w:r>
              <w:rPr>
                <w:rFonts w:ascii="Arial" w:cs="Arial" w:eastAsia="Arial" w:hAnsi="Arial"/>
                <w:sz w:val="14"/>
                <w:szCs w:val="14"/>
                <w:color w:val="auto"/>
                <w:w w:val="98"/>
              </w:rPr>
              <w:t>Market yield</w:t>
            </w:r>
          </w:p>
        </w:tc>
        <w:tc>
          <w:tcPr>
            <w:tcW w:w="2220" w:type="dxa"/>
            <w:vAlign w:val="bottom"/>
          </w:tcPr>
          <w:p>
            <w:pPr>
              <w:jc w:val="center"/>
              <w:spacing w:after="0"/>
              <w:rPr>
                <w:sz w:val="20"/>
                <w:szCs w:val="20"/>
                <w:color w:val="auto"/>
              </w:rPr>
            </w:pPr>
            <w:r>
              <w:rPr>
                <w:rFonts w:ascii="Arial" w:cs="Arial" w:eastAsia="Arial" w:hAnsi="Arial"/>
                <w:sz w:val="14"/>
                <w:szCs w:val="14"/>
                <w:color w:val="auto"/>
                <w:w w:val="94"/>
              </w:rPr>
              <w:t>9.6% – 17.1% (12.5%)</w:t>
            </w:r>
          </w:p>
        </w:tc>
        <w:tc>
          <w:tcPr>
            <w:tcW w:w="0" w:type="dxa"/>
            <w:vAlign w:val="bottom"/>
          </w:tcPr>
          <w:p>
            <w:pPr>
              <w:spacing w:after="0"/>
              <w:rPr>
                <w:sz w:val="1"/>
                <w:szCs w:val="1"/>
                <w:color w:val="auto"/>
              </w:rPr>
            </w:pPr>
          </w:p>
        </w:tc>
      </w:tr>
      <w:tr>
        <w:trPr>
          <w:trHeight w:val="162"/>
        </w:trPr>
        <w:tc>
          <w:tcPr>
            <w:tcW w:w="25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278,486,160</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rPr>
              <w:t>EBITDA multiple</w:t>
            </w:r>
          </w:p>
        </w:tc>
        <w:tc>
          <w:tcPr>
            <w:tcW w:w="222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2.6x – 18.5x (8.5x)</w:t>
            </w:r>
          </w:p>
        </w:tc>
        <w:tc>
          <w:tcPr>
            <w:tcW w:w="0" w:type="dxa"/>
            <w:vAlign w:val="bottom"/>
          </w:tcPr>
          <w:p>
            <w:pPr>
              <w:spacing w:after="0"/>
              <w:rPr>
                <w:sz w:val="1"/>
                <w:szCs w:val="1"/>
                <w:color w:val="auto"/>
              </w:rPr>
            </w:pPr>
          </w:p>
        </w:tc>
      </w:tr>
      <w:tr>
        <w:trPr>
          <w:trHeight w:val="162"/>
        </w:trPr>
        <w:tc>
          <w:tcPr>
            <w:tcW w:w="2580" w:type="dxa"/>
            <w:vAlign w:val="bottom"/>
            <w:gridSpan w:val="2"/>
          </w:tcPr>
          <w:p>
            <w:pPr>
              <w:spacing w:after="0"/>
              <w:rPr>
                <w:sz w:val="20"/>
                <w:szCs w:val="20"/>
                <w:color w:val="auto"/>
              </w:rPr>
            </w:pPr>
            <w:r>
              <w:rPr>
                <w:rFonts w:ascii="Arial" w:cs="Arial" w:eastAsia="Arial" w:hAnsi="Arial"/>
                <w:sz w:val="14"/>
                <w:szCs w:val="14"/>
                <w:color w:val="auto"/>
              </w:rPr>
              <w:t>Equity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60,807,873</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rPr>
              <w:t>DLOM</w:t>
            </w:r>
            <w:r>
              <w:rPr>
                <w:rFonts w:ascii="Arial" w:cs="Arial" w:eastAsia="Arial" w:hAnsi="Arial"/>
                <w:sz w:val="12"/>
                <w:szCs w:val="12"/>
                <w:color w:val="auto"/>
              </w:rPr>
              <w:t>(2)</w:t>
            </w:r>
          </w:p>
        </w:tc>
        <w:tc>
          <w:tcPr>
            <w:tcW w:w="2220" w:type="dxa"/>
            <w:vAlign w:val="bottom"/>
          </w:tcPr>
          <w:p>
            <w:pPr>
              <w:jc w:val="center"/>
              <w:spacing w:after="0"/>
              <w:rPr>
                <w:sz w:val="20"/>
                <w:szCs w:val="20"/>
                <w:color w:val="auto"/>
              </w:rPr>
            </w:pPr>
            <w:r>
              <w:rPr>
                <w:rFonts w:ascii="Arial" w:cs="Arial" w:eastAsia="Arial" w:hAnsi="Arial"/>
                <w:sz w:val="14"/>
                <w:szCs w:val="14"/>
                <w:color w:val="auto"/>
                <w:w w:val="93"/>
              </w:rPr>
              <w:t>9.3%</w:t>
            </w:r>
          </w:p>
        </w:tc>
        <w:tc>
          <w:tcPr>
            <w:tcW w:w="0" w:type="dxa"/>
            <w:vAlign w:val="bottom"/>
          </w:tcPr>
          <w:p>
            <w:pPr>
              <w:spacing w:after="0"/>
              <w:rPr>
                <w:sz w:val="1"/>
                <w:szCs w:val="1"/>
                <w:color w:val="auto"/>
              </w:rPr>
            </w:pPr>
          </w:p>
        </w:tc>
      </w:tr>
      <w:tr>
        <w:trPr>
          <w:trHeight w:val="162"/>
        </w:trPr>
        <w:tc>
          <w:tcPr>
            <w:tcW w:w="25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4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21,133,488</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8"/>
              </w:rPr>
              <w:t>Market yield</w:t>
            </w:r>
          </w:p>
        </w:tc>
        <w:tc>
          <w:tcPr>
            <w:tcW w:w="222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20.4%</w:t>
            </w:r>
          </w:p>
        </w:tc>
        <w:tc>
          <w:tcPr>
            <w:tcW w:w="0" w:type="dxa"/>
            <w:vAlign w:val="bottom"/>
          </w:tcPr>
          <w:p>
            <w:pPr>
              <w:spacing w:after="0"/>
              <w:rPr>
                <w:sz w:val="1"/>
                <w:szCs w:val="1"/>
                <w:color w:val="auto"/>
              </w:rPr>
            </w:pPr>
          </w:p>
        </w:tc>
      </w:tr>
      <w:tr>
        <w:trPr>
          <w:trHeight w:val="195"/>
        </w:trPr>
        <w:tc>
          <w:tcPr>
            <w:tcW w:w="2580" w:type="dxa"/>
            <w:vAlign w:val="bottom"/>
            <w:tcBorders>
              <w:bottom w:val="single" w:sz="8" w:color="CCECFF"/>
            </w:tcBorders>
            <w:gridSpan w:val="2"/>
          </w:tcPr>
          <w:p>
            <w:pPr>
              <w:ind w:left="500"/>
              <w:spacing w:after="0" w:line="155" w:lineRule="exact"/>
              <w:rPr>
                <w:sz w:val="20"/>
                <w:szCs w:val="20"/>
                <w:color w:val="auto"/>
              </w:rPr>
            </w:pPr>
            <w:r>
              <w:rPr>
                <w:rFonts w:ascii="Arial" w:cs="Arial" w:eastAsia="Arial" w:hAnsi="Arial"/>
                <w:sz w:val="14"/>
                <w:szCs w:val="14"/>
                <w:color w:val="auto"/>
              </w:rPr>
              <w:t>Total Level 3 investments</w:t>
            </w:r>
          </w:p>
        </w:tc>
        <w:tc>
          <w:tcPr>
            <w:tcW w:w="160" w:type="dxa"/>
            <w:vAlign w:val="bottom"/>
            <w:tcBorders>
              <w:bottom w:val="single" w:sz="8" w:color="CCECFF"/>
            </w:tcBorders>
          </w:tcPr>
          <w:p>
            <w:pPr>
              <w:spacing w:after="0"/>
              <w:rPr>
                <w:sz w:val="17"/>
                <w:szCs w:val="17"/>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1,211,020,669</w:t>
            </w:r>
          </w:p>
        </w:tc>
        <w:tc>
          <w:tcPr>
            <w:tcW w:w="260" w:type="dxa"/>
            <w:vAlign w:val="bottom"/>
            <w:tcBorders>
              <w:bottom w:val="single" w:sz="8" w:color="CCECFF"/>
            </w:tcBorders>
          </w:tcPr>
          <w:p>
            <w:pPr>
              <w:spacing w:after="0"/>
              <w:rPr>
                <w:sz w:val="17"/>
                <w:szCs w:val="17"/>
                <w:color w:val="auto"/>
              </w:rPr>
            </w:pPr>
          </w:p>
        </w:tc>
        <w:tc>
          <w:tcPr>
            <w:tcW w:w="204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204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22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580" w:type="dxa"/>
            <w:vAlign w:val="bottom"/>
            <w:tcBorders>
              <w:bottom w:val="single" w:sz="8" w:color="CCECFF"/>
            </w:tcBorders>
            <w:gridSpan w:val="2"/>
            <w:shd w:val="clear" w:color="auto" w:fill="CCECFF"/>
          </w:tcPr>
          <w:p>
            <w:pPr>
              <w:spacing w:after="0" w:line="143" w:lineRule="exact"/>
              <w:rPr>
                <w:sz w:val="20"/>
                <w:szCs w:val="20"/>
                <w:color w:val="auto"/>
              </w:rPr>
            </w:pPr>
            <w:r>
              <w:rPr>
                <w:rFonts w:ascii="Arial" w:cs="Arial" w:eastAsia="Arial" w:hAnsi="Arial"/>
                <w:sz w:val="14"/>
                <w:szCs w:val="14"/>
                <w:color w:val="auto"/>
              </w:rPr>
              <w:t>Truist Credit Facility</w:t>
            </w:r>
          </w:p>
        </w:tc>
        <w:tc>
          <w:tcPr>
            <w:tcW w:w="16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314,813,145</w:t>
            </w:r>
          </w:p>
        </w:tc>
        <w:tc>
          <w:tcPr>
            <w:tcW w:w="260" w:type="dxa"/>
            <w:vAlign w:val="bottom"/>
            <w:tcBorders>
              <w:bottom w:val="single" w:sz="8" w:color="CCECFF"/>
            </w:tcBorders>
            <w:shd w:val="clear" w:color="auto" w:fill="CCECFF"/>
          </w:tcPr>
          <w:p>
            <w:pPr>
              <w:spacing w:after="0"/>
              <w:rPr>
                <w:sz w:val="12"/>
                <w:szCs w:val="12"/>
                <w:color w:val="auto"/>
              </w:rPr>
            </w:pPr>
          </w:p>
        </w:tc>
        <w:tc>
          <w:tcPr>
            <w:tcW w:w="220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4"/>
              </w:rPr>
              <w:t>Market Comparable</w:t>
            </w:r>
          </w:p>
        </w:tc>
        <w:tc>
          <w:tcPr>
            <w:tcW w:w="2200" w:type="dxa"/>
            <w:vAlign w:val="bottom"/>
            <w:tcBorders>
              <w:bottom w:val="single" w:sz="8" w:color="CCECFF"/>
            </w:tcBorders>
            <w:gridSpan w:val="2"/>
            <w:shd w:val="clear" w:color="auto" w:fill="CCECFF"/>
          </w:tcPr>
          <w:p>
            <w:pPr>
              <w:jc w:val="center"/>
              <w:ind w:right="180"/>
              <w:spacing w:after="0" w:line="143" w:lineRule="exact"/>
              <w:rPr>
                <w:sz w:val="20"/>
                <w:szCs w:val="20"/>
                <w:color w:val="auto"/>
              </w:rPr>
            </w:pPr>
            <w:r>
              <w:rPr>
                <w:rFonts w:ascii="Arial" w:cs="Arial" w:eastAsia="Arial" w:hAnsi="Arial"/>
                <w:sz w:val="14"/>
                <w:szCs w:val="14"/>
                <w:color w:val="auto"/>
                <w:w w:val="98"/>
              </w:rPr>
              <w:t>Market yield</w:t>
            </w:r>
          </w:p>
        </w:tc>
        <w:tc>
          <w:tcPr>
            <w:tcW w:w="2220" w:type="dxa"/>
            <w:vAlign w:val="bottom"/>
            <w:tcBorders>
              <w:bottom w:val="single" w:sz="8" w:color="CCECFF"/>
            </w:tcBorders>
            <w:shd w:val="clear" w:color="auto" w:fill="CCECFF"/>
          </w:tcPr>
          <w:p>
            <w:pPr>
              <w:jc w:val="center"/>
              <w:spacing w:after="0" w:line="143" w:lineRule="exact"/>
              <w:rPr>
                <w:sz w:val="20"/>
                <w:szCs w:val="20"/>
                <w:color w:val="auto"/>
              </w:rPr>
            </w:pPr>
            <w:r>
              <w:rPr>
                <w:rFonts w:ascii="Arial" w:cs="Arial" w:eastAsia="Arial" w:hAnsi="Arial"/>
                <w:sz w:val="14"/>
                <w:szCs w:val="14"/>
                <w:color w:val="auto"/>
                <w:w w:val="93"/>
              </w:rPr>
              <w:t>2.4%</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120" w:type="dxa"/>
            <w:vAlign w:val="bottom"/>
            <w:tcBorders>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2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80" w:hanging="372"/>
        <w:spacing w:after="0" w:line="190" w:lineRule="auto"/>
        <w:tabs>
          <w:tab w:leader="none" w:pos="380" w:val="left"/>
        </w:tabs>
        <w:numPr>
          <w:ilvl w:val="0"/>
          <w:numId w:val="84"/>
        </w:numPr>
        <w:rPr>
          <w:rFonts w:ascii="Arial" w:cs="Arial" w:eastAsia="Arial" w:hAnsi="Arial"/>
          <w:sz w:val="20"/>
          <w:szCs w:val="20"/>
          <w:b w:val="1"/>
          <w:bCs w:val="1"/>
          <w:color w:val="auto"/>
          <w:vertAlign w:val="superscript"/>
        </w:rPr>
      </w:pPr>
      <w:r>
        <w:rPr>
          <w:rFonts w:ascii="Arial" w:cs="Arial" w:eastAsia="Arial" w:hAnsi="Arial"/>
          <w:sz w:val="12"/>
          <w:szCs w:val="12"/>
          <w:color w:val="auto"/>
        </w:rPr>
        <w:t>The weighted averages disclosed in the table above were weighted by their relative fair value.</w:t>
      </w:r>
    </w:p>
    <w:p>
      <w:pPr>
        <w:spacing w:after="0" w:line="37" w:lineRule="exact"/>
        <w:rPr>
          <w:rFonts w:ascii="Arial" w:cs="Arial" w:eastAsia="Arial" w:hAnsi="Arial"/>
          <w:sz w:val="20"/>
          <w:szCs w:val="20"/>
          <w:b w:val="1"/>
          <w:bCs w:val="1"/>
          <w:color w:val="auto"/>
          <w:vertAlign w:val="superscript"/>
        </w:rPr>
      </w:pPr>
    </w:p>
    <w:p>
      <w:pPr>
        <w:ind w:left="380" w:hanging="372"/>
        <w:spacing w:after="0" w:line="180" w:lineRule="auto"/>
        <w:tabs>
          <w:tab w:leader="none" w:pos="380" w:val="left"/>
        </w:tabs>
        <w:numPr>
          <w:ilvl w:val="0"/>
          <w:numId w:val="84"/>
        </w:numPr>
        <w:rPr>
          <w:rFonts w:ascii="Arial" w:cs="Arial" w:eastAsia="Arial" w:hAnsi="Arial"/>
          <w:sz w:val="16"/>
          <w:szCs w:val="16"/>
          <w:b w:val="1"/>
          <w:bCs w:val="1"/>
          <w:color w:val="auto"/>
          <w:vertAlign w:val="superscript"/>
        </w:rPr>
      </w:pPr>
      <w:r>
        <w:rPr>
          <w:rFonts w:ascii="Arial" w:cs="Arial" w:eastAsia="Arial" w:hAnsi="Arial"/>
          <w:sz w:val="10"/>
          <w:szCs w:val="10"/>
          <w:color w:val="auto"/>
        </w:rPr>
        <w:t>DLOM is defined as discount for lack of marketability</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ind w:right="348"/>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14"/>
                <w:szCs w:val="14"/>
                <w:color w:val="auto"/>
              </w:rPr>
            </w:pPr>
          </w:p>
        </w:tc>
        <w:tc>
          <w:tcPr>
            <w:tcW w:w="22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Valuation Technique</w:t>
            </w: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b w:val="1"/>
                <w:bCs w:val="1"/>
                <w:color w:val="auto"/>
                <w:w w:val="94"/>
              </w:rPr>
              <w:t>September 30, 2020</w:t>
            </w:r>
          </w:p>
        </w:tc>
        <w:tc>
          <w:tcPr>
            <w:tcW w:w="26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1"/>
              </w:rPr>
              <w:t xml:space="preserve">(Weighted Average) </w:t>
            </w:r>
            <w:r>
              <w:rPr>
                <w:rFonts w:ascii="Arial" w:cs="Arial" w:eastAsia="Arial" w:hAnsi="Arial"/>
                <w:sz w:val="12"/>
                <w:szCs w:val="12"/>
                <w:b w:val="1"/>
                <w:bCs w:val="1"/>
                <w:color w:val="auto"/>
                <w:w w:val="91"/>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580" w:type="dxa"/>
            <w:vAlign w:val="bottom"/>
            <w:tcBorders>
              <w:top w:val="single" w:sz="8" w:color="auto"/>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38,794,224</w:t>
            </w:r>
          </w:p>
        </w:tc>
        <w:tc>
          <w:tcPr>
            <w:tcW w:w="2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222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80" w:type="dxa"/>
            <w:vAlign w:val="bottom"/>
            <w:gridSpan w:val="2"/>
          </w:tcPr>
          <w:p>
            <w:pPr>
              <w:spacing w:after="0"/>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400,218,858</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80"/>
              <w:spacing w:after="0"/>
              <w:rPr>
                <w:sz w:val="20"/>
                <w:szCs w:val="20"/>
                <w:color w:val="auto"/>
              </w:rPr>
            </w:pPr>
            <w:r>
              <w:rPr>
                <w:rFonts w:ascii="Arial" w:cs="Arial" w:eastAsia="Arial" w:hAnsi="Arial"/>
                <w:sz w:val="14"/>
                <w:szCs w:val="14"/>
                <w:color w:val="auto"/>
                <w:w w:val="98"/>
              </w:rPr>
              <w:t>Market yield</w:t>
            </w:r>
          </w:p>
        </w:tc>
        <w:tc>
          <w:tcPr>
            <w:tcW w:w="2220" w:type="dxa"/>
            <w:vAlign w:val="bottom"/>
          </w:tcPr>
          <w:p>
            <w:pPr>
              <w:jc w:val="center"/>
              <w:spacing w:after="0"/>
              <w:rPr>
                <w:sz w:val="20"/>
                <w:szCs w:val="20"/>
                <w:color w:val="auto"/>
              </w:rPr>
            </w:pPr>
            <w:r>
              <w:rPr>
                <w:rFonts w:ascii="Arial" w:cs="Arial" w:eastAsia="Arial" w:hAnsi="Arial"/>
                <w:sz w:val="14"/>
                <w:szCs w:val="14"/>
                <w:color w:val="auto"/>
                <w:w w:val="93"/>
              </w:rPr>
              <w:t>6.4% – 15.0% (9.0%)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Second lien</w:t>
            </w:r>
          </w:p>
        </w:tc>
        <w:tc>
          <w:tcPr>
            <w:tcW w:w="1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202,060,703</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8"/>
              </w:rPr>
              <w:t>Market yield</w:t>
            </w:r>
          </w:p>
        </w:tc>
        <w:tc>
          <w:tcPr>
            <w:tcW w:w="222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8.4% – 11.0% (10.0%)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18,782,777</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2220" w:type="dxa"/>
            <w:vAlign w:val="bottom"/>
          </w:tcPr>
          <w:p>
            <w:pPr>
              <w:jc w:val="center"/>
              <w:spacing w:after="0"/>
              <w:rPr>
                <w:sz w:val="20"/>
                <w:szCs w:val="20"/>
                <w:color w:val="auto"/>
              </w:rPr>
            </w:pPr>
            <w:r>
              <w:rPr>
                <w:rFonts w:ascii="Arial" w:cs="Arial" w:eastAsia="Arial" w:hAnsi="Arial"/>
                <w:sz w:val="14"/>
                <w:szCs w:val="14"/>
                <w:color w:val="auto"/>
                <w:w w:val="98"/>
              </w:rPr>
              <w:t>8.5x</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113,569,409</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8"/>
              </w:rPr>
              <w:t>Market yield</w:t>
            </w:r>
          </w:p>
        </w:tc>
        <w:tc>
          <w:tcPr>
            <w:tcW w:w="222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9.4% – 16.1% (12.0%)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gridSpan w:val="2"/>
          </w:tcPr>
          <w:p>
            <w:pPr>
              <w:spacing w:after="0"/>
              <w:rPr>
                <w:sz w:val="20"/>
                <w:szCs w:val="20"/>
                <w:color w:val="auto"/>
              </w:rPr>
            </w:pPr>
            <w:r>
              <w:rPr>
                <w:rFonts w:ascii="Arial" w:cs="Arial" w:eastAsia="Arial" w:hAnsi="Arial"/>
                <w:sz w:val="14"/>
                <w:szCs w:val="14"/>
                <w:color w:val="auto"/>
              </w:rPr>
              <w:t>Equity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253,101,893</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2220" w:type="dxa"/>
            <w:vAlign w:val="bottom"/>
          </w:tcPr>
          <w:p>
            <w:pPr>
              <w:jc w:val="center"/>
              <w:spacing w:after="0"/>
              <w:rPr>
                <w:sz w:val="20"/>
                <w:szCs w:val="20"/>
                <w:color w:val="auto"/>
              </w:rPr>
            </w:pPr>
            <w:r>
              <w:rPr>
                <w:rFonts w:ascii="Arial" w:cs="Arial" w:eastAsia="Arial" w:hAnsi="Arial"/>
                <w:sz w:val="14"/>
                <w:szCs w:val="14"/>
                <w:color w:val="auto"/>
                <w:w w:val="95"/>
              </w:rPr>
              <w:t>4.6x – 22.0x (11.4x)</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4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17,652,053</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8"/>
              </w:rPr>
              <w:t>Market yield</w:t>
            </w:r>
          </w:p>
        </w:tc>
        <w:tc>
          <w:tcPr>
            <w:tcW w:w="222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19.1%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580" w:type="dxa"/>
            <w:vAlign w:val="bottom"/>
            <w:tcBorders>
              <w:bottom w:val="single" w:sz="8" w:color="CCECFF"/>
            </w:tcBorders>
            <w:gridSpan w:val="2"/>
          </w:tcPr>
          <w:p>
            <w:pPr>
              <w:ind w:left="500"/>
              <w:spacing w:after="0" w:line="155" w:lineRule="exact"/>
              <w:rPr>
                <w:sz w:val="20"/>
                <w:szCs w:val="20"/>
                <w:color w:val="auto"/>
              </w:rPr>
            </w:pPr>
            <w:r>
              <w:rPr>
                <w:rFonts w:ascii="Arial" w:cs="Arial" w:eastAsia="Arial" w:hAnsi="Arial"/>
                <w:sz w:val="14"/>
                <w:szCs w:val="14"/>
                <w:color w:val="auto"/>
              </w:rPr>
              <w:t>Total Level 3 investments</w:t>
            </w:r>
          </w:p>
        </w:tc>
        <w:tc>
          <w:tcPr>
            <w:tcW w:w="160" w:type="dxa"/>
            <w:vAlign w:val="bottom"/>
            <w:tcBorders>
              <w:bottom w:val="single" w:sz="8" w:color="CCECFF"/>
            </w:tcBorders>
          </w:tcPr>
          <w:p>
            <w:pPr>
              <w:spacing w:after="0"/>
              <w:rPr>
                <w:sz w:val="17"/>
                <w:szCs w:val="17"/>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1,044,179,917</w:t>
            </w:r>
          </w:p>
        </w:tc>
        <w:tc>
          <w:tcPr>
            <w:tcW w:w="260" w:type="dxa"/>
            <w:vAlign w:val="bottom"/>
            <w:tcBorders>
              <w:bottom w:val="single" w:sz="8" w:color="CCECFF"/>
            </w:tcBorders>
          </w:tcPr>
          <w:p>
            <w:pPr>
              <w:spacing w:after="0"/>
              <w:rPr>
                <w:sz w:val="17"/>
                <w:szCs w:val="17"/>
                <w:color w:val="auto"/>
              </w:rPr>
            </w:pPr>
          </w:p>
        </w:tc>
        <w:tc>
          <w:tcPr>
            <w:tcW w:w="204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204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2220" w:type="dxa"/>
            <w:vAlign w:val="bottom"/>
            <w:tcBorders>
              <w:bottom w:val="single" w:sz="8" w:color="CCEC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580" w:type="dxa"/>
            <w:vAlign w:val="bottom"/>
            <w:tcBorders>
              <w:bottom w:val="single" w:sz="8" w:color="CCECFF"/>
            </w:tcBorders>
            <w:gridSpan w:val="2"/>
            <w:shd w:val="clear" w:color="auto" w:fill="CCECFF"/>
          </w:tcPr>
          <w:p>
            <w:pPr>
              <w:spacing w:after="0" w:line="143" w:lineRule="exact"/>
              <w:rPr>
                <w:sz w:val="20"/>
                <w:szCs w:val="20"/>
                <w:color w:val="auto"/>
              </w:rPr>
            </w:pPr>
            <w:r>
              <w:rPr>
                <w:rFonts w:ascii="Arial" w:cs="Arial" w:eastAsia="Arial" w:hAnsi="Arial"/>
                <w:sz w:val="14"/>
                <w:szCs w:val="14"/>
                <w:color w:val="auto"/>
              </w:rPr>
              <w:t>Truist Credit Facility</w:t>
            </w:r>
          </w:p>
        </w:tc>
        <w:tc>
          <w:tcPr>
            <w:tcW w:w="16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368,701,972</w:t>
            </w:r>
          </w:p>
        </w:tc>
        <w:tc>
          <w:tcPr>
            <w:tcW w:w="260" w:type="dxa"/>
            <w:vAlign w:val="bottom"/>
            <w:tcBorders>
              <w:bottom w:val="single" w:sz="8" w:color="CCECFF"/>
            </w:tcBorders>
            <w:shd w:val="clear" w:color="auto" w:fill="CCECFF"/>
          </w:tcPr>
          <w:p>
            <w:pPr>
              <w:spacing w:after="0"/>
              <w:rPr>
                <w:sz w:val="12"/>
                <w:szCs w:val="12"/>
                <w:color w:val="auto"/>
              </w:rPr>
            </w:pPr>
          </w:p>
        </w:tc>
        <w:tc>
          <w:tcPr>
            <w:tcW w:w="220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4"/>
              </w:rPr>
              <w:t>Market Comparable</w:t>
            </w:r>
          </w:p>
        </w:tc>
        <w:tc>
          <w:tcPr>
            <w:tcW w:w="2200" w:type="dxa"/>
            <w:vAlign w:val="bottom"/>
            <w:tcBorders>
              <w:bottom w:val="single" w:sz="8" w:color="CCECFF"/>
            </w:tcBorders>
            <w:gridSpan w:val="2"/>
            <w:shd w:val="clear" w:color="auto" w:fill="CCECFF"/>
          </w:tcPr>
          <w:p>
            <w:pPr>
              <w:jc w:val="center"/>
              <w:ind w:right="180"/>
              <w:spacing w:after="0" w:line="143" w:lineRule="exact"/>
              <w:rPr>
                <w:sz w:val="20"/>
                <w:szCs w:val="20"/>
                <w:color w:val="auto"/>
              </w:rPr>
            </w:pPr>
            <w:r>
              <w:rPr>
                <w:rFonts w:ascii="Arial" w:cs="Arial" w:eastAsia="Arial" w:hAnsi="Arial"/>
                <w:sz w:val="14"/>
                <w:szCs w:val="14"/>
                <w:color w:val="auto"/>
                <w:w w:val="98"/>
              </w:rPr>
              <w:t>Market yield</w:t>
            </w:r>
          </w:p>
        </w:tc>
        <w:tc>
          <w:tcPr>
            <w:tcW w:w="2220" w:type="dxa"/>
            <w:vAlign w:val="bottom"/>
            <w:tcBorders>
              <w:bottom w:val="single" w:sz="8" w:color="CCECFF"/>
            </w:tcBorders>
            <w:shd w:val="clear" w:color="auto" w:fill="CCECFF"/>
          </w:tcPr>
          <w:p>
            <w:pPr>
              <w:jc w:val="center"/>
              <w:spacing w:after="0" w:line="143" w:lineRule="exact"/>
              <w:rPr>
                <w:sz w:val="20"/>
                <w:szCs w:val="20"/>
                <w:color w:val="auto"/>
              </w:rPr>
            </w:pPr>
            <w:r>
              <w:rPr>
                <w:rFonts w:ascii="Arial" w:cs="Arial" w:eastAsia="Arial" w:hAnsi="Arial"/>
                <w:sz w:val="14"/>
                <w:szCs w:val="14"/>
                <w:color w:val="auto"/>
                <w:w w:val="93"/>
              </w:rPr>
              <w:t>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300" w:type="dxa"/>
            <w:vAlign w:val="bottom"/>
            <w:gridSpan w:val="2"/>
            <w:vMerge w:val="restart"/>
          </w:tcPr>
          <w:p>
            <w:pPr>
              <w:jc w:val="center"/>
              <w:ind w:left="168"/>
              <w:spacing w:after="0"/>
              <w:rPr>
                <w:sz w:val="20"/>
                <w:szCs w:val="20"/>
                <w:color w:val="auto"/>
              </w:rPr>
            </w:pPr>
            <w:r>
              <w:rPr>
                <w:rFonts w:ascii="Arial" w:cs="Arial" w:eastAsia="Arial" w:hAnsi="Arial"/>
                <w:sz w:val="14"/>
                <w:szCs w:val="14"/>
                <w:color w:val="auto"/>
                <w:w w:val="89"/>
              </w:rPr>
              <w:t>79</w:t>
            </w: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120" w:type="dxa"/>
            <w:vAlign w:val="bottom"/>
            <w:tcBorders>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3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3"/>
        </w:trPr>
        <w:tc>
          <w:tcPr>
            <w:tcW w:w="2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3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1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79" w:name="page80"/>
    <w:bookmarkEnd w:id="79"/>
    <w:p>
      <w:pPr>
        <w:jc w:val="center"/>
        <w:ind w:right="20"/>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rPr>
          <w:sz w:val="20"/>
          <w:szCs w:val="20"/>
          <w:color w:val="auto"/>
        </w:rPr>
      </w:pPr>
      <w:r>
        <w:rPr>
          <w:rFonts w:ascii="Arial" w:cs="Arial" w:eastAsia="Arial" w:hAnsi="Arial"/>
          <w:sz w:val="14"/>
          <w:szCs w:val="14"/>
          <w:b w:val="1"/>
          <w:bCs w:val="1"/>
          <w:color w:val="auto"/>
        </w:rPr>
        <w:t>SEPTEMBER 30, 2021</w:t>
      </w:r>
    </w:p>
    <w:p>
      <w:pPr>
        <w:spacing w:after="0" w:line="200" w:lineRule="exact"/>
        <w:rPr>
          <w:sz w:val="20"/>
          <w:szCs w:val="20"/>
          <w:color w:val="auto"/>
        </w:rPr>
      </w:pPr>
    </w:p>
    <w:p>
      <w:pPr>
        <w:spacing w:after="0" w:line="206" w:lineRule="exact"/>
        <w:rPr>
          <w:sz w:val="20"/>
          <w:szCs w:val="20"/>
          <w:color w:val="auto"/>
        </w:rPr>
      </w:pPr>
    </w:p>
    <w:p>
      <w:pPr>
        <w:ind w:left="380" w:hanging="372"/>
        <w:spacing w:after="0"/>
        <w:tabs>
          <w:tab w:leader="none" w:pos="380" w:val="left"/>
        </w:tabs>
        <w:numPr>
          <w:ilvl w:val="0"/>
          <w:numId w:val="85"/>
        </w:numPr>
        <w:rPr>
          <w:rFonts w:ascii="Arial" w:cs="Arial" w:eastAsia="Arial" w:hAnsi="Arial"/>
          <w:sz w:val="20"/>
          <w:szCs w:val="20"/>
          <w:b w:val="1"/>
          <w:bCs w:val="1"/>
          <w:color w:val="auto"/>
          <w:vertAlign w:val="superscript"/>
        </w:rPr>
      </w:pPr>
      <w:r>
        <w:rPr>
          <w:rFonts w:ascii="Arial" w:cs="Arial" w:eastAsia="Arial" w:hAnsi="Arial"/>
          <w:sz w:val="12"/>
          <w:szCs w:val="12"/>
          <w:color w:val="auto"/>
        </w:rPr>
        <w:t>The weighted averages disclosed in the table above were weighted by their relative fair value.</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investments, cash and cash equivalents, Credit Facility, SBA debentures, 2024 Notes and 2026 Notes were categorized as follows in the fair value hierarchy: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6"/>
          </w:tcPr>
          <w:p>
            <w:pPr>
              <w:jc w:val="center"/>
              <w:ind w:left="668"/>
              <w:spacing w:after="0"/>
              <w:rPr>
                <w:sz w:val="20"/>
                <w:szCs w:val="20"/>
                <w:color w:val="auto"/>
              </w:rPr>
            </w:pPr>
            <w:r>
              <w:rPr>
                <w:rFonts w:ascii="Arial" w:cs="Arial" w:eastAsia="Arial" w:hAnsi="Arial"/>
                <w:sz w:val="14"/>
                <w:szCs w:val="14"/>
                <w:b w:val="1"/>
                <w:bCs w:val="1"/>
                <w:color w:val="auto"/>
                <w:w w:val="93"/>
              </w:rPr>
              <w:t>Fair Value at September 30, 2021</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ind w:right="328"/>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Level 2</w:t>
            </w:r>
          </w:p>
        </w:tc>
        <w:tc>
          <w:tcPr>
            <w:tcW w:w="2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48"/>
              <w:spacing w:after="0" w:line="133" w:lineRule="exact"/>
              <w:rPr>
                <w:sz w:val="20"/>
                <w:szCs w:val="20"/>
                <w:color w:val="auto"/>
              </w:rPr>
            </w:pPr>
            <w:r>
              <w:rPr>
                <w:rFonts w:ascii="Arial" w:cs="Arial" w:eastAsia="Arial" w:hAnsi="Arial"/>
                <w:sz w:val="14"/>
                <w:szCs w:val="14"/>
                <w:b w:val="1"/>
                <w:bCs w:val="1"/>
                <w:color w:val="auto"/>
                <w:w w:val="94"/>
              </w:rPr>
              <w:t>Measured at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7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 xml:space="preserve">Asset Value </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66"/>
        </w:trPr>
        <w:tc>
          <w:tcPr>
            <w:tcW w:w="21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720" w:type="dxa"/>
            <w:vAlign w:val="bottom"/>
            <w:tcBorders>
              <w:top w:val="single" w:sz="8" w:color="auto"/>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Debt investments</w:t>
            </w:r>
          </w:p>
        </w:tc>
        <w:tc>
          <w:tcPr>
            <w:tcW w:w="14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850,593,147</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850,593,148</w:t>
            </w: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20" w:type="dxa"/>
            <w:vAlign w:val="bottom"/>
            <w:gridSpan w:val="2"/>
          </w:tcPr>
          <w:p>
            <w:pPr>
              <w:spacing w:after="0"/>
              <w:rPr>
                <w:sz w:val="20"/>
                <w:szCs w:val="20"/>
                <w:color w:val="auto"/>
              </w:rPr>
            </w:pPr>
            <w:r>
              <w:rPr>
                <w:rFonts w:ascii="Arial" w:cs="Arial" w:eastAsia="Arial" w:hAnsi="Arial"/>
                <w:sz w:val="14"/>
                <w:szCs w:val="14"/>
                <w:color w:val="auto"/>
              </w:rPr>
              <w:t>Equity investments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404,696,684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3,109,539</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360,427,521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41,159,625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20" w:type="dxa"/>
            <w:vAlign w:val="bottom"/>
            <w:tcBorders>
              <w:top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4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1,255,289,831</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spacing w:after="0"/>
              <w:rPr>
                <w:sz w:val="13"/>
                <w:szCs w:val="13"/>
                <w:color w:val="auto"/>
              </w:rPr>
            </w:pP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3,109,539</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spacing w:after="0"/>
              <w:rPr>
                <w:sz w:val="13"/>
                <w:szCs w:val="13"/>
                <w:color w:val="auto"/>
              </w:rPr>
            </w:pP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spacing w:after="0"/>
              <w:rPr>
                <w:sz w:val="13"/>
                <w:szCs w:val="13"/>
                <w:color w:val="auto"/>
              </w:rPr>
            </w:pP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1,211,020,669</w:t>
            </w: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41,159,625</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2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20,357,016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20,357,016</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720" w:type="dxa"/>
            <w:vAlign w:val="bottom"/>
            <w:tcBorders>
              <w:top w:val="single" w:sz="8" w:color="CCECFF"/>
              <w:bottom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1,275,646,847</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23,466,555</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1,211,020,667</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41,159,625</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4"/>
                <w:szCs w:val="14"/>
                <w:color w:val="auto"/>
              </w:rPr>
              <w:t>Truist Credit Facility</w:t>
            </w:r>
          </w:p>
        </w:tc>
        <w:tc>
          <w:tcPr>
            <w:tcW w:w="3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314,813,145</w:t>
            </w:r>
          </w:p>
        </w:tc>
        <w:tc>
          <w:tcPr>
            <w:tcW w:w="240" w:type="dxa"/>
            <w:vAlign w:val="bottom"/>
          </w:tcPr>
          <w:p>
            <w:pPr>
              <w:spacing w:after="0"/>
              <w:rPr>
                <w:sz w:val="12"/>
                <w:szCs w:val="12"/>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80" w:type="dxa"/>
            <w:vAlign w:val="bottom"/>
            <w:tcBorders>
              <w:top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314,813,145</w:t>
            </w:r>
          </w:p>
        </w:tc>
        <w:tc>
          <w:tcPr>
            <w:tcW w:w="240" w:type="dxa"/>
            <w:vAlign w:val="bottom"/>
          </w:tcPr>
          <w:p>
            <w:pPr>
              <w:spacing w:after="0"/>
              <w:rPr>
                <w:sz w:val="12"/>
                <w:szCs w:val="12"/>
                <w:color w:val="auto"/>
              </w:rPr>
            </w:pPr>
          </w:p>
        </w:tc>
        <w:tc>
          <w:tcPr>
            <w:tcW w:w="1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 xml:space="preserve">SBA Debentures </w:t>
            </w:r>
            <w:r>
              <w:rPr>
                <w:rFonts w:ascii="Arial" w:cs="Arial" w:eastAsia="Arial" w:hAnsi="Arial"/>
                <w:sz w:val="12"/>
                <w:szCs w:val="12"/>
                <w:color w:val="auto"/>
              </w:rPr>
              <w:t>(2)</w:t>
            </w:r>
          </w:p>
        </w:tc>
        <w:tc>
          <w:tcPr>
            <w:tcW w:w="1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62,158,642</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62,158,642</w:t>
            </w: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20" w:type="dxa"/>
            <w:vAlign w:val="bottom"/>
            <w:gridSpan w:val="2"/>
          </w:tcPr>
          <w:p>
            <w:pPr>
              <w:spacing w:after="0"/>
              <w:rPr>
                <w:sz w:val="20"/>
                <w:szCs w:val="20"/>
                <w:color w:val="auto"/>
              </w:rPr>
            </w:pPr>
            <w:r>
              <w:rPr>
                <w:rFonts w:ascii="Arial" w:cs="Arial" w:eastAsia="Arial" w:hAnsi="Arial"/>
                <w:sz w:val="14"/>
                <w:szCs w:val="14"/>
                <w:color w:val="auto"/>
              </w:rPr>
              <w:t xml:space="preserve">2024 Notes </w:t>
            </w:r>
            <w:r>
              <w:rPr>
                <w:rFonts w:ascii="Arial" w:cs="Arial" w:eastAsia="Arial" w:hAnsi="Arial"/>
                <w:sz w:val="12"/>
                <w:szCs w:val="12"/>
                <w:color w:val="auto"/>
              </w:rPr>
              <w:t>(2)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84,503,061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84,503,061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 xml:space="preserve">2026 Notes </w:t>
            </w:r>
            <w:r>
              <w:rPr>
                <w:rFonts w:ascii="Arial" w:cs="Arial" w:eastAsia="Arial" w:hAnsi="Arial"/>
                <w:sz w:val="12"/>
                <w:szCs w:val="12"/>
                <w:color w:val="auto"/>
              </w:rPr>
              <w:t>(2)</w:t>
            </w:r>
          </w:p>
        </w:tc>
        <w:tc>
          <w:tcPr>
            <w:tcW w:w="1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145,865,253</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145,865,253</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720" w:type="dxa"/>
            <w:vAlign w:val="bottom"/>
            <w:gridSpan w:val="2"/>
          </w:tcPr>
          <w:p>
            <w:pPr>
              <w:ind w:left="500"/>
              <w:spacing w:after="0" w:line="155" w:lineRule="exact"/>
              <w:rPr>
                <w:sz w:val="20"/>
                <w:szCs w:val="20"/>
                <w:color w:val="auto"/>
              </w:rPr>
            </w:pPr>
            <w:r>
              <w:rPr>
                <w:rFonts w:ascii="Arial" w:cs="Arial" w:eastAsia="Arial" w:hAnsi="Arial"/>
                <w:sz w:val="14"/>
                <w:szCs w:val="14"/>
                <w:color w:val="auto"/>
              </w:rPr>
              <w:t>Total debt</w:t>
            </w:r>
          </w:p>
        </w:tc>
        <w:tc>
          <w:tcPr>
            <w:tcW w:w="1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607,340,101</w:t>
            </w: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84,503,061</w:t>
            </w:r>
          </w:p>
        </w:tc>
        <w:tc>
          <w:tcPr>
            <w:tcW w:w="26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145,865,253</w:t>
            </w:r>
          </w:p>
        </w:tc>
        <w:tc>
          <w:tcPr>
            <w:tcW w:w="26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376,971,787</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12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ind w:left="380" w:right="100" w:hanging="372"/>
        <w:spacing w:after="0" w:line="184" w:lineRule="auto"/>
        <w:tabs>
          <w:tab w:leader="none" w:pos="380" w:val="left"/>
        </w:tabs>
        <w:numPr>
          <w:ilvl w:val="0"/>
          <w:numId w:val="86"/>
        </w:numPr>
        <w:rPr>
          <w:rFonts w:ascii="Arial" w:cs="Arial" w:eastAsia="Arial" w:hAnsi="Arial"/>
          <w:sz w:val="20"/>
          <w:szCs w:val="20"/>
          <w:b w:val="1"/>
          <w:bCs w:val="1"/>
          <w:color w:val="auto"/>
          <w:vertAlign w:val="superscript"/>
        </w:rPr>
      </w:pPr>
      <w:r>
        <w:rPr>
          <w:rFonts w:ascii="Arial" w:cs="Arial" w:eastAsia="Arial" w:hAnsi="Arial"/>
          <w:sz w:val="12"/>
          <w:szCs w:val="12"/>
          <w:color w:val="auto"/>
        </w:rPr>
        <w:t>In accordance with ASC Subtopic 820-10, Fair Value Measurements and Disclosures, or ASC 820-10, our equity investment in PSLF is measured using the net asset value per share (or its equivalent) as a practical expedient for fair value, and thus has not been classified in the fair value hierarchy.</w:t>
      </w:r>
    </w:p>
    <w:p>
      <w:pPr>
        <w:spacing w:after="0" w:line="28" w:lineRule="exact"/>
        <w:rPr>
          <w:rFonts w:ascii="Arial" w:cs="Arial" w:eastAsia="Arial" w:hAnsi="Arial"/>
          <w:sz w:val="20"/>
          <w:szCs w:val="20"/>
          <w:b w:val="1"/>
          <w:bCs w:val="1"/>
          <w:color w:val="auto"/>
          <w:vertAlign w:val="superscript"/>
        </w:rPr>
      </w:pPr>
    </w:p>
    <w:p>
      <w:pPr>
        <w:ind w:left="380" w:right="80" w:hanging="372"/>
        <w:spacing w:after="0" w:line="184" w:lineRule="auto"/>
        <w:tabs>
          <w:tab w:leader="none" w:pos="380" w:val="left"/>
        </w:tabs>
        <w:numPr>
          <w:ilvl w:val="0"/>
          <w:numId w:val="86"/>
        </w:numPr>
        <w:rPr>
          <w:rFonts w:ascii="Arial" w:cs="Arial" w:eastAsia="Arial" w:hAnsi="Arial"/>
          <w:sz w:val="20"/>
          <w:szCs w:val="20"/>
          <w:b w:val="1"/>
          <w:bCs w:val="1"/>
          <w:color w:val="auto"/>
          <w:vertAlign w:val="superscript"/>
        </w:rPr>
      </w:pPr>
      <w:r>
        <w:rPr>
          <w:rFonts w:ascii="Arial" w:cs="Arial" w:eastAsia="Arial" w:hAnsi="Arial"/>
          <w:sz w:val="12"/>
          <w:szCs w:val="12"/>
          <w:color w:val="auto"/>
        </w:rPr>
        <w:t>We elected not to apply ASC 825-10 to the SBA debentures or the 2024 Notes and the 2026 Notes and thus the balance reported in the Consolidated Statement of Assets and Liabilities represents the carrying value. As of September 30, 2021, the carrying value of the SBA debentures approximates the fair value.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w w:val="92"/>
              </w:rPr>
              <w:t>Fair Value at September 30, 2020</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1"/>
                <w:szCs w:val="11"/>
                <w:color w:val="auto"/>
              </w:rPr>
            </w:pPr>
          </w:p>
        </w:tc>
        <w:tc>
          <w:tcPr>
            <w:tcW w:w="13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1"/>
                <w:szCs w:val="11"/>
                <w:color w:val="auto"/>
              </w:rPr>
            </w:pPr>
          </w:p>
        </w:tc>
        <w:tc>
          <w:tcPr>
            <w:tcW w:w="13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1"/>
                <w:szCs w:val="11"/>
                <w:color w:val="auto"/>
              </w:rPr>
            </w:pPr>
          </w:p>
        </w:tc>
        <w:tc>
          <w:tcPr>
            <w:tcW w:w="9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right="28"/>
              <w:spacing w:after="0" w:line="133" w:lineRule="exact"/>
              <w:rPr>
                <w:sz w:val="20"/>
                <w:szCs w:val="20"/>
                <w:color w:val="auto"/>
              </w:rPr>
            </w:pPr>
            <w:r>
              <w:rPr>
                <w:rFonts w:ascii="Arial" w:cs="Arial" w:eastAsia="Arial" w:hAnsi="Arial"/>
                <w:sz w:val="14"/>
                <w:szCs w:val="14"/>
                <w:b w:val="1"/>
                <w:bCs w:val="1"/>
                <w:color w:val="auto"/>
                <w:w w:val="94"/>
              </w:rPr>
              <w:t>Measured at Net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7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 xml:space="preserve">Asset Value </w:t>
            </w:r>
            <w:r>
              <w:rPr>
                <w:rFonts w:ascii="Arial" w:cs="Arial" w:eastAsia="Arial" w:hAnsi="Arial"/>
                <w:sz w:val="12"/>
                <w:szCs w:val="12"/>
                <w:b w:val="1"/>
                <w:bCs w:val="1"/>
                <w:color w:val="auto"/>
                <w:w w:val="89"/>
              </w:rPr>
              <w:t>(1)</w:t>
            </w:r>
          </w:p>
        </w:tc>
        <w:tc>
          <w:tcPr>
            <w:tcW w:w="0" w:type="dxa"/>
            <w:vAlign w:val="bottom"/>
          </w:tcPr>
          <w:p>
            <w:pPr>
              <w:spacing w:after="0"/>
              <w:rPr>
                <w:sz w:val="1"/>
                <w:szCs w:val="1"/>
                <w:color w:val="auto"/>
              </w:rPr>
            </w:pPr>
          </w:p>
        </w:tc>
      </w:tr>
      <w:tr>
        <w:trPr>
          <w:trHeight w:val="66"/>
        </w:trPr>
        <w:tc>
          <w:tcPr>
            <w:tcW w:w="21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780" w:type="dxa"/>
            <w:vAlign w:val="bottom"/>
            <w:tcBorders>
              <w:top w:val="single" w:sz="8" w:color="auto"/>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Debt investments</w:t>
            </w:r>
          </w:p>
        </w:tc>
        <w:tc>
          <w:tcPr>
            <w:tcW w:w="16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773,425,971</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CFF"/>
          </w:tcPr>
          <w:p>
            <w:pPr>
              <w:ind w:left="880"/>
              <w:spacing w:after="0" w:line="155" w:lineRule="exact"/>
              <w:rPr>
                <w:sz w:val="20"/>
                <w:szCs w:val="20"/>
                <w:color w:val="auto"/>
              </w:rPr>
            </w:pPr>
            <w:r>
              <w:rPr>
                <w:rFonts w:ascii="Arial" w:cs="Arial" w:eastAsia="Arial" w:hAnsi="Arial"/>
                <w:sz w:val="14"/>
                <w:szCs w:val="14"/>
                <w:color w:val="auto"/>
                <w:w w:val="99"/>
              </w:rPr>
              <w:t>—</w:t>
            </w:r>
          </w:p>
        </w:tc>
        <w:tc>
          <w:tcPr>
            <w:tcW w:w="2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773,425,971</w:t>
            </w:r>
          </w:p>
        </w:tc>
        <w:tc>
          <w:tcPr>
            <w:tcW w:w="2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Equity investments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308,345,447</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1,328,924</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270,753,946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36,262,577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80" w:type="dxa"/>
            <w:vAlign w:val="bottom"/>
            <w:tcBorders>
              <w:top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1,081,771,418</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10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1,328,924</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1040" w:type="dxa"/>
            <w:vAlign w:val="bottom"/>
            <w:tcBorders>
              <w:top w:val="single" w:sz="8" w:color="auto"/>
            </w:tcBorders>
            <w:shd w:val="clear" w:color="auto" w:fill="CCECFF"/>
          </w:tcPr>
          <w:p>
            <w:pPr>
              <w:ind w:left="880"/>
              <w:spacing w:after="0" w:line="155" w:lineRule="exact"/>
              <w:rPr>
                <w:sz w:val="20"/>
                <w:szCs w:val="20"/>
                <w:color w:val="auto"/>
              </w:rPr>
            </w:pPr>
            <w:r>
              <w:rPr>
                <w:rFonts w:ascii="Arial" w:cs="Arial" w:eastAsia="Arial" w:hAnsi="Arial"/>
                <w:sz w:val="14"/>
                <w:szCs w:val="14"/>
                <w:color w:val="auto"/>
                <w:w w:val="99"/>
              </w:rPr>
              <w:t>—</w:t>
            </w:r>
          </w:p>
        </w:tc>
        <w:tc>
          <w:tcPr>
            <w:tcW w:w="2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8"/>
              </w:rPr>
              <w:t>1,044,179,917</w:t>
            </w:r>
          </w:p>
        </w:tc>
        <w:tc>
          <w:tcPr>
            <w:tcW w:w="2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36,262,577</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25,806,002</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25,806,002</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780" w:type="dxa"/>
            <w:vAlign w:val="bottom"/>
            <w:tcBorders>
              <w:top w:val="single" w:sz="8" w:color="CCECFF"/>
              <w:bottom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1,107,577,420</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27,134,926</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CFF"/>
          </w:tcPr>
          <w:p>
            <w:pPr>
              <w:ind w:left="880"/>
              <w:spacing w:after="0" w:line="155" w:lineRule="exact"/>
              <w:rPr>
                <w:sz w:val="20"/>
                <w:szCs w:val="20"/>
                <w:color w:val="auto"/>
              </w:rPr>
            </w:pPr>
            <w:r>
              <w:rPr>
                <w:rFonts w:ascii="Arial" w:cs="Arial" w:eastAsia="Arial" w:hAnsi="Arial"/>
                <w:sz w:val="14"/>
                <w:szCs w:val="14"/>
                <w:color w:val="auto"/>
                <w:w w:val="99"/>
              </w:rPr>
              <w:t>—</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8"/>
              </w:rPr>
              <w:t>1,044,179,917</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36,262,577</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4"/>
                <w:szCs w:val="14"/>
                <w:color w:val="auto"/>
              </w:rPr>
              <w:t>Truist Credit Facility</w:t>
            </w:r>
          </w:p>
        </w:tc>
        <w:tc>
          <w:tcPr>
            <w:tcW w:w="3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368,701,972</w:t>
            </w:r>
          </w:p>
        </w:tc>
        <w:tc>
          <w:tcPr>
            <w:tcW w:w="26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ind w:left="880"/>
              <w:spacing w:after="0" w:line="143" w:lineRule="exact"/>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2"/>
                <w:szCs w:val="12"/>
                <w:color w:val="auto"/>
              </w:rPr>
            </w:pPr>
          </w:p>
        </w:tc>
        <w:tc>
          <w:tcPr>
            <w:tcW w:w="1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368,701,972</w:t>
            </w:r>
          </w:p>
        </w:tc>
        <w:tc>
          <w:tcPr>
            <w:tcW w:w="260" w:type="dxa"/>
            <w:vAlign w:val="bottom"/>
          </w:tcPr>
          <w:p>
            <w:pPr>
              <w:spacing w:after="0"/>
              <w:rPr>
                <w:sz w:val="12"/>
                <w:szCs w:val="12"/>
                <w:color w:val="auto"/>
              </w:rPr>
            </w:pPr>
          </w:p>
        </w:tc>
        <w:tc>
          <w:tcPr>
            <w:tcW w:w="1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 xml:space="preserve">SBA Debentures </w:t>
            </w:r>
            <w:r>
              <w:rPr>
                <w:rFonts w:ascii="Arial" w:cs="Arial" w:eastAsia="Arial" w:hAnsi="Arial"/>
                <w:sz w:val="12"/>
                <w:szCs w:val="12"/>
                <w:color w:val="auto"/>
              </w:rPr>
              <w:t>(2)</w:t>
            </w:r>
          </w:p>
        </w:tc>
        <w:tc>
          <w:tcPr>
            <w:tcW w:w="1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115,772,677</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30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1300" w:type="dxa"/>
            <w:vAlign w:val="bottom"/>
            <w:gridSpan w:val="2"/>
            <w:shd w:val="clear" w:color="auto" w:fill="CCECFF"/>
          </w:tcPr>
          <w:p>
            <w:pPr>
              <w:ind w:left="8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115,772,677</w:t>
            </w:r>
          </w:p>
        </w:tc>
        <w:tc>
          <w:tcPr>
            <w:tcW w:w="2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 xml:space="preserve">2024 Notes </w:t>
            </w:r>
            <w:r>
              <w:rPr>
                <w:rFonts w:ascii="Arial" w:cs="Arial" w:eastAsia="Arial" w:hAnsi="Arial"/>
                <w:sz w:val="12"/>
                <w:szCs w:val="12"/>
                <w:color w:val="auto"/>
              </w:rPr>
              <w:t>(2)</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83,837,560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83,837,560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780" w:type="dxa"/>
            <w:vAlign w:val="bottom"/>
            <w:tcBorders>
              <w:top w:val="single" w:sz="8" w:color="CCECFF"/>
              <w:bottom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debt</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568,312,209</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83,837,560</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CFF"/>
          </w:tcPr>
          <w:p>
            <w:pPr>
              <w:ind w:left="880"/>
              <w:spacing w:after="0" w:line="155" w:lineRule="exact"/>
              <w:rPr>
                <w:sz w:val="20"/>
                <w:szCs w:val="20"/>
                <w:color w:val="auto"/>
              </w:rPr>
            </w:pPr>
            <w:r>
              <w:rPr>
                <w:rFonts w:ascii="Arial" w:cs="Arial" w:eastAsia="Arial" w:hAnsi="Arial"/>
                <w:sz w:val="14"/>
                <w:szCs w:val="14"/>
                <w:color w:val="auto"/>
                <w:w w:val="99"/>
              </w:rPr>
              <w:t>—</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484,474,649</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120" w:type="dxa"/>
            <w:vAlign w:val="bottom"/>
            <w:tcBorders>
              <w:bottom w:val="single" w:sz="8" w:color="auto"/>
            </w:tcBorders>
          </w:tcPr>
          <w:p>
            <w:pPr>
              <w:spacing w:after="0"/>
              <w:rPr>
                <w:sz w:val="4"/>
                <w:szCs w:val="4"/>
                <w:color w:val="auto"/>
              </w:rPr>
            </w:pPr>
          </w:p>
        </w:tc>
        <w:tc>
          <w:tcPr>
            <w:tcW w:w="1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380" w:right="100" w:hanging="372"/>
        <w:spacing w:after="0" w:line="184" w:lineRule="auto"/>
        <w:tabs>
          <w:tab w:leader="none" w:pos="380" w:val="left"/>
        </w:tabs>
        <w:numPr>
          <w:ilvl w:val="0"/>
          <w:numId w:val="87"/>
        </w:numPr>
        <w:rPr>
          <w:rFonts w:ascii="Arial" w:cs="Arial" w:eastAsia="Arial" w:hAnsi="Arial"/>
          <w:sz w:val="20"/>
          <w:szCs w:val="20"/>
          <w:b w:val="1"/>
          <w:bCs w:val="1"/>
          <w:color w:val="auto"/>
          <w:vertAlign w:val="superscript"/>
        </w:rPr>
      </w:pPr>
      <w:r>
        <w:rPr>
          <w:rFonts w:ascii="Arial" w:cs="Arial" w:eastAsia="Arial" w:hAnsi="Arial"/>
          <w:sz w:val="12"/>
          <w:szCs w:val="12"/>
          <w:color w:val="auto"/>
        </w:rPr>
        <w:t>In accordance with ASC Subtopic 820-10, Fair Value Measurements and Disclosures, or ASC 820-10, our equity investment in PSLF is measured using the net asset value per share (or its equivalent) as a practical expedient for fair value, and thus has not been classified in the fair value hierarchy.</w:t>
      </w:r>
    </w:p>
    <w:p>
      <w:pPr>
        <w:spacing w:after="0" w:line="28" w:lineRule="exact"/>
        <w:rPr>
          <w:rFonts w:ascii="Arial" w:cs="Arial" w:eastAsia="Arial" w:hAnsi="Arial"/>
          <w:sz w:val="20"/>
          <w:szCs w:val="20"/>
          <w:b w:val="1"/>
          <w:bCs w:val="1"/>
          <w:color w:val="auto"/>
          <w:vertAlign w:val="superscript"/>
        </w:rPr>
      </w:pPr>
    </w:p>
    <w:p>
      <w:pPr>
        <w:ind w:left="380" w:right="300" w:hanging="372"/>
        <w:spacing w:after="0" w:line="184" w:lineRule="auto"/>
        <w:tabs>
          <w:tab w:leader="none" w:pos="380" w:val="left"/>
        </w:tabs>
        <w:numPr>
          <w:ilvl w:val="0"/>
          <w:numId w:val="87"/>
        </w:numPr>
        <w:rPr>
          <w:rFonts w:ascii="Arial" w:cs="Arial" w:eastAsia="Arial" w:hAnsi="Arial"/>
          <w:sz w:val="20"/>
          <w:szCs w:val="20"/>
          <w:b w:val="1"/>
          <w:bCs w:val="1"/>
          <w:color w:val="auto"/>
          <w:vertAlign w:val="superscript"/>
        </w:rPr>
      </w:pPr>
      <w:r>
        <w:rPr>
          <w:rFonts w:ascii="Arial" w:cs="Arial" w:eastAsia="Arial" w:hAnsi="Arial"/>
          <w:sz w:val="12"/>
          <w:szCs w:val="12"/>
          <w:color w:val="auto"/>
        </w:rPr>
        <w:t>We elected not to apply ASC 825-10 to the SBA debentures and the 2024 Notes and thus the balance reported in the Consolidated Statement of Assets and Liabilities represents the carrying value. As of September 30, 2020, the carrying value of the SBA debentures approximates the fair value.</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The tables below show a reconciliation of the beginning and ending balances for investments measured at fair value using significant unobservable inputs (Level 3):</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20" w:type="dxa"/>
            <w:vAlign w:val="bottom"/>
            <w:gridSpan w:val="6"/>
          </w:tcPr>
          <w:p>
            <w:pPr>
              <w:jc w:val="center"/>
              <w:ind w:left="828"/>
              <w:spacing w:after="0"/>
              <w:rPr>
                <w:sz w:val="20"/>
                <w:szCs w:val="20"/>
                <w:color w:val="auto"/>
              </w:rPr>
            </w:pPr>
            <w:r>
              <w:rPr>
                <w:rFonts w:ascii="Arial" w:cs="Arial" w:eastAsia="Arial" w:hAnsi="Arial"/>
                <w:sz w:val="14"/>
                <w:szCs w:val="14"/>
                <w:b w:val="1"/>
                <w:bCs w:val="1"/>
                <w:color w:val="auto"/>
                <w:w w:val="92"/>
              </w:rPr>
              <w:t>Year Ended September 30, 2021</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jc w:val="right"/>
              <w:ind w:right="840"/>
              <w:spacing w:after="0" w:line="133" w:lineRule="exact"/>
              <w:rPr>
                <w:sz w:val="20"/>
                <w:szCs w:val="20"/>
                <w:color w:val="auto"/>
              </w:rPr>
            </w:pPr>
            <w:r>
              <w:rPr>
                <w:rFonts w:ascii="Arial" w:cs="Arial" w:eastAsia="Arial" w:hAnsi="Arial"/>
                <w:sz w:val="14"/>
                <w:szCs w:val="14"/>
                <w:b w:val="1"/>
                <w:bCs w:val="1"/>
                <w:color w:val="auto"/>
              </w:rPr>
              <w:t>Debt</w:t>
            </w:r>
          </w:p>
        </w:tc>
        <w:tc>
          <w:tcPr>
            <w:tcW w:w="200" w:type="dxa"/>
            <w:vAlign w:val="bottom"/>
          </w:tcPr>
          <w:p>
            <w:pPr>
              <w:spacing w:after="0"/>
              <w:rPr>
                <w:sz w:val="11"/>
                <w:szCs w:val="11"/>
                <w:color w:val="auto"/>
              </w:rPr>
            </w:pPr>
          </w:p>
        </w:tc>
        <w:tc>
          <w:tcPr>
            <w:tcW w:w="146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8"/>
              </w:rPr>
              <w:t>Equity</w:t>
            </w:r>
          </w:p>
        </w:tc>
        <w:tc>
          <w:tcPr>
            <w:tcW w:w="300" w:type="dxa"/>
            <w:vAlign w:val="bottom"/>
          </w:tcPr>
          <w:p>
            <w:pPr>
              <w:spacing w:after="0"/>
              <w:rPr>
                <w:sz w:val="11"/>
                <w:szCs w:val="11"/>
                <w:color w:val="auto"/>
              </w:rPr>
            </w:pPr>
          </w:p>
        </w:tc>
        <w:tc>
          <w:tcPr>
            <w:tcW w:w="12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1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investments</w:t>
            </w:r>
          </w:p>
        </w:tc>
        <w:tc>
          <w:tcPr>
            <w:tcW w:w="200" w:type="dxa"/>
            <w:vAlign w:val="bottom"/>
          </w:tcPr>
          <w:p>
            <w:pPr>
              <w:spacing w:after="0"/>
              <w:rPr>
                <w:sz w:val="9"/>
                <w:szCs w:val="9"/>
                <w:color w:val="auto"/>
              </w:rPr>
            </w:pPr>
          </w:p>
        </w:tc>
        <w:tc>
          <w:tcPr>
            <w:tcW w:w="14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investments</w:t>
            </w:r>
          </w:p>
        </w:tc>
        <w:tc>
          <w:tcPr>
            <w:tcW w:w="3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51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51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08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773,425,971</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270,753,946</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1,044,179,917</w:t>
            </w: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500"/>
              <w:spacing w:after="0"/>
              <w:rPr>
                <w:sz w:val="20"/>
                <w:szCs w:val="20"/>
                <w:color w:val="auto"/>
              </w:rPr>
            </w:pPr>
            <w:r>
              <w:rPr>
                <w:rFonts w:ascii="Arial" w:cs="Arial" w:eastAsia="Arial" w:hAnsi="Arial"/>
                <w:sz w:val="14"/>
                <w:szCs w:val="14"/>
                <w:color w:val="auto"/>
              </w:rPr>
              <w:t>Net realized gain (loss)</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(2,769,793)</w:t>
            </w:r>
          </w:p>
        </w:tc>
        <w:tc>
          <w:tcPr>
            <w:tcW w:w="2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32,722,785</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29,952,992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depreciation</w:t>
            </w:r>
          </w:p>
        </w:tc>
        <w:tc>
          <w:tcPr>
            <w:tcW w:w="10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32,159,186</w:t>
            </w:r>
          </w:p>
        </w:tc>
        <w:tc>
          <w:tcPr>
            <w:tcW w:w="2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79,804,054</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111,963,240</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414,127,196</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45,270,058</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459,397,254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0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(366,349,412)</w:t>
            </w: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(68,123,322)</w:t>
            </w:r>
          </w:p>
        </w:tc>
        <w:tc>
          <w:tcPr>
            <w:tcW w:w="30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(434,472,734)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500"/>
              <w:spacing w:after="0"/>
              <w:rPr>
                <w:sz w:val="20"/>
                <w:szCs w:val="20"/>
                <w:color w:val="auto"/>
              </w:rPr>
            </w:pPr>
            <w:r>
              <w:rPr>
                <w:rFonts w:ascii="Arial" w:cs="Arial" w:eastAsia="Arial" w:hAnsi="Arial"/>
                <w:sz w:val="14"/>
                <w:szCs w:val="14"/>
                <w:color w:val="auto"/>
              </w:rPr>
              <w:t>Transfers in/out of Level 3</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6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08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850,593,148</w:t>
            </w:r>
          </w:p>
        </w:tc>
        <w:tc>
          <w:tcPr>
            <w:tcW w:w="28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360,427,521</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1,211,020,669</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4"/>
                <w:szCs w:val="14"/>
                <w:color w:val="auto"/>
              </w:rPr>
              <w:t>Net change in unrealized depreciation reported within the net change in unrealized</w:t>
            </w: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16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60" w:type="dxa"/>
            <w:vAlign w:val="bottom"/>
          </w:tcPr>
          <w:p>
            <w:pPr>
              <w:ind w:left="120"/>
              <w:spacing w:after="0" w:line="149" w:lineRule="exact"/>
              <w:rPr>
                <w:sz w:val="20"/>
                <w:szCs w:val="20"/>
                <w:color w:val="auto"/>
              </w:rPr>
            </w:pPr>
            <w:r>
              <w:rPr>
                <w:rFonts w:ascii="Arial" w:cs="Arial" w:eastAsia="Arial" w:hAnsi="Arial"/>
                <w:sz w:val="14"/>
                <w:szCs w:val="14"/>
                <w:color w:val="auto"/>
              </w:rPr>
              <w:t>depreciation on investments in our Consolidated Statements of Operations</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160" w:type="dxa"/>
            <w:vAlign w:val="bottom"/>
          </w:tcPr>
          <w:p>
            <w:pPr>
              <w:ind w:left="120"/>
              <w:spacing w:after="0"/>
              <w:rPr>
                <w:sz w:val="20"/>
                <w:szCs w:val="20"/>
                <w:color w:val="auto"/>
              </w:rPr>
            </w:pPr>
            <w:r>
              <w:rPr>
                <w:rFonts w:ascii="Arial" w:cs="Arial" w:eastAsia="Arial" w:hAnsi="Arial"/>
                <w:sz w:val="14"/>
                <w:szCs w:val="14"/>
                <w:color w:val="auto"/>
              </w:rPr>
              <w:t>attributable to our Level 3 assets still held at the reporting date.</w:t>
            </w:r>
          </w:p>
        </w:tc>
        <w:tc>
          <w:tcPr>
            <w:tcW w:w="1440" w:type="dxa"/>
            <w:vAlign w:val="bottom"/>
            <w:gridSpan w:val="3"/>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29,959,237</w:t>
            </w:r>
          </w:p>
        </w:tc>
        <w:tc>
          <w:tcPr>
            <w:tcW w:w="280" w:type="dxa"/>
            <w:vAlign w:val="bottom"/>
          </w:tcPr>
          <w:p>
            <w:pPr>
              <w:spacing w:after="0"/>
              <w:rPr>
                <w:sz w:val="14"/>
                <w:szCs w:val="14"/>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85,912,588</w:t>
            </w:r>
          </w:p>
        </w:tc>
        <w:tc>
          <w:tcPr>
            <w:tcW w:w="26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115,871,825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80" w:type="dxa"/>
            <w:vAlign w:val="bottom"/>
            <w:vMerge w:val="restart"/>
          </w:tcPr>
          <w:p>
            <w:pPr>
              <w:jc w:val="right"/>
              <w:ind w:right="468"/>
              <w:spacing w:after="0"/>
              <w:rPr>
                <w:sz w:val="20"/>
                <w:szCs w:val="20"/>
                <w:color w:val="auto"/>
              </w:rPr>
            </w:pPr>
            <w:r>
              <w:rPr>
                <w:rFonts w:ascii="Arial" w:cs="Arial" w:eastAsia="Arial" w:hAnsi="Arial"/>
                <w:sz w:val="14"/>
                <w:szCs w:val="14"/>
                <w:color w:val="auto"/>
              </w:rPr>
              <w:t>80</w:t>
            </w: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16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51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80" w:name="page81"/>
    <w:bookmarkEnd w:id="80"/>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8"/>
          </w:tcPr>
          <w:p>
            <w:pPr>
              <w:jc w:val="center"/>
              <w:ind w:right="128"/>
              <w:spacing w:after="0"/>
              <w:rPr>
                <w:sz w:val="20"/>
                <w:szCs w:val="20"/>
                <w:color w:val="auto"/>
              </w:rPr>
            </w:pPr>
            <w:r>
              <w:rPr>
                <w:rFonts w:ascii="Arial" w:cs="Arial" w:eastAsia="Arial" w:hAnsi="Arial"/>
                <w:sz w:val="14"/>
                <w:szCs w:val="14"/>
                <w:b w:val="1"/>
                <w:bCs w:val="1"/>
                <w:color w:val="auto"/>
                <w:w w:val="92"/>
              </w:rPr>
              <w:t>Year Ended September 30, 2020</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1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1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4"/>
          </w:tcPr>
          <w:p>
            <w:pPr>
              <w:jc w:val="right"/>
              <w:ind w:right="840"/>
              <w:spacing w:after="0" w:line="133" w:lineRule="exact"/>
              <w:rPr>
                <w:sz w:val="20"/>
                <w:szCs w:val="20"/>
                <w:color w:val="auto"/>
              </w:rPr>
            </w:pPr>
            <w:r>
              <w:rPr>
                <w:rFonts w:ascii="Arial" w:cs="Arial" w:eastAsia="Arial" w:hAnsi="Arial"/>
                <w:sz w:val="14"/>
                <w:szCs w:val="14"/>
                <w:b w:val="1"/>
                <w:bCs w:val="1"/>
                <w:color w:val="auto"/>
              </w:rPr>
              <w:t>Debt</w:t>
            </w:r>
          </w:p>
        </w:tc>
        <w:tc>
          <w:tcPr>
            <w:tcW w:w="180" w:type="dxa"/>
            <w:vAlign w:val="bottom"/>
          </w:tcPr>
          <w:p>
            <w:pPr>
              <w:spacing w:after="0"/>
              <w:rPr>
                <w:sz w:val="11"/>
                <w:szCs w:val="11"/>
                <w:color w:val="auto"/>
              </w:rPr>
            </w:pPr>
          </w:p>
        </w:tc>
        <w:tc>
          <w:tcPr>
            <w:tcW w:w="1320" w:type="dxa"/>
            <w:vAlign w:val="bottom"/>
            <w:gridSpan w:val="3"/>
          </w:tcPr>
          <w:p>
            <w:pPr>
              <w:jc w:val="center"/>
              <w:ind w:right="300"/>
              <w:spacing w:after="0" w:line="133" w:lineRule="exact"/>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05"/>
        </w:trPr>
        <w:tc>
          <w:tcPr>
            <w:tcW w:w="6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gridSpan w:val="4"/>
            <w:vMerge w:val="restart"/>
          </w:tcPr>
          <w:p>
            <w:pPr>
              <w:jc w:val="right"/>
              <w:ind w:right="62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9"/>
                <w:szCs w:val="9"/>
                <w:color w:val="auto"/>
              </w:rPr>
            </w:pPr>
          </w:p>
        </w:tc>
        <w:tc>
          <w:tcPr>
            <w:tcW w:w="13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0"/>
              </w:rPr>
              <w:t>investments</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62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6240" w:type="dxa"/>
            <w:vAlign w:val="bottom"/>
            <w:tcBorders>
              <w:top w:val="single" w:sz="8" w:color="auto"/>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6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gridSpan w:val="3"/>
            <w:shd w:val="clear" w:color="auto" w:fill="CCECFF"/>
          </w:tcPr>
          <w:p>
            <w:pPr>
              <w:jc w:val="right"/>
              <w:spacing w:after="0" w:line="155" w:lineRule="exact"/>
              <w:rPr>
                <w:sz w:val="20"/>
                <w:szCs w:val="20"/>
                <w:color w:val="auto"/>
              </w:rPr>
            </w:pPr>
            <w:r>
              <w:rPr>
                <w:rFonts w:ascii="Arial" w:cs="Arial" w:eastAsia="Arial" w:hAnsi="Arial"/>
                <w:sz w:val="14"/>
                <w:szCs w:val="14"/>
                <w:color w:val="auto"/>
              </w:rPr>
              <w:t>1,025,779,134</w:t>
            </w:r>
          </w:p>
        </w:tc>
        <w:tc>
          <w:tcPr>
            <w:tcW w:w="28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192,859,082</w:t>
            </w:r>
          </w:p>
        </w:tc>
        <w:tc>
          <w:tcPr>
            <w:tcW w:w="10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1,218,638,216</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gridSpan w:val="2"/>
          </w:tcPr>
          <w:p>
            <w:pPr>
              <w:ind w:left="500"/>
              <w:spacing w:after="0"/>
              <w:rPr>
                <w:sz w:val="20"/>
                <w:szCs w:val="20"/>
                <w:color w:val="auto"/>
              </w:rPr>
            </w:pPr>
            <w:r>
              <w:rPr>
                <w:rFonts w:ascii="Arial" w:cs="Arial" w:eastAsia="Arial" w:hAnsi="Arial"/>
                <w:sz w:val="14"/>
                <w:szCs w:val="14"/>
                <w:color w:val="auto"/>
              </w:rPr>
              <w:t>Net realized gain (loss)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1,166,755</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4"/>
                <w:szCs w:val="14"/>
                <w:color w:val="auto"/>
              </w:rPr>
              <w:t>(12,123,615)</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4"/>
                <w:szCs w:val="14"/>
                <w:color w:val="auto"/>
              </w:rPr>
              <w:t>(10,956,860)</w:t>
            </w:r>
          </w:p>
        </w:tc>
        <w:tc>
          <w:tcPr>
            <w:tcW w:w="0" w:type="dxa"/>
            <w:vAlign w:val="bottom"/>
          </w:tcPr>
          <w:p>
            <w:pPr>
              <w:spacing w:after="0"/>
              <w:rPr>
                <w:sz w:val="1"/>
                <w:szCs w:val="1"/>
                <w:color w:val="auto"/>
              </w:rPr>
            </w:pPr>
          </w:p>
        </w:tc>
      </w:tr>
      <w:tr>
        <w:trPr>
          <w:trHeight w:val="162"/>
        </w:trPr>
        <w:tc>
          <w:tcPr>
            <w:tcW w:w="624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Net change in unrealized depreciation</w:t>
            </w: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60" w:type="dxa"/>
            <w:vAlign w:val="bottom"/>
            <w:gridSpan w:val="4"/>
            <w:shd w:val="clear" w:color="auto" w:fill="CCECFF"/>
          </w:tcPr>
          <w:p>
            <w:pPr>
              <w:jc w:val="right"/>
              <w:ind w:right="220"/>
              <w:spacing w:after="0"/>
              <w:rPr>
                <w:sz w:val="20"/>
                <w:szCs w:val="20"/>
                <w:color w:val="auto"/>
              </w:rPr>
            </w:pPr>
            <w:r>
              <w:rPr>
                <w:rFonts w:ascii="Arial" w:cs="Arial" w:eastAsia="Arial" w:hAnsi="Arial"/>
                <w:sz w:val="14"/>
                <w:szCs w:val="14"/>
                <w:color w:val="auto"/>
              </w:rPr>
              <w:t>(28,386,686)</w:t>
            </w:r>
          </w:p>
        </w:tc>
        <w:tc>
          <w:tcPr>
            <w:tcW w:w="180" w:type="dxa"/>
            <w:vAlign w:val="bottom"/>
            <w:shd w:val="clear" w:color="auto" w:fill="CCECFF"/>
          </w:tcPr>
          <w:p>
            <w:pPr>
              <w:spacing w:after="0"/>
              <w:rPr>
                <w:sz w:val="14"/>
                <w:szCs w:val="14"/>
                <w:color w:val="auto"/>
              </w:rPr>
            </w:pPr>
          </w:p>
        </w:tc>
        <w:tc>
          <w:tcPr>
            <w:tcW w:w="132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(19,106,443)</w:t>
            </w:r>
          </w:p>
        </w:tc>
        <w:tc>
          <w:tcPr>
            <w:tcW w:w="1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(47,493,129)</w:t>
            </w:r>
          </w:p>
        </w:tc>
        <w:tc>
          <w:tcPr>
            <w:tcW w:w="0" w:type="dxa"/>
            <w:vAlign w:val="bottom"/>
          </w:tcPr>
          <w:p>
            <w:pPr>
              <w:spacing w:after="0"/>
              <w:rPr>
                <w:sz w:val="1"/>
                <w:szCs w:val="1"/>
                <w:color w:val="auto"/>
              </w:rPr>
            </w:pPr>
          </w:p>
        </w:tc>
      </w:tr>
      <w:tr>
        <w:trPr>
          <w:trHeight w:val="162"/>
        </w:trPr>
        <w:tc>
          <w:tcPr>
            <w:tcW w:w="6240" w:type="dxa"/>
            <w:vAlign w:val="bottom"/>
            <w:gridSpan w:val="2"/>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287,551,273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109,604,770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397,156,043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60" w:type="dxa"/>
            <w:vAlign w:val="bottom"/>
            <w:gridSpan w:val="4"/>
            <w:shd w:val="clear" w:color="auto" w:fill="CCECFF"/>
          </w:tcPr>
          <w:p>
            <w:pPr>
              <w:jc w:val="right"/>
              <w:ind w:right="220"/>
              <w:spacing w:after="0"/>
              <w:rPr>
                <w:sz w:val="20"/>
                <w:szCs w:val="20"/>
                <w:color w:val="auto"/>
              </w:rPr>
            </w:pPr>
            <w:r>
              <w:rPr>
                <w:rFonts w:ascii="Arial" w:cs="Arial" w:eastAsia="Arial" w:hAnsi="Arial"/>
                <w:sz w:val="14"/>
                <w:szCs w:val="14"/>
                <w:color w:val="auto"/>
              </w:rPr>
              <w:t>(149,713,495)</w:t>
            </w:r>
          </w:p>
        </w:tc>
        <w:tc>
          <w:tcPr>
            <w:tcW w:w="180" w:type="dxa"/>
            <w:vAlign w:val="bottom"/>
            <w:shd w:val="clear" w:color="auto" w:fill="CCECFF"/>
          </w:tcPr>
          <w:p>
            <w:pPr>
              <w:spacing w:after="0"/>
              <w:rPr>
                <w:sz w:val="14"/>
                <w:szCs w:val="14"/>
                <w:color w:val="auto"/>
              </w:rPr>
            </w:pPr>
          </w:p>
        </w:tc>
        <w:tc>
          <w:tcPr>
            <w:tcW w:w="132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(479,848)</w:t>
            </w:r>
          </w:p>
        </w:tc>
        <w:tc>
          <w:tcPr>
            <w:tcW w:w="1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(150,193,343)</w:t>
            </w:r>
          </w:p>
        </w:tc>
        <w:tc>
          <w:tcPr>
            <w:tcW w:w="0" w:type="dxa"/>
            <w:vAlign w:val="bottom"/>
          </w:tcPr>
          <w:p>
            <w:pPr>
              <w:spacing w:after="0"/>
              <w:rPr>
                <w:sz w:val="1"/>
                <w:szCs w:val="1"/>
                <w:color w:val="auto"/>
              </w:rPr>
            </w:pPr>
          </w:p>
        </w:tc>
      </w:tr>
      <w:tr>
        <w:trPr>
          <w:trHeight w:val="162"/>
        </w:trPr>
        <w:tc>
          <w:tcPr>
            <w:tcW w:w="6240" w:type="dxa"/>
            <w:vAlign w:val="bottom"/>
            <w:gridSpan w:val="2"/>
          </w:tcPr>
          <w:p>
            <w:pPr>
              <w:ind w:left="500"/>
              <w:spacing w:after="0"/>
              <w:rPr>
                <w:sz w:val="20"/>
                <w:szCs w:val="20"/>
                <w:color w:val="auto"/>
              </w:rPr>
            </w:pPr>
            <w:r>
              <w:rPr>
                <w:rFonts w:ascii="Arial" w:cs="Arial" w:eastAsia="Arial" w:hAnsi="Arial"/>
                <w:sz w:val="14"/>
                <w:szCs w:val="14"/>
                <w:color w:val="auto"/>
              </w:rPr>
              <w:t>Investments contributed in-kind to PSLF</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4"/>
          </w:tcPr>
          <w:p>
            <w:pPr>
              <w:jc w:val="right"/>
              <w:ind w:right="220"/>
              <w:spacing w:after="0"/>
              <w:rPr>
                <w:sz w:val="20"/>
                <w:szCs w:val="20"/>
                <w:color w:val="auto"/>
              </w:rPr>
            </w:pPr>
            <w:r>
              <w:rPr>
                <w:rFonts w:ascii="Arial" w:cs="Arial" w:eastAsia="Arial" w:hAnsi="Arial"/>
                <w:sz w:val="14"/>
                <w:szCs w:val="14"/>
                <w:color w:val="auto"/>
              </w:rPr>
              <w:t>(356,140,523)</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4"/>
                <w:szCs w:val="14"/>
                <w:color w:val="auto"/>
              </w:rPr>
              <w:t>(356,140,523)</w:t>
            </w:r>
          </w:p>
        </w:tc>
        <w:tc>
          <w:tcPr>
            <w:tcW w:w="0" w:type="dxa"/>
            <w:vAlign w:val="bottom"/>
          </w:tcPr>
          <w:p>
            <w:pPr>
              <w:spacing w:after="0"/>
              <w:rPr>
                <w:sz w:val="1"/>
                <w:szCs w:val="1"/>
                <w:color w:val="auto"/>
              </w:rPr>
            </w:pPr>
          </w:p>
        </w:tc>
      </w:tr>
      <w:tr>
        <w:trPr>
          <w:trHeight w:val="162"/>
        </w:trPr>
        <w:tc>
          <w:tcPr>
            <w:tcW w:w="624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Realized loss on investments contributed in-kind to PSLF</w:t>
            </w: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60" w:type="dxa"/>
            <w:vAlign w:val="bottom"/>
            <w:gridSpan w:val="4"/>
            <w:shd w:val="clear" w:color="auto" w:fill="CCECFF"/>
          </w:tcPr>
          <w:p>
            <w:pPr>
              <w:jc w:val="right"/>
              <w:ind w:right="220"/>
              <w:spacing w:after="0"/>
              <w:rPr>
                <w:sz w:val="20"/>
                <w:szCs w:val="20"/>
                <w:color w:val="auto"/>
              </w:rPr>
            </w:pPr>
            <w:r>
              <w:rPr>
                <w:rFonts w:ascii="Arial" w:cs="Arial" w:eastAsia="Arial" w:hAnsi="Arial"/>
                <w:sz w:val="14"/>
                <w:szCs w:val="14"/>
                <w:color w:val="auto"/>
              </w:rPr>
              <w:t>(6,830,487)</w:t>
            </w:r>
          </w:p>
        </w:tc>
        <w:tc>
          <w:tcPr>
            <w:tcW w:w="18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28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(6,830,487)</w:t>
            </w:r>
          </w:p>
        </w:tc>
        <w:tc>
          <w:tcPr>
            <w:tcW w:w="0" w:type="dxa"/>
            <w:vAlign w:val="bottom"/>
          </w:tcPr>
          <w:p>
            <w:pPr>
              <w:spacing w:after="0"/>
              <w:rPr>
                <w:sz w:val="1"/>
                <w:szCs w:val="1"/>
                <w:color w:val="auto"/>
              </w:rPr>
            </w:pPr>
          </w:p>
        </w:tc>
      </w:tr>
      <w:tr>
        <w:trPr>
          <w:trHeight w:val="162"/>
        </w:trPr>
        <w:tc>
          <w:tcPr>
            <w:tcW w:w="6240" w:type="dxa"/>
            <w:vAlign w:val="bottom"/>
            <w:gridSpan w:val="2"/>
          </w:tcPr>
          <w:p>
            <w:pPr>
              <w:ind w:left="500"/>
              <w:spacing w:after="0"/>
              <w:rPr>
                <w:sz w:val="20"/>
                <w:szCs w:val="20"/>
                <w:color w:val="auto"/>
              </w:rPr>
            </w:pPr>
            <w:r>
              <w:rPr>
                <w:rFonts w:ascii="Arial" w:cs="Arial" w:eastAsia="Arial" w:hAnsi="Arial"/>
                <w:sz w:val="14"/>
                <w:szCs w:val="14"/>
                <w:color w:val="auto"/>
              </w:rPr>
              <w:t>Transfers in/out of Level 3</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240" w:type="dxa"/>
            <w:vAlign w:val="bottom"/>
            <w:tcBorders>
              <w:top w:val="single" w:sz="8" w:color="CCECFF"/>
              <w:bottom w:val="single" w:sz="8" w:color="CCECFF"/>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gridSpan w:val="3"/>
            <w:shd w:val="clear" w:color="auto" w:fill="CCECFF"/>
          </w:tcPr>
          <w:p>
            <w:pPr>
              <w:jc w:val="right"/>
              <w:spacing w:after="0" w:line="155" w:lineRule="exact"/>
              <w:rPr>
                <w:sz w:val="20"/>
                <w:szCs w:val="20"/>
                <w:color w:val="auto"/>
              </w:rPr>
            </w:pPr>
            <w:r>
              <w:rPr>
                <w:rFonts w:ascii="Arial" w:cs="Arial" w:eastAsia="Arial" w:hAnsi="Arial"/>
                <w:sz w:val="14"/>
                <w:szCs w:val="14"/>
                <w:color w:val="auto"/>
              </w:rPr>
              <w:t>773,425,971</w:t>
            </w:r>
          </w:p>
        </w:tc>
        <w:tc>
          <w:tcPr>
            <w:tcW w:w="28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270,753,946</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1,044,179,917</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4"/>
                <w:szCs w:val="14"/>
                <w:color w:val="auto"/>
              </w:rPr>
              <w:t>Net change in unrealized depreciation reported within the net change in unrealized</w:t>
            </w: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2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depreciation on investments in our Consolidated Statements of Operations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240" w:type="dxa"/>
            <w:vAlign w:val="bottom"/>
            <w:gridSpan w:val="2"/>
          </w:tcPr>
          <w:p>
            <w:pPr>
              <w:ind w:left="120"/>
              <w:spacing w:after="0"/>
              <w:rPr>
                <w:sz w:val="20"/>
                <w:szCs w:val="20"/>
                <w:color w:val="auto"/>
              </w:rPr>
            </w:pPr>
            <w:r>
              <w:rPr>
                <w:rFonts w:ascii="Arial" w:cs="Arial" w:eastAsia="Arial" w:hAnsi="Arial"/>
                <w:sz w:val="14"/>
                <w:szCs w:val="14"/>
                <w:color w:val="auto"/>
              </w:rPr>
              <w:t>attributable to our Level 3 assets still held at the reporting date.</w:t>
            </w:r>
          </w:p>
        </w:tc>
        <w:tc>
          <w:tcPr>
            <w:tcW w:w="36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460" w:type="dxa"/>
            <w:vAlign w:val="bottom"/>
            <w:gridSpan w:val="4"/>
          </w:tcPr>
          <w:p>
            <w:pPr>
              <w:jc w:val="right"/>
              <w:ind w:right="220"/>
              <w:spacing w:after="0"/>
              <w:rPr>
                <w:sz w:val="20"/>
                <w:szCs w:val="20"/>
                <w:color w:val="auto"/>
              </w:rPr>
            </w:pPr>
            <w:r>
              <w:rPr>
                <w:rFonts w:ascii="Arial" w:cs="Arial" w:eastAsia="Arial" w:hAnsi="Arial"/>
                <w:sz w:val="14"/>
                <w:szCs w:val="14"/>
                <w:color w:val="auto"/>
              </w:rPr>
              <w:t>(27,243,048)</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320" w:type="dxa"/>
            <w:vAlign w:val="bottom"/>
            <w:gridSpan w:val="3"/>
          </w:tcPr>
          <w:p>
            <w:pPr>
              <w:jc w:val="right"/>
              <w:ind w:right="60"/>
              <w:spacing w:after="0"/>
              <w:rPr>
                <w:sz w:val="20"/>
                <w:szCs w:val="20"/>
                <w:color w:val="auto"/>
              </w:rPr>
            </w:pPr>
            <w:r>
              <w:rPr>
                <w:rFonts w:ascii="Arial" w:cs="Arial" w:eastAsia="Arial" w:hAnsi="Arial"/>
                <w:sz w:val="14"/>
                <w:szCs w:val="14"/>
                <w:color w:val="auto"/>
              </w:rPr>
              <w:t>(22,106,443)</w:t>
            </w:r>
          </w:p>
        </w:tc>
        <w:tc>
          <w:tcPr>
            <w:tcW w:w="4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gridSpan w:val="3"/>
          </w:tcPr>
          <w:p>
            <w:pPr>
              <w:jc w:val="right"/>
              <w:ind w:right="60"/>
              <w:spacing w:after="0"/>
              <w:rPr>
                <w:sz w:val="20"/>
                <w:szCs w:val="20"/>
                <w:color w:val="auto"/>
              </w:rPr>
            </w:pPr>
            <w:r>
              <w:rPr>
                <w:rFonts w:ascii="Arial" w:cs="Arial" w:eastAsia="Arial" w:hAnsi="Arial"/>
                <w:sz w:val="14"/>
                <w:szCs w:val="14"/>
                <w:color w:val="auto"/>
              </w:rPr>
              <w:t>(49,349,491)</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10000" w:type="dxa"/>
            <w:vAlign w:val="bottom"/>
            <w:gridSpan w:val="14"/>
          </w:tcPr>
          <w:p>
            <w:pPr>
              <w:ind w:left="440"/>
              <w:spacing w:after="0"/>
              <w:rPr>
                <w:sz w:val="20"/>
                <w:szCs w:val="20"/>
                <w:color w:val="auto"/>
              </w:rPr>
            </w:pPr>
            <w:r>
              <w:rPr>
                <w:rFonts w:ascii="Arial" w:cs="Arial" w:eastAsia="Arial" w:hAnsi="Arial"/>
                <w:sz w:val="14"/>
                <w:szCs w:val="14"/>
                <w:color w:val="auto"/>
                <w:w w:val="96"/>
              </w:rPr>
              <w:t>The table below shows a reconciliation of the beginning and ending balances for liabilities measured at fair value using significant unobservable inputs (Level 3):</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1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gridSpan w:val="8"/>
          </w:tcPr>
          <w:p>
            <w:pPr>
              <w:jc w:val="right"/>
              <w:ind w:right="980"/>
              <w:spacing w:after="0"/>
              <w:rPr>
                <w:sz w:val="20"/>
                <w:szCs w:val="20"/>
                <w:color w:val="auto"/>
              </w:rPr>
            </w:pPr>
            <w:r>
              <w:rPr>
                <w:rFonts w:ascii="Arial" w:cs="Arial" w:eastAsia="Arial" w:hAnsi="Arial"/>
                <w:sz w:val="14"/>
                <w:szCs w:val="14"/>
                <w:b w:val="1"/>
                <w:bCs w:val="1"/>
                <w:color w:val="auto"/>
              </w:rPr>
              <w:t>Years Ended September 30,</w:t>
            </w:r>
          </w:p>
        </w:tc>
        <w:tc>
          <w:tcPr>
            <w:tcW w:w="0" w:type="dxa"/>
            <w:vAlign w:val="bottom"/>
          </w:tcPr>
          <w:p>
            <w:pPr>
              <w:spacing w:after="0"/>
              <w:rPr>
                <w:sz w:val="1"/>
                <w:szCs w:val="1"/>
                <w:color w:val="auto"/>
              </w:rPr>
            </w:pPr>
          </w:p>
        </w:tc>
      </w:tr>
      <w:tr>
        <w:trPr>
          <w:trHeight w:val="26"/>
        </w:trPr>
        <w:tc>
          <w:tcPr>
            <w:tcW w:w="6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Long-Term Credit Facilities</w:t>
            </w: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24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60" w:type="dxa"/>
            <w:vAlign w:val="bottom"/>
            <w:tcBorders>
              <w:bottom w:val="single" w:sz="8" w:color="CCEC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4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Beginning Balance (cost – $388,252,000 and $472,636,000, respectively)</w:t>
            </w:r>
          </w:p>
        </w:tc>
        <w:tc>
          <w:tcPr>
            <w:tcW w:w="1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340" w:type="dxa"/>
            <w:vAlign w:val="bottom"/>
            <w:gridSpan w:val="2"/>
            <w:shd w:val="clear" w:color="auto" w:fill="CCECFF"/>
          </w:tcPr>
          <w:p>
            <w:pPr>
              <w:jc w:val="right"/>
              <w:ind w:right="260"/>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shd w:val="clear" w:color="auto" w:fill="CCECFF"/>
          </w:tcPr>
          <w:p>
            <w:pPr>
              <w:spacing w:after="0"/>
              <w:rPr>
                <w:sz w:val="13"/>
                <w:szCs w:val="13"/>
                <w:color w:val="auto"/>
              </w:rPr>
            </w:pP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360,701,972</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60" w:type="dxa"/>
            <w:vAlign w:val="bottom"/>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shd w:val="clear" w:color="auto" w:fill="CCECFF"/>
          </w:tcPr>
          <w:p>
            <w:pPr>
              <w:spacing w:after="0"/>
              <w:rPr>
                <w:sz w:val="13"/>
                <w:szCs w:val="13"/>
                <w:color w:val="auto"/>
              </w:rPr>
            </w:pPr>
          </w:p>
        </w:tc>
        <w:tc>
          <w:tcPr>
            <w:tcW w:w="11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465,390,214</w:t>
            </w: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gridSpan w:val="2"/>
          </w:tcPr>
          <w:p>
            <w:pPr>
              <w:ind w:left="500"/>
              <w:spacing w:after="0"/>
              <w:rPr>
                <w:sz w:val="20"/>
                <w:szCs w:val="20"/>
                <w:color w:val="auto"/>
              </w:rPr>
            </w:pPr>
            <w:r>
              <w:rPr>
                <w:rFonts w:ascii="Arial" w:cs="Arial" w:eastAsia="Arial" w:hAnsi="Arial"/>
                <w:sz w:val="14"/>
                <w:szCs w:val="14"/>
                <w:color w:val="auto"/>
              </w:rPr>
              <w:t>Net change in unrealized (depreciation) appreciation included in earnings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17,818,273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4"/>
                <w:szCs w:val="14"/>
                <w:color w:val="auto"/>
              </w:rPr>
              <w:t>(12,304,242)</w:t>
            </w:r>
          </w:p>
        </w:tc>
        <w:tc>
          <w:tcPr>
            <w:tcW w:w="0" w:type="dxa"/>
            <w:vAlign w:val="bottom"/>
          </w:tcPr>
          <w:p>
            <w:pPr>
              <w:spacing w:after="0"/>
              <w:rPr>
                <w:sz w:val="1"/>
                <w:szCs w:val="1"/>
                <w:color w:val="auto"/>
              </w:rPr>
            </w:pPr>
          </w:p>
        </w:tc>
      </w:tr>
      <w:tr>
        <w:trPr>
          <w:trHeight w:val="162"/>
        </w:trPr>
        <w:tc>
          <w:tcPr>
            <w:tcW w:w="624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 xml:space="preserve">Borrowings </w:t>
            </w:r>
            <w:r>
              <w:rPr>
                <w:rFonts w:ascii="Arial" w:cs="Arial" w:eastAsia="Arial" w:hAnsi="Arial"/>
                <w:sz w:val="12"/>
                <w:szCs w:val="12"/>
                <w:color w:val="auto"/>
              </w:rPr>
              <w:t>(1)</w:t>
            </w: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310,311,500</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298,000,000</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gridSpan w:val="2"/>
          </w:tcPr>
          <w:p>
            <w:pPr>
              <w:ind w:left="500"/>
              <w:spacing w:after="0"/>
              <w:rPr>
                <w:sz w:val="20"/>
                <w:szCs w:val="20"/>
                <w:color w:val="auto"/>
              </w:rPr>
            </w:pPr>
            <w:r>
              <w:rPr>
                <w:rFonts w:ascii="Arial" w:cs="Arial" w:eastAsia="Arial" w:hAnsi="Arial"/>
                <w:sz w:val="14"/>
                <w:szCs w:val="14"/>
                <w:color w:val="auto"/>
              </w:rPr>
              <w:t xml:space="preserve">Repayments </w:t>
            </w:r>
            <w:r>
              <w:rPr>
                <w:rFonts w:ascii="Arial" w:cs="Arial" w:eastAsia="Arial" w:hAnsi="Arial"/>
                <w:sz w:val="12"/>
                <w:szCs w:val="12"/>
                <w:color w:val="auto"/>
              </w:rPr>
              <w:t>(1)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48"/>
              <w:spacing w:after="0"/>
              <w:rPr>
                <w:sz w:val="20"/>
                <w:szCs w:val="20"/>
                <w:color w:val="auto"/>
              </w:rPr>
            </w:pPr>
            <w:r>
              <w:rPr>
                <w:rFonts w:ascii="Arial" w:cs="Arial" w:eastAsia="Arial" w:hAnsi="Arial"/>
                <w:sz w:val="14"/>
                <w:szCs w:val="14"/>
                <w:color w:val="auto"/>
              </w:rPr>
              <w:t>(374,018,600)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4"/>
                <w:szCs w:val="14"/>
                <w:color w:val="auto"/>
              </w:rPr>
              <w:t>(145,384,000)</w:t>
            </w:r>
          </w:p>
        </w:tc>
        <w:tc>
          <w:tcPr>
            <w:tcW w:w="0" w:type="dxa"/>
            <w:vAlign w:val="bottom"/>
          </w:tcPr>
          <w:p>
            <w:pPr>
              <w:spacing w:after="0"/>
              <w:rPr>
                <w:sz w:val="1"/>
                <w:szCs w:val="1"/>
                <w:color w:val="auto"/>
              </w:rPr>
            </w:pPr>
          </w:p>
        </w:tc>
      </w:tr>
      <w:tr>
        <w:trPr>
          <w:trHeight w:val="162"/>
        </w:trPr>
        <w:tc>
          <w:tcPr>
            <w:tcW w:w="624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 xml:space="preserve">Transfers in and/or out of Level 3 </w:t>
            </w:r>
            <w:r>
              <w:rPr>
                <w:rFonts w:ascii="Arial" w:cs="Arial" w:eastAsia="Arial" w:hAnsi="Arial"/>
                <w:sz w:val="12"/>
                <w:szCs w:val="12"/>
                <w:color w:val="auto"/>
              </w:rPr>
              <w:t>(2)</w:t>
            </w: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320" w:type="dxa"/>
            <w:vAlign w:val="bottom"/>
            <w:gridSpan w:val="3"/>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3"/>
            <w:shd w:val="clear" w:color="auto" w:fill="CCECFF"/>
          </w:tcPr>
          <w:p>
            <w:pPr>
              <w:jc w:val="right"/>
              <w:ind w:right="80"/>
              <w:spacing w:after="0"/>
              <w:rPr>
                <w:sz w:val="20"/>
                <w:szCs w:val="20"/>
                <w:color w:val="auto"/>
              </w:rPr>
            </w:pPr>
            <w:r>
              <w:rPr>
                <w:rFonts w:ascii="Arial" w:cs="Arial" w:eastAsia="Arial" w:hAnsi="Arial"/>
                <w:sz w:val="14"/>
                <w:szCs w:val="14"/>
                <w:color w:val="auto"/>
              </w:rPr>
              <w:t>(245,000,000)</w:t>
            </w:r>
          </w:p>
        </w:tc>
        <w:tc>
          <w:tcPr>
            <w:tcW w:w="0" w:type="dxa"/>
            <w:vAlign w:val="bottom"/>
          </w:tcPr>
          <w:p>
            <w:pPr>
              <w:spacing w:after="0"/>
              <w:rPr>
                <w:sz w:val="1"/>
                <w:szCs w:val="1"/>
                <w:color w:val="auto"/>
              </w:rPr>
            </w:pPr>
          </w:p>
        </w:tc>
      </w:tr>
      <w:tr>
        <w:trPr>
          <w:trHeight w:val="155"/>
        </w:trPr>
        <w:tc>
          <w:tcPr>
            <w:tcW w:w="624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$316,544,900 and $380,252,000, respectively)</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top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314,813,145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360,701,972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Temporary draws outstanding, at cost</w:t>
            </w: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320" w:type="dxa"/>
            <w:vAlign w:val="bottom"/>
            <w:gridSpan w:val="3"/>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8,000,000</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24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$316,544,900 and $388,252,000, respectively)</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top w:val="single" w:sz="8" w:color="auto"/>
              <w:bottom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314,813,145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368,701,972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120" w:type="dxa"/>
            <w:vAlign w:val="bottom"/>
            <w:tcBorders>
              <w:bottom w:val="single" w:sz="8" w:color="auto"/>
            </w:tcBorders>
          </w:tcPr>
          <w:p>
            <w:pPr>
              <w:spacing w:after="0"/>
              <w:rPr>
                <w:sz w:val="3"/>
                <w:szCs w:val="3"/>
                <w:color w:val="auto"/>
              </w:rPr>
            </w:pPr>
          </w:p>
        </w:tc>
        <w:tc>
          <w:tcPr>
            <w:tcW w:w="4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80" w:hanging="372"/>
        <w:spacing w:after="0" w:line="187" w:lineRule="auto"/>
        <w:tabs>
          <w:tab w:leader="none" w:pos="380" w:val="left"/>
        </w:tabs>
        <w:numPr>
          <w:ilvl w:val="0"/>
          <w:numId w:val="88"/>
        </w:numPr>
        <w:rPr>
          <w:rFonts w:ascii="Arial" w:cs="Arial" w:eastAsia="Arial" w:hAnsi="Arial"/>
          <w:sz w:val="20"/>
          <w:szCs w:val="20"/>
          <w:b w:val="1"/>
          <w:bCs w:val="1"/>
          <w:color w:val="auto"/>
          <w:vertAlign w:val="superscript"/>
        </w:rPr>
      </w:pPr>
      <w:r>
        <w:rPr>
          <w:rFonts w:ascii="Arial" w:cs="Arial" w:eastAsia="Arial" w:hAnsi="Arial"/>
          <w:sz w:val="12"/>
          <w:szCs w:val="12"/>
          <w:color w:val="auto"/>
        </w:rPr>
        <w:t>Excludes temporary draws.</w:t>
      </w:r>
    </w:p>
    <w:p>
      <w:pPr>
        <w:jc w:val="both"/>
        <w:ind w:left="380" w:right="260" w:hanging="372"/>
        <w:spacing w:after="0" w:line="193" w:lineRule="auto"/>
        <w:tabs>
          <w:tab w:leader="none" w:pos="380" w:val="left"/>
        </w:tabs>
        <w:numPr>
          <w:ilvl w:val="0"/>
          <w:numId w:val="88"/>
        </w:numPr>
        <w:rPr>
          <w:rFonts w:ascii="Arial" w:cs="Arial" w:eastAsia="Arial" w:hAnsi="Arial"/>
          <w:sz w:val="20"/>
          <w:szCs w:val="20"/>
          <w:b w:val="1"/>
          <w:bCs w:val="1"/>
          <w:color w:val="auto"/>
          <w:vertAlign w:val="superscript"/>
        </w:rPr>
      </w:pPr>
      <w:r>
        <w:rPr>
          <w:rFonts w:ascii="Arial" w:cs="Arial" w:eastAsia="Arial" w:hAnsi="Arial"/>
          <w:sz w:val="12"/>
          <w:szCs w:val="12"/>
          <w:color w:val="auto"/>
        </w:rPr>
        <w:t>On July 31, 2020, we and Pantheon formed PSLF, an unconsolidated joint venture. Pursuant to the terms of the transaction, we contributed our formerly wholly-owned subsidiary, Funding I, to PSLF for a 72% stake in the joint venture. As a result of the transaction, Funding I was deconsolidated from PennantPark Investment’s financial statements, including Funding I’s BNP Credit Facility with $245.0 million drawn as of July 31, 2020. This non-cash transaction has been reported above as transfer out of level 3.</w:t>
      </w:r>
    </w:p>
    <w:p>
      <w:pPr>
        <w:spacing w:after="0" w:line="124" w:lineRule="exact"/>
        <w:rPr>
          <w:sz w:val="20"/>
          <w:szCs w:val="20"/>
          <w:color w:val="auto"/>
        </w:rPr>
      </w:pPr>
    </w:p>
    <w:p>
      <w:pPr>
        <w:ind w:right="140" w:firstLine="438"/>
        <w:spacing w:after="0" w:line="253" w:lineRule="auto"/>
        <w:rPr>
          <w:sz w:val="20"/>
          <w:szCs w:val="20"/>
          <w:color w:val="auto"/>
        </w:rPr>
      </w:pPr>
      <w:r>
        <w:rPr>
          <w:rFonts w:ascii="Arial" w:cs="Arial" w:eastAsia="Arial" w:hAnsi="Arial"/>
          <w:sz w:val="14"/>
          <w:szCs w:val="14"/>
          <w:color w:val="auto"/>
        </w:rPr>
        <w:t>As of September 30, 2021, we had outstanding non-U.S. dollar borrowings on our Credit Facilities. Net change in fair value on foreign currency translation on outstanding borrowings is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 Borrowed</w:t>
            </w:r>
          </w:p>
        </w:tc>
        <w:tc>
          <w:tcPr>
            <w:tcW w:w="2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rPr>
              <w:t>Borrowing Cost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Current Value</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r>
      <w:tr>
        <w:trPr>
          <w:trHeight w:val="155"/>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British Pound</w:t>
            </w:r>
          </w:p>
        </w:tc>
        <w:tc>
          <w:tcPr>
            <w:tcW w:w="1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29,000,000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40,044,900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39,102,150</w:t>
            </w:r>
          </w:p>
        </w:tc>
        <w:tc>
          <w:tcPr>
            <w:tcW w:w="28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2"/>
              </w:rPr>
              <w:t>December 17, 2021</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(942,750)</w:t>
            </w:r>
          </w:p>
        </w:tc>
        <w:tc>
          <w:tcPr>
            <w:tcW w:w="100" w:type="dxa"/>
            <w:vAlign w:val="bottom"/>
            <w:tcBorders>
              <w:top w:val="single" w:sz="8" w:color="CCECFF"/>
            </w:tcBorders>
            <w:shd w:val="clear" w:color="auto" w:fill="CCECFF"/>
          </w:tcPr>
          <w:p>
            <w:pPr>
              <w:spacing w:after="0"/>
              <w:rPr>
                <w:sz w:val="13"/>
                <w:szCs w:val="13"/>
                <w:color w:val="auto"/>
              </w:rPr>
            </w:pPr>
          </w:p>
        </w:tc>
      </w:tr>
    </w:tbl>
    <w:p>
      <w:pPr>
        <w:spacing w:after="0" w:line="130" w:lineRule="exact"/>
        <w:rPr>
          <w:sz w:val="20"/>
          <w:szCs w:val="20"/>
          <w:color w:val="auto"/>
        </w:rPr>
      </w:pPr>
    </w:p>
    <w:p>
      <w:pPr>
        <w:ind w:right="680" w:firstLine="438"/>
        <w:spacing w:after="0" w:line="253" w:lineRule="auto"/>
        <w:rPr>
          <w:sz w:val="20"/>
          <w:szCs w:val="20"/>
          <w:color w:val="auto"/>
        </w:rPr>
      </w:pPr>
      <w:r>
        <w:rPr>
          <w:rFonts w:ascii="Arial" w:cs="Arial" w:eastAsia="Arial" w:hAnsi="Arial"/>
          <w:sz w:val="14"/>
          <w:szCs w:val="14"/>
          <w:color w:val="auto"/>
        </w:rPr>
        <w:t>As of September 30, 2020, we had outstanding non-U.S. dollar borrowings on our Truist Credit Facility. Net change in fair value on foreign currency translation on outstanding borrowings is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 Borrowed</w:t>
            </w:r>
          </w:p>
        </w:tc>
        <w:tc>
          <w:tcPr>
            <w:tcW w:w="2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rPr>
              <w:t>Borrowing Cost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Current Value</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r>
      <w:tr>
        <w:trPr>
          <w:trHeight w:val="155"/>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British Pound</w:t>
            </w:r>
          </w:p>
        </w:tc>
        <w:tc>
          <w:tcPr>
            <w:tcW w:w="1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28,000,000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38,752,000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36,198,400</w:t>
            </w:r>
          </w:p>
        </w:tc>
        <w:tc>
          <w:tcPr>
            <w:tcW w:w="28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2"/>
              </w:rPr>
              <w:t>December 18, 2020</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(2,553,600)</w:t>
            </w:r>
          </w:p>
        </w:tc>
        <w:tc>
          <w:tcPr>
            <w:tcW w:w="100" w:type="dxa"/>
            <w:vAlign w:val="bottom"/>
            <w:tcBorders>
              <w:top w:val="single" w:sz="8" w:color="CCECFF"/>
            </w:tcBorders>
            <w:shd w:val="clear" w:color="auto" w:fill="CCECFF"/>
          </w:tcPr>
          <w:p>
            <w:pPr>
              <w:spacing w:after="0"/>
              <w:rPr>
                <w:sz w:val="13"/>
                <w:szCs w:val="13"/>
                <w:color w:val="auto"/>
              </w:rPr>
            </w:pPr>
          </w:p>
        </w:tc>
      </w:tr>
    </w:tbl>
    <w:p>
      <w:pPr>
        <w:spacing w:after="0" w:line="130"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our Credit Facilities and, prior to their redemption, the 2019 Notes. We elected to use the fair value option for the Credit Facilities and, prior to their redemption, the 2019 Notes to align the measurement attributes of both our assets and liabilities while mitigating volatility in earnings from using different measurement attributes. Due to that election and in accordance with GAAP, we incurred expenses of zero, zero and $7.1 million relating to amendment costs on the Credit Facilities during the years ended September 30, 2021, 2020 and 2019,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Facilities and, prior to their redemption, the 2019 Notes are reported in our Consolidated Statements of Operations. We did not elect to apply ASC 825-10 to any other financial assets or liabilities, including the 2024 Notes, 2026 Notes and the SBA debentures.</w:t>
      </w:r>
    </w:p>
    <w:p>
      <w:pPr>
        <w:spacing w:after="0" w:line="117"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For the year ended September 30, 2021, the Credit Facility had a net change in unrealized appreciation of $17.8 million. For the years ended September 30, 2020 and 2019, the Credit Facilities and the 2019 Notes had a net change in unrealized depreciation of $12.3 million and $5.7 million, respectively. As of September 30, 2021, the net unrealized depreciation on Truist Credit Facility totaled $1.7 million. As of September 30, 2020, the net unrealized depreciation on our Credit Facilities totaled $19.6 million. We use a nationally recognized independent valuation service to measure the fair value of our Credit Facilities and, prior to their redemption, the 2019 Notes in a manner consistent with the valuation process that the board of directors uses to value our investments.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40" w:lineRule="exact"/>
        <w:rPr>
          <w:sz w:val="20"/>
          <w:szCs w:val="20"/>
          <w:color w:val="auto"/>
        </w:rPr>
      </w:pPr>
    </w:p>
    <w:p>
      <w:pPr>
        <w:ind w:right="420" w:firstLine="438"/>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year ended September 30, 2021 were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Fair Value at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4"/>
                <w:szCs w:val="14"/>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Net Change in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100" w:type="dxa"/>
            <w:vAlign w:val="bottom"/>
          </w:tcPr>
          <w:p>
            <w:pPr>
              <w:spacing w:after="0"/>
              <w:rPr>
                <w:sz w:val="14"/>
                <w:szCs w:val="14"/>
                <w:color w:val="auto"/>
              </w:rPr>
            </w:pPr>
          </w:p>
        </w:tc>
        <w:tc>
          <w:tcPr>
            <w:tcW w:w="6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8"/>
              </w:rPr>
              <w:t>Interest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PIK</w:t>
            </w:r>
          </w:p>
        </w:tc>
        <w:tc>
          <w:tcPr>
            <w:tcW w:w="200" w:type="dxa"/>
            <w:vAlign w:val="bottom"/>
          </w:tcPr>
          <w:p>
            <w:pPr>
              <w:spacing w:after="0"/>
              <w:rPr>
                <w:sz w:val="14"/>
                <w:szCs w:val="14"/>
                <w:color w:val="auto"/>
              </w:rPr>
            </w:pPr>
          </w:p>
        </w:tc>
        <w:tc>
          <w:tcPr>
            <w:tcW w:w="8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4"/>
              </w:rPr>
              <w:t>Dividend</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Realized</w:t>
            </w:r>
          </w:p>
        </w:tc>
        <w:tc>
          <w:tcPr>
            <w:tcW w:w="0" w:type="dxa"/>
            <w:vAlign w:val="bottom"/>
          </w:tcPr>
          <w:p>
            <w:pPr>
              <w:spacing w:after="0"/>
              <w:rPr>
                <w:sz w:val="1"/>
                <w:szCs w:val="1"/>
                <w:color w:val="auto"/>
              </w:rPr>
            </w:pPr>
          </w:p>
        </w:tc>
      </w:tr>
      <w:tr>
        <w:trPr>
          <w:trHeight w:val="148"/>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Appreciation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171"/>
        </w:trPr>
        <w:tc>
          <w:tcPr>
            <w:tcW w:w="1540" w:type="dxa"/>
            <w:vAlign w:val="bottom"/>
            <w:vMerge w:val="continue"/>
          </w:tcPr>
          <w:p>
            <w:pPr>
              <w:spacing w:after="0"/>
              <w:rPr>
                <w:sz w:val="14"/>
                <w:szCs w:val="14"/>
                <w:color w:val="auto"/>
              </w:rPr>
            </w:pPr>
          </w:p>
        </w:tc>
        <w:tc>
          <w:tcPr>
            <w:tcW w:w="1280" w:type="dxa"/>
            <w:vAlign w:val="bottom"/>
            <w:gridSpan w:val="4"/>
          </w:tcPr>
          <w:p>
            <w:pPr>
              <w:ind w:left="80"/>
              <w:spacing w:after="0"/>
              <w:rPr>
                <w:sz w:val="20"/>
                <w:szCs w:val="20"/>
                <w:color w:val="auto"/>
              </w:rPr>
            </w:pPr>
            <w:r>
              <w:rPr>
                <w:rFonts w:ascii="Arial" w:cs="Arial" w:eastAsia="Arial" w:hAnsi="Arial"/>
                <w:sz w:val="14"/>
                <w:szCs w:val="14"/>
                <w:b w:val="1"/>
                <w:bCs w:val="1"/>
                <w:color w:val="auto"/>
                <w:w w:val="90"/>
              </w:rPr>
              <w:t>September 30, 2020</w:t>
            </w:r>
          </w:p>
        </w:tc>
        <w:tc>
          <w:tcPr>
            <w:tcW w:w="18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93"/>
              </w:rPr>
              <w:t>Additions</w:t>
            </w:r>
            <w:r>
              <w:rPr>
                <w:rFonts w:ascii="Arial" w:cs="Arial" w:eastAsia="Arial" w:hAnsi="Arial"/>
                <w:sz w:val="12"/>
                <w:szCs w:val="12"/>
                <w:b w:val="1"/>
                <w:bCs w:val="1"/>
                <w:color w:val="auto"/>
                <w:w w:val="93"/>
              </w:rPr>
              <w:t>(1)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Reductions</w:t>
            </w:r>
          </w:p>
        </w:tc>
        <w:tc>
          <w:tcPr>
            <w:tcW w:w="60" w:type="dxa"/>
            <w:vAlign w:val="bottom"/>
          </w:tcPr>
          <w:p>
            <w:pPr>
              <w:spacing w:after="0"/>
              <w:rPr>
                <w:sz w:val="14"/>
                <w:szCs w:val="14"/>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(Depreciation)</w:t>
            </w:r>
          </w:p>
        </w:tc>
        <w:tc>
          <w:tcPr>
            <w:tcW w:w="1460" w:type="dxa"/>
            <w:vAlign w:val="bottom"/>
            <w:gridSpan w:val="4"/>
          </w:tcPr>
          <w:p>
            <w:pPr>
              <w:ind w:left="80"/>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b w:val="1"/>
                <w:bCs w:val="1"/>
                <w:color w:val="auto"/>
                <w:w w:val="93"/>
              </w:rPr>
              <w:t>Income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(Losses)</w:t>
            </w:r>
          </w:p>
        </w:tc>
        <w:tc>
          <w:tcPr>
            <w:tcW w:w="0" w:type="dxa"/>
            <w:vAlign w:val="bottom"/>
          </w:tcPr>
          <w:p>
            <w:pPr>
              <w:spacing w:after="0"/>
              <w:rPr>
                <w:sz w:val="1"/>
                <w:szCs w:val="1"/>
                <w:color w:val="auto"/>
              </w:rPr>
            </w:pPr>
          </w:p>
        </w:tc>
      </w:tr>
      <w:tr>
        <w:trPr>
          <w:trHeight w:val="156"/>
        </w:trPr>
        <w:tc>
          <w:tcPr>
            <w:tcW w:w="154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Controlled Affiliates</w:t>
            </w:r>
          </w:p>
        </w:tc>
        <w:tc>
          <w:tcPr>
            <w:tcW w:w="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380" w:type="dxa"/>
            <w:vAlign w:val="bottom"/>
            <w:tcBorders>
              <w:top w:val="single" w:sz="8" w:color="auto"/>
            </w:tcBorders>
            <w:shd w:val="clear" w:color="auto" w:fill="CCECFF"/>
          </w:tcPr>
          <w:p>
            <w:pPr>
              <w:spacing w:after="0"/>
              <w:rPr>
                <w:sz w:val="13"/>
                <w:szCs w:val="13"/>
                <w:color w:val="auto"/>
              </w:rPr>
            </w:pPr>
          </w:p>
        </w:tc>
        <w:tc>
          <w:tcPr>
            <w:tcW w:w="700" w:type="dxa"/>
            <w:vAlign w:val="bottom"/>
            <w:tcBorders>
              <w:top w:val="single" w:sz="8" w:color="auto"/>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680" w:type="dxa"/>
            <w:vAlign w:val="bottom"/>
            <w:tcBorders>
              <w:top w:val="single" w:sz="8" w:color="auto"/>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86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1060" w:type="dxa"/>
            <w:vAlign w:val="bottom"/>
            <w:tcBorders>
              <w:top w:val="single" w:sz="8" w:color="auto"/>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680" w:type="dxa"/>
            <w:vAlign w:val="bottom"/>
            <w:tcBorders>
              <w:top w:val="single" w:sz="8" w:color="auto"/>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60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600" w:type="dxa"/>
            <w:vAlign w:val="bottom"/>
            <w:tcBorders>
              <w:top w:val="single" w:sz="8" w:color="auto"/>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74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40" w:type="dxa"/>
            <w:vAlign w:val="bottom"/>
          </w:tcPr>
          <w:p>
            <w:pPr>
              <w:spacing w:after="0"/>
              <w:rPr>
                <w:sz w:val="20"/>
                <w:szCs w:val="20"/>
                <w:color w:val="auto"/>
              </w:rPr>
            </w:pPr>
            <w:r>
              <w:rPr>
                <w:rFonts w:ascii="Arial" w:cs="Arial" w:eastAsia="Arial" w:hAnsi="Arial"/>
                <w:sz w:val="14"/>
                <w:szCs w:val="14"/>
                <w:color w:val="auto"/>
              </w:rPr>
              <w:t>AKW Holdings Limited</w:t>
            </w:r>
          </w:p>
        </w:tc>
        <w:tc>
          <w:tcPr>
            <w:tcW w:w="2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37,772,115</w:t>
            </w:r>
          </w:p>
        </w:tc>
        <w:tc>
          <w:tcPr>
            <w:tcW w:w="260" w:type="dxa"/>
            <w:vAlign w:val="bottom"/>
            <w:gridSpan w:val="2"/>
          </w:tcPr>
          <w:p>
            <w:pPr>
              <w:ind w:left="18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2,706,650</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900,186</w:t>
            </w:r>
          </w:p>
        </w:tc>
        <w:tc>
          <w:tcPr>
            <w:tcW w:w="120" w:type="dxa"/>
            <w:vAlign w:val="bottom"/>
          </w:tcPr>
          <w:p>
            <w:pPr>
              <w:spacing w:after="0"/>
              <w:rPr>
                <w:sz w:val="14"/>
                <w:szCs w:val="14"/>
                <w:color w:val="auto"/>
              </w:rPr>
            </w:pPr>
          </w:p>
        </w:tc>
        <w:tc>
          <w:tcPr>
            <w:tcW w:w="2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41,378,951</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3,081,272</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54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Mailsouth Inc. </w:t>
            </w:r>
            <w:r>
              <w:rPr>
                <w:rFonts w:ascii="Arial" w:cs="Arial" w:eastAsia="Arial" w:hAnsi="Arial"/>
                <w:sz w:val="12"/>
                <w:szCs w:val="12"/>
                <w:color w:val="auto"/>
              </w:rPr>
              <w:t>(2)</w:t>
            </w:r>
          </w:p>
        </w:tc>
        <w:tc>
          <w:tcPr>
            <w:tcW w:w="200" w:type="dxa"/>
            <w:vAlign w:val="bottom"/>
            <w:gridSpan w:val="2"/>
            <w:shd w:val="clear" w:color="auto" w:fill="CCECFF"/>
          </w:tcPr>
          <w:p>
            <w:pPr>
              <w:ind w:left="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18,782,777</w:t>
            </w:r>
          </w:p>
        </w:tc>
        <w:tc>
          <w:tcPr>
            <w:tcW w:w="1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1"/>
              </w:rPr>
              <w:t>11,086,942</w:t>
            </w:r>
          </w:p>
        </w:tc>
        <w:tc>
          <w:tcPr>
            <w:tcW w:w="1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(19,708,359)</w:t>
            </w:r>
          </w:p>
        </w:tc>
        <w:tc>
          <w:tcPr>
            <w:tcW w:w="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11,938,935</w:t>
            </w:r>
          </w:p>
        </w:tc>
        <w:tc>
          <w:tcPr>
            <w:tcW w:w="1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22,100,296</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1,275,851</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7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w w:val="95"/>
              </w:rPr>
              <w:t>(19,708,359)</w:t>
            </w:r>
          </w:p>
        </w:tc>
        <w:tc>
          <w:tcPr>
            <w:tcW w:w="0" w:type="dxa"/>
            <w:vAlign w:val="bottom"/>
          </w:tcPr>
          <w:p>
            <w:pPr>
              <w:spacing w:after="0"/>
              <w:rPr>
                <w:sz w:val="1"/>
                <w:szCs w:val="1"/>
                <w:color w:val="auto"/>
              </w:rPr>
            </w:pPr>
          </w:p>
        </w:tc>
      </w:tr>
      <w:tr>
        <w:trPr>
          <w:trHeight w:val="143"/>
        </w:trPr>
        <w:tc>
          <w:tcPr>
            <w:tcW w:w="1540" w:type="dxa"/>
            <w:vAlign w:val="bottom"/>
          </w:tcPr>
          <w:p>
            <w:pPr>
              <w:spacing w:after="0" w:line="143" w:lineRule="exact"/>
              <w:rPr>
                <w:sz w:val="20"/>
                <w:szCs w:val="20"/>
                <w:color w:val="auto"/>
              </w:rPr>
            </w:pPr>
            <w:r>
              <w:rPr>
                <w:rFonts w:ascii="Arial" w:cs="Arial" w:eastAsia="Arial" w:hAnsi="Arial"/>
                <w:sz w:val="14"/>
                <w:szCs w:val="14"/>
                <w:color w:val="auto"/>
                <w:w w:val="94"/>
              </w:rPr>
              <w:t>PennantPark Senior Loan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40" w:type="dxa"/>
            <w:vAlign w:val="bottom"/>
          </w:tcPr>
          <w:p>
            <w:pPr>
              <w:spacing w:after="0"/>
              <w:rPr>
                <w:sz w:val="20"/>
                <w:szCs w:val="20"/>
                <w:color w:val="auto"/>
              </w:rPr>
            </w:pPr>
            <w:r>
              <w:rPr>
                <w:rFonts w:ascii="Arial" w:cs="Arial" w:eastAsia="Arial" w:hAnsi="Arial"/>
                <w:sz w:val="14"/>
                <w:szCs w:val="14"/>
                <w:color w:val="auto"/>
              </w:rPr>
              <w:t>Fund, LLC *</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99,262,577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1,826,218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4,225,401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105,314,196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5,845,157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89"/>
              </w:rPr>
              <w:t>6,361,000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540" w:type="dxa"/>
            <w:vAlign w:val="bottom"/>
            <w:shd w:val="clear" w:color="auto" w:fill="CCECFF"/>
          </w:tcPr>
          <w:p>
            <w:pPr>
              <w:spacing w:after="0"/>
              <w:rPr>
                <w:sz w:val="20"/>
                <w:szCs w:val="20"/>
                <w:color w:val="auto"/>
              </w:rPr>
            </w:pPr>
            <w:r>
              <w:rPr>
                <w:rFonts w:ascii="Arial" w:cs="Arial" w:eastAsia="Arial" w:hAnsi="Arial"/>
                <w:sz w:val="14"/>
                <w:szCs w:val="14"/>
                <w:color w:val="auto"/>
              </w:rPr>
              <w:t>PT Networks, LLC</w:t>
            </w:r>
          </w:p>
        </w:tc>
        <w:tc>
          <w:tcPr>
            <w:tcW w:w="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91,384,649</w:t>
            </w:r>
          </w:p>
        </w:tc>
        <w:tc>
          <w:tcPr>
            <w:tcW w:w="1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6,190,946</w:t>
            </w:r>
          </w:p>
        </w:tc>
        <w:tc>
          <w:tcPr>
            <w:tcW w:w="1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36,549,031</w:t>
            </w:r>
          </w:p>
        </w:tc>
        <w:tc>
          <w:tcPr>
            <w:tcW w:w="1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134,124,626</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79,713</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3"/>
              </w:rPr>
              <w:t>6,222,805</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7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20"/>
                <w:szCs w:val="20"/>
                <w:color w:val="auto"/>
              </w:rPr>
            </w:pPr>
            <w:r>
              <w:rPr>
                <w:rFonts w:ascii="Arial" w:cs="Arial" w:eastAsia="Arial" w:hAnsi="Arial"/>
                <w:sz w:val="14"/>
                <w:szCs w:val="14"/>
                <w:color w:val="auto"/>
              </w:rPr>
              <w:t>RAM Energy LLC</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89,923,518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(8,213,256)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81,710,262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1540" w:type="dxa"/>
            <w:vAlign w:val="bottom"/>
            <w:tcBorders>
              <w:top w:val="single" w:sz="8" w:color="CCECFF"/>
            </w:tcBorders>
            <w:shd w:val="clear" w:color="auto" w:fill="CCECFF"/>
          </w:tcPr>
          <w:p>
            <w:pPr>
              <w:ind w:left="140"/>
              <w:spacing w:after="0" w:line="137" w:lineRule="exact"/>
              <w:rPr>
                <w:sz w:val="20"/>
                <w:szCs w:val="20"/>
                <w:color w:val="auto"/>
              </w:rPr>
            </w:pPr>
            <w:r>
              <w:rPr>
                <w:rFonts w:ascii="Arial" w:cs="Arial" w:eastAsia="Arial" w:hAnsi="Arial"/>
                <w:sz w:val="14"/>
                <w:szCs w:val="14"/>
                <w:color w:val="auto"/>
              </w:rPr>
              <w:t>Total Controlled</w:t>
            </w:r>
          </w:p>
        </w:tc>
        <w:tc>
          <w:tcPr>
            <w:tcW w:w="8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380" w:type="dxa"/>
            <w:vAlign w:val="bottom"/>
            <w:tcBorders>
              <w:top w:val="single" w:sz="8" w:color="auto"/>
            </w:tcBorders>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18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18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82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86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1060" w:type="dxa"/>
            <w:vAlign w:val="bottom"/>
            <w:tcBorders>
              <w:top w:val="single" w:sz="8" w:color="auto"/>
            </w:tcBorders>
            <w:shd w:val="clear" w:color="auto" w:fill="CCECFF"/>
          </w:tcPr>
          <w:p>
            <w:pPr>
              <w:spacing w:after="0"/>
              <w:rPr>
                <w:sz w:val="11"/>
                <w:szCs w:val="11"/>
                <w:color w:val="auto"/>
              </w:rPr>
            </w:pPr>
          </w:p>
        </w:tc>
        <w:tc>
          <w:tcPr>
            <w:tcW w:w="18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18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0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18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74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shd w:val="clear" w:color="auto" w:fill="CCECFF"/>
          </w:tcPr>
          <w:p>
            <w:pPr>
              <w:ind w:left="140"/>
              <w:spacing w:after="0"/>
              <w:rPr>
                <w:sz w:val="20"/>
                <w:szCs w:val="20"/>
                <w:color w:val="auto"/>
              </w:rPr>
            </w:pPr>
            <w:r>
              <w:rPr>
                <w:rFonts w:ascii="Arial" w:cs="Arial" w:eastAsia="Arial" w:hAnsi="Arial"/>
                <w:sz w:val="14"/>
                <w:szCs w:val="14"/>
                <w:color w:val="auto"/>
              </w:rPr>
              <w:t>Affiliates</w:t>
            </w:r>
          </w:p>
        </w:tc>
        <w:tc>
          <w:tcPr>
            <w:tcW w:w="200" w:type="dxa"/>
            <w:vAlign w:val="bottom"/>
            <w:gridSpan w:val="2"/>
            <w:shd w:val="clear" w:color="auto" w:fill="CCECFF"/>
          </w:tcPr>
          <w:p>
            <w:pPr>
              <w:ind w:left="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337,125,636</w:t>
            </w:r>
          </w:p>
        </w:tc>
        <w:tc>
          <w:tcPr>
            <w:tcW w:w="260" w:type="dxa"/>
            <w:vAlign w:val="bottom"/>
            <w:gridSpan w:val="2"/>
            <w:shd w:val="clear" w:color="auto" w:fill="CCECFF"/>
          </w:tcPr>
          <w:p>
            <w:pPr>
              <w:ind w:left="18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1"/>
              </w:rPr>
              <w:t>21,810,756</w:t>
            </w:r>
          </w:p>
        </w:tc>
        <w:tc>
          <w:tcPr>
            <w:tcW w:w="26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(19,708,359)</w:t>
            </w:r>
          </w:p>
        </w:tc>
        <w:tc>
          <w:tcPr>
            <w:tcW w:w="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1"/>
              </w:rPr>
              <w:t>45,400,297.55</w:t>
            </w:r>
          </w:p>
        </w:tc>
        <w:tc>
          <w:tcPr>
            <w:tcW w:w="120" w:type="dxa"/>
            <w:vAlign w:val="bottom"/>
            <w:shd w:val="clear" w:color="auto" w:fill="CCECFF"/>
          </w:tcPr>
          <w:p>
            <w:pPr>
              <w:spacing w:after="0"/>
              <w:rPr>
                <w:sz w:val="14"/>
                <w:szCs w:val="14"/>
                <w:color w:val="auto"/>
              </w:rPr>
            </w:pPr>
          </w:p>
        </w:tc>
        <w:tc>
          <w:tcPr>
            <w:tcW w:w="220" w:type="dxa"/>
            <w:vAlign w:val="bottom"/>
            <w:gridSpan w:val="2"/>
            <w:shd w:val="clear" w:color="auto" w:fill="CCECFF"/>
          </w:tcPr>
          <w:p>
            <w:pPr>
              <w:ind w:lef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384,628,332</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1"/>
              </w:rPr>
              <w:t>10,281,992</w:t>
            </w:r>
          </w:p>
        </w:tc>
        <w:tc>
          <w:tcPr>
            <w:tcW w:w="2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3"/>
              </w:rPr>
              <w:t>6,222,805</w:t>
            </w:r>
          </w:p>
        </w:tc>
        <w:tc>
          <w:tcPr>
            <w:tcW w:w="3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89"/>
              </w:rPr>
              <w:t>6,361,000</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w w:val="95"/>
              </w:rPr>
              <w:t>(19,708,359)</w:t>
            </w:r>
          </w:p>
        </w:tc>
        <w:tc>
          <w:tcPr>
            <w:tcW w:w="0" w:type="dxa"/>
            <w:vAlign w:val="bottom"/>
          </w:tcPr>
          <w:p>
            <w:pPr>
              <w:spacing w:after="0"/>
              <w:rPr>
                <w:sz w:val="1"/>
                <w:szCs w:val="1"/>
                <w:color w:val="auto"/>
              </w:rPr>
            </w:pPr>
          </w:p>
        </w:tc>
      </w:tr>
      <w:tr>
        <w:trPr>
          <w:trHeight w:val="133"/>
        </w:trPr>
        <w:tc>
          <w:tcPr>
            <w:tcW w:w="1540" w:type="dxa"/>
            <w:vAlign w:val="bottom"/>
          </w:tcPr>
          <w:p>
            <w:pPr>
              <w:spacing w:after="0" w:line="133" w:lineRule="exact"/>
              <w:rPr>
                <w:sz w:val="20"/>
                <w:szCs w:val="20"/>
                <w:color w:val="auto"/>
              </w:rPr>
            </w:pPr>
            <w:r>
              <w:rPr>
                <w:rFonts w:ascii="Arial" w:cs="Arial" w:eastAsia="Arial" w:hAnsi="Arial"/>
                <w:sz w:val="14"/>
                <w:szCs w:val="14"/>
                <w:b w:val="1"/>
                <w:bCs w:val="1"/>
                <w:color w:val="auto"/>
              </w:rPr>
              <w:t>Non-Controlled</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540" w:type="dxa"/>
            <w:vAlign w:val="bottom"/>
          </w:tcPr>
          <w:p>
            <w:pPr>
              <w:spacing w:after="0"/>
              <w:rPr>
                <w:sz w:val="20"/>
                <w:szCs w:val="20"/>
                <w:color w:val="auto"/>
              </w:rPr>
            </w:pPr>
            <w:r>
              <w:rPr>
                <w:rFonts w:ascii="Arial" w:cs="Arial" w:eastAsia="Arial" w:hAnsi="Arial"/>
                <w:sz w:val="14"/>
                <w:szCs w:val="14"/>
                <w:b w:val="1"/>
                <w:bCs w:val="1"/>
                <w:color w:val="auto"/>
              </w:rPr>
              <w:t>Affiliates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shd w:val="clear" w:color="auto" w:fill="CCECFF"/>
          </w:tcPr>
          <w:p>
            <w:pPr>
              <w:spacing w:after="0"/>
              <w:rPr>
                <w:sz w:val="20"/>
                <w:szCs w:val="20"/>
                <w:color w:val="auto"/>
              </w:rPr>
            </w:pPr>
            <w:r>
              <w:rPr>
                <w:rFonts w:ascii="Arial" w:cs="Arial" w:eastAsia="Arial" w:hAnsi="Arial"/>
                <w:sz w:val="14"/>
                <w:szCs w:val="14"/>
                <w:color w:val="auto"/>
              </w:rPr>
              <w:t>ETX Energy, LLC</w:t>
            </w:r>
          </w:p>
        </w:tc>
        <w:tc>
          <w:tcPr>
            <w:tcW w:w="200" w:type="dxa"/>
            <w:vAlign w:val="bottom"/>
            <w:gridSpan w:val="2"/>
            <w:shd w:val="clear" w:color="auto" w:fill="CCECFF"/>
          </w:tcPr>
          <w:p>
            <w:pPr>
              <w:ind w:left="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5,055,851</w:t>
            </w:r>
          </w:p>
        </w:tc>
        <w:tc>
          <w:tcPr>
            <w:tcW w:w="260" w:type="dxa"/>
            <w:vAlign w:val="bottom"/>
            <w:gridSpan w:val="2"/>
            <w:shd w:val="clear" w:color="auto" w:fill="CCECFF"/>
          </w:tcPr>
          <w:p>
            <w:pPr>
              <w:ind w:left="18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8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(5,055,851)</w:t>
            </w:r>
          </w:p>
        </w:tc>
        <w:tc>
          <w:tcPr>
            <w:tcW w:w="220" w:type="dxa"/>
            <w:vAlign w:val="bottom"/>
            <w:gridSpan w:val="2"/>
            <w:shd w:val="clear" w:color="auto" w:fill="CCECFF"/>
          </w:tcPr>
          <w:p>
            <w:pPr>
              <w:ind w:left="8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540" w:type="dxa"/>
            <w:vAlign w:val="bottom"/>
          </w:tcPr>
          <w:p>
            <w:pPr>
              <w:spacing w:after="0" w:line="143" w:lineRule="exact"/>
              <w:rPr>
                <w:sz w:val="20"/>
                <w:szCs w:val="20"/>
                <w:color w:val="auto"/>
              </w:rPr>
            </w:pPr>
            <w:r>
              <w:rPr>
                <w:rFonts w:ascii="Arial" w:cs="Arial" w:eastAsia="Arial" w:hAnsi="Arial"/>
                <w:sz w:val="14"/>
                <w:szCs w:val="14"/>
                <w:color w:val="auto"/>
              </w:rPr>
              <w:t>MidOcean JF Holdings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40" w:type="dxa"/>
            <w:vAlign w:val="bottom"/>
          </w:tcPr>
          <w:p>
            <w:pPr>
              <w:ind w:left="120"/>
              <w:spacing w:after="0"/>
              <w:rPr>
                <w:sz w:val="20"/>
                <w:szCs w:val="20"/>
                <w:color w:val="auto"/>
              </w:rPr>
            </w:pPr>
            <w:r>
              <w:rPr>
                <w:rFonts w:ascii="Arial" w:cs="Arial" w:eastAsia="Arial" w:hAnsi="Arial"/>
                <w:sz w:val="14"/>
                <w:szCs w:val="14"/>
                <w:color w:val="auto"/>
              </w:rPr>
              <w:t>Corp.</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22,698,042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27,463,350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50,161,391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1540" w:type="dxa"/>
            <w:vAlign w:val="bottom"/>
            <w:tcBorders>
              <w:top w:val="single" w:sz="8" w:color="CCECFF"/>
            </w:tcBorders>
            <w:shd w:val="clear" w:color="auto" w:fill="CCECFF"/>
          </w:tcPr>
          <w:p>
            <w:pPr>
              <w:ind w:left="140"/>
              <w:spacing w:after="0" w:line="137" w:lineRule="exact"/>
              <w:rPr>
                <w:sz w:val="20"/>
                <w:szCs w:val="20"/>
                <w:color w:val="auto"/>
              </w:rPr>
            </w:pPr>
            <w:r>
              <w:rPr>
                <w:rFonts w:ascii="Arial" w:cs="Arial" w:eastAsia="Arial" w:hAnsi="Arial"/>
                <w:sz w:val="14"/>
                <w:szCs w:val="14"/>
                <w:color w:val="auto"/>
              </w:rPr>
              <w:t>Total Non-Controlled</w:t>
            </w:r>
          </w:p>
        </w:tc>
        <w:tc>
          <w:tcPr>
            <w:tcW w:w="8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380" w:type="dxa"/>
            <w:vAlign w:val="bottom"/>
            <w:tcBorders>
              <w:top w:val="single" w:sz="8" w:color="auto"/>
            </w:tcBorders>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18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18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82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86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1060" w:type="dxa"/>
            <w:vAlign w:val="bottom"/>
            <w:tcBorders>
              <w:top w:val="single" w:sz="8" w:color="auto"/>
            </w:tcBorders>
            <w:shd w:val="clear" w:color="auto" w:fill="CCECFF"/>
          </w:tcPr>
          <w:p>
            <w:pPr>
              <w:spacing w:after="0"/>
              <w:rPr>
                <w:sz w:val="11"/>
                <w:szCs w:val="11"/>
                <w:color w:val="auto"/>
              </w:rPr>
            </w:pPr>
          </w:p>
        </w:tc>
        <w:tc>
          <w:tcPr>
            <w:tcW w:w="18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18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0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18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74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shd w:val="clear" w:color="auto" w:fill="CCECFF"/>
          </w:tcPr>
          <w:p>
            <w:pPr>
              <w:ind w:left="240"/>
              <w:spacing w:after="0"/>
              <w:rPr>
                <w:sz w:val="20"/>
                <w:szCs w:val="20"/>
                <w:color w:val="auto"/>
              </w:rPr>
            </w:pPr>
            <w:r>
              <w:rPr>
                <w:rFonts w:ascii="Arial" w:cs="Arial" w:eastAsia="Arial" w:hAnsi="Arial"/>
                <w:sz w:val="14"/>
                <w:szCs w:val="14"/>
                <w:color w:val="auto"/>
              </w:rPr>
              <w:t>Affiliates</w:t>
            </w:r>
          </w:p>
        </w:tc>
        <w:tc>
          <w:tcPr>
            <w:tcW w:w="200" w:type="dxa"/>
            <w:vAlign w:val="bottom"/>
            <w:gridSpan w:val="2"/>
            <w:shd w:val="clear" w:color="auto" w:fill="CCECFF"/>
          </w:tcPr>
          <w:p>
            <w:pPr>
              <w:ind w:left="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27,753,893</w:t>
            </w:r>
          </w:p>
        </w:tc>
        <w:tc>
          <w:tcPr>
            <w:tcW w:w="260" w:type="dxa"/>
            <w:vAlign w:val="bottom"/>
            <w:gridSpan w:val="2"/>
            <w:shd w:val="clear" w:color="auto" w:fill="CCECFF"/>
          </w:tcPr>
          <w:p>
            <w:pPr>
              <w:ind w:left="18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22,407,499</w:t>
            </w:r>
          </w:p>
        </w:tc>
        <w:tc>
          <w:tcPr>
            <w:tcW w:w="120" w:type="dxa"/>
            <w:vAlign w:val="bottom"/>
            <w:shd w:val="clear" w:color="auto" w:fill="CCECFF"/>
          </w:tcPr>
          <w:p>
            <w:pPr>
              <w:spacing w:after="0"/>
              <w:rPr>
                <w:sz w:val="14"/>
                <w:szCs w:val="14"/>
                <w:color w:val="auto"/>
              </w:rPr>
            </w:pPr>
          </w:p>
        </w:tc>
        <w:tc>
          <w:tcPr>
            <w:tcW w:w="220" w:type="dxa"/>
            <w:vAlign w:val="bottom"/>
            <w:gridSpan w:val="2"/>
            <w:shd w:val="clear" w:color="auto" w:fill="CCECFF"/>
          </w:tcPr>
          <w:p>
            <w:pPr>
              <w:ind w:lef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50,161,391</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1540" w:type="dxa"/>
            <w:vAlign w:val="bottom"/>
          </w:tcPr>
          <w:p>
            <w:pPr>
              <w:spacing w:after="0" w:line="133" w:lineRule="exact"/>
              <w:rPr>
                <w:sz w:val="20"/>
                <w:szCs w:val="20"/>
                <w:color w:val="auto"/>
              </w:rPr>
            </w:pPr>
            <w:r>
              <w:rPr>
                <w:rFonts w:ascii="Arial" w:cs="Arial" w:eastAsia="Arial" w:hAnsi="Arial"/>
                <w:sz w:val="14"/>
                <w:szCs w:val="14"/>
                <w:b w:val="1"/>
                <w:bCs w:val="1"/>
                <w:color w:val="auto"/>
              </w:rPr>
              <w:t>Total Controlled and</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Non-Controlled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40" w:type="dxa"/>
            <w:vAlign w:val="bottom"/>
          </w:tcPr>
          <w:p>
            <w:pPr>
              <w:ind w:left="120"/>
              <w:spacing w:after="0"/>
              <w:rPr>
                <w:sz w:val="20"/>
                <w:szCs w:val="20"/>
                <w:color w:val="auto"/>
              </w:rPr>
            </w:pPr>
            <w:r>
              <w:rPr>
                <w:rFonts w:ascii="Arial" w:cs="Arial" w:eastAsia="Arial" w:hAnsi="Arial"/>
                <w:sz w:val="14"/>
                <w:szCs w:val="14"/>
                <w:b w:val="1"/>
                <w:bCs w:val="1"/>
                <w:color w:val="auto"/>
              </w:rPr>
              <w:t>Affiliates</w:t>
            </w:r>
          </w:p>
        </w:tc>
        <w:tc>
          <w:tcPr>
            <w:tcW w:w="2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282,800,697</w:t>
            </w:r>
          </w:p>
        </w:tc>
        <w:tc>
          <w:tcPr>
            <w:tcW w:w="260" w:type="dxa"/>
            <w:vAlign w:val="bottom"/>
            <w:gridSpan w:val="2"/>
          </w:tcPr>
          <w:p>
            <w:pPr>
              <w:ind w:left="18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1"/>
              </w:rPr>
              <w:t>21,810,756</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(19,708,359)</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67,807,797</w:t>
            </w:r>
          </w:p>
        </w:tc>
        <w:tc>
          <w:tcPr>
            <w:tcW w:w="120" w:type="dxa"/>
            <w:vAlign w:val="bottom"/>
          </w:tcPr>
          <w:p>
            <w:pPr>
              <w:spacing w:after="0"/>
              <w:rPr>
                <w:sz w:val="14"/>
                <w:szCs w:val="14"/>
                <w:color w:val="auto"/>
              </w:rPr>
            </w:pPr>
          </w:p>
        </w:tc>
        <w:tc>
          <w:tcPr>
            <w:tcW w:w="2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434,789,723</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1"/>
              </w:rPr>
              <w:t>10,281,992</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6,222,805</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89"/>
              </w:rPr>
              <w:t>6,361,000</w:t>
            </w:r>
          </w:p>
        </w:tc>
        <w:tc>
          <w:tcPr>
            <w:tcW w:w="1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(19,708,359)</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80" w:hanging="372"/>
        <w:spacing w:after="0" w:line="190" w:lineRule="auto"/>
        <w:tabs>
          <w:tab w:leader="none" w:pos="380" w:val="left"/>
        </w:tabs>
        <w:numPr>
          <w:ilvl w:val="0"/>
          <w:numId w:val="89"/>
        </w:numPr>
        <w:rPr>
          <w:rFonts w:ascii="Arial" w:cs="Arial" w:eastAsia="Arial" w:hAnsi="Arial"/>
          <w:sz w:val="20"/>
          <w:szCs w:val="20"/>
          <w:b w:val="1"/>
          <w:bCs w:val="1"/>
          <w:color w:val="auto"/>
          <w:vertAlign w:val="superscript"/>
        </w:rPr>
      </w:pPr>
      <w:r>
        <w:rPr>
          <w:rFonts w:ascii="Arial" w:cs="Arial" w:eastAsia="Arial" w:hAnsi="Arial"/>
          <w:sz w:val="12"/>
          <w:szCs w:val="12"/>
          <w:color w:val="auto"/>
        </w:rPr>
        <w:t>Includes PIK.</w:t>
      </w:r>
    </w:p>
    <w:p>
      <w:pPr>
        <w:spacing w:after="0" w:line="32" w:lineRule="exact"/>
        <w:rPr>
          <w:rFonts w:ascii="Arial" w:cs="Arial" w:eastAsia="Arial" w:hAnsi="Arial"/>
          <w:sz w:val="20"/>
          <w:szCs w:val="20"/>
          <w:b w:val="1"/>
          <w:bCs w:val="1"/>
          <w:color w:val="auto"/>
          <w:vertAlign w:val="superscript"/>
        </w:rPr>
      </w:pPr>
    </w:p>
    <w:p>
      <w:pPr>
        <w:ind w:left="380" w:hanging="372"/>
        <w:spacing w:after="0" w:line="230" w:lineRule="auto"/>
        <w:tabs>
          <w:tab w:leader="none" w:pos="380" w:val="left"/>
        </w:tabs>
        <w:numPr>
          <w:ilvl w:val="0"/>
          <w:numId w:val="89"/>
        </w:numPr>
        <w:rPr>
          <w:rFonts w:ascii="Arial" w:cs="Arial" w:eastAsia="Arial" w:hAnsi="Arial"/>
          <w:sz w:val="10"/>
          <w:szCs w:val="10"/>
          <w:b w:val="1"/>
          <w:bCs w:val="1"/>
          <w:color w:val="auto"/>
        </w:rPr>
      </w:pPr>
      <w:r>
        <w:rPr>
          <w:rFonts w:ascii="Arial" w:cs="Arial" w:eastAsia="Arial" w:hAnsi="Arial"/>
          <w:sz w:val="11"/>
          <w:szCs w:val="11"/>
          <w:color w:val="auto"/>
        </w:rPr>
        <w:t>Mailsouth Inc. became a controlled affiliate during the quarter ended December 31, 2020.</w:t>
      </w:r>
    </w:p>
    <w:p>
      <w:pPr>
        <w:ind w:left="380" w:right="80" w:hanging="372"/>
        <w:spacing w:after="0" w:line="359" w:lineRule="auto"/>
        <w:tabs>
          <w:tab w:leader="none" w:pos="380" w:val="left"/>
        </w:tabs>
        <w:numPr>
          <w:ilvl w:val="0"/>
          <w:numId w:val="90"/>
        </w:numPr>
        <w:rPr>
          <w:rFonts w:ascii="Arial" w:cs="Arial" w:eastAsia="Arial" w:hAnsi="Arial"/>
          <w:sz w:val="9"/>
          <w:szCs w:val="9"/>
          <w:b w:val="1"/>
          <w:bCs w:val="1"/>
          <w:color w:val="auto"/>
        </w:rPr>
      </w:pPr>
      <w:r>
        <w:rPr>
          <w:rFonts w:ascii="Arial" w:cs="Arial" w:eastAsia="Arial" w:hAnsi="Arial"/>
          <w:sz w:val="9"/>
          <w:szCs w:val="9"/>
          <w:color w:val="auto"/>
        </w:rPr>
        <w:t>We and Pantheon are the members of PSLF, a joint venture formed as a Delaware limited liability company that is not consolidated by us for financial reporting purposes. The members of PSLF make investments in the PSLF in the form of subordinated debt and equity interests, and all portfolio and other material decision regarding PSLF must be submitted to PSFL’s board of directors or investment committee, both of which are comprised of two members appointed by each of us and Pantheon. Because management of PSLF is shared equally between us and Pantheon, we do not believe we control PSLF for purposes of the 1940 Act or otherwise.</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7"/>
              </w:rPr>
              <w:t>Years Ended September 30,</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5"/>
        </w:trPr>
        <w:tc>
          <w:tcPr>
            <w:tcW w:w="6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5"/>
        </w:trPr>
        <w:tc>
          <w:tcPr>
            <w:tcW w:w="64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CFF"/>
            </w:tcBorders>
          </w:tcPr>
          <w:p>
            <w:pPr>
              <w:spacing w:after="0"/>
              <w:rPr>
                <w:sz w:val="13"/>
                <w:szCs w:val="13"/>
                <w:color w:val="auto"/>
              </w:rPr>
            </w:pPr>
          </w:p>
        </w:tc>
        <w:tc>
          <w:tcPr>
            <w:tcW w:w="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CFF"/>
            </w:tcBorders>
          </w:tcPr>
          <w:p>
            <w:pPr>
              <w:spacing w:after="0"/>
              <w:rPr>
                <w:sz w:val="13"/>
                <w:szCs w:val="13"/>
                <w:color w:val="auto"/>
              </w:rPr>
            </w:pPr>
          </w:p>
        </w:tc>
      </w:tr>
      <w:tr>
        <w:trPr>
          <w:trHeight w:val="155"/>
        </w:trPr>
        <w:tc>
          <w:tcPr>
            <w:tcW w:w="64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Numerator for net increase (decrease) in net assets resulting from operations</w:t>
            </w: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166,616,905</w:t>
            </w:r>
          </w:p>
        </w:tc>
        <w:tc>
          <w:tcPr>
            <w:tcW w:w="28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8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(15,969,753)</w:t>
            </w:r>
          </w:p>
        </w:tc>
        <w:tc>
          <w:tcPr>
            <w:tcW w:w="20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15,924,806</w:t>
            </w:r>
          </w:p>
        </w:tc>
        <w:tc>
          <w:tcPr>
            <w:tcW w:w="120" w:type="dxa"/>
            <w:vAlign w:val="bottom"/>
            <w:shd w:val="clear" w:color="auto" w:fill="CCECFF"/>
          </w:tcPr>
          <w:p>
            <w:pPr>
              <w:spacing w:after="0"/>
              <w:rPr>
                <w:sz w:val="13"/>
                <w:szCs w:val="13"/>
                <w:color w:val="auto"/>
              </w:rPr>
            </w:pPr>
          </w:p>
        </w:tc>
      </w:tr>
      <w:tr>
        <w:trPr>
          <w:trHeight w:val="162"/>
        </w:trPr>
        <w:tc>
          <w:tcPr>
            <w:tcW w:w="6460" w:type="dxa"/>
            <w:vAlign w:val="bottom"/>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67,045,105</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67,045,105</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67,708,683</w:t>
            </w:r>
          </w:p>
        </w:tc>
        <w:tc>
          <w:tcPr>
            <w:tcW w:w="120" w:type="dxa"/>
            <w:vAlign w:val="bottom"/>
          </w:tcPr>
          <w:p>
            <w:pPr>
              <w:spacing w:after="0"/>
              <w:rPr>
                <w:sz w:val="14"/>
                <w:szCs w:val="14"/>
                <w:color w:val="auto"/>
              </w:rPr>
            </w:pPr>
          </w:p>
        </w:tc>
      </w:tr>
      <w:tr>
        <w:trPr>
          <w:trHeight w:val="162"/>
        </w:trPr>
        <w:tc>
          <w:tcPr>
            <w:tcW w:w="6460" w:type="dxa"/>
            <w:vAlign w:val="bottom"/>
            <w:shd w:val="clear" w:color="auto" w:fill="CCECFF"/>
          </w:tcPr>
          <w:p>
            <w:pPr>
              <w:spacing w:after="0"/>
              <w:rPr>
                <w:sz w:val="20"/>
                <w:szCs w:val="20"/>
                <w:color w:val="auto"/>
              </w:rPr>
            </w:pPr>
            <w:r>
              <w:rPr>
                <w:rFonts w:ascii="Arial" w:cs="Arial" w:eastAsia="Arial" w:hAnsi="Arial"/>
                <w:sz w:val="14"/>
                <w:szCs w:val="14"/>
                <w:color w:val="auto"/>
              </w:rPr>
              <w:t>Basic and diluted net increase (decrease) in net assets per share resulting from operations</w:t>
            </w:r>
          </w:p>
        </w:tc>
        <w:tc>
          <w:tcPr>
            <w:tcW w:w="300" w:type="dxa"/>
            <w:vAlign w:val="bottom"/>
            <w:shd w:val="clear" w:color="auto" w:fill="CCEC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2.49</w:t>
            </w:r>
          </w:p>
        </w:tc>
        <w:tc>
          <w:tcPr>
            <w:tcW w:w="580" w:type="dxa"/>
            <w:vAlign w:val="bottom"/>
            <w:gridSpan w:val="2"/>
            <w:shd w:val="clear" w:color="auto" w:fill="CCECFF"/>
          </w:tcPr>
          <w:p>
            <w:pPr>
              <w:jc w:val="right"/>
              <w:ind w:right="189"/>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(0.24)</w:t>
            </w:r>
          </w:p>
        </w:tc>
        <w:tc>
          <w:tcPr>
            <w:tcW w:w="360" w:type="dxa"/>
            <w:vAlign w:val="bottom"/>
            <w:gridSpan w:val="2"/>
            <w:shd w:val="clear" w:color="auto" w:fill="CCEC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0.24</w:t>
            </w:r>
          </w:p>
        </w:tc>
        <w:tc>
          <w:tcPr>
            <w:tcW w:w="120" w:type="dxa"/>
            <w:vAlign w:val="bottom"/>
            <w:shd w:val="clear" w:color="auto" w:fill="CCECFF"/>
          </w:tcPr>
          <w:p>
            <w:pPr>
              <w:spacing w:after="0"/>
              <w:rPr>
                <w:sz w:val="14"/>
                <w:szCs w:val="14"/>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TAXES AND DISTRIBUTIONS</w:t>
      </w:r>
    </w:p>
    <w:p>
      <w:pPr>
        <w:spacing w:after="0" w:line="127"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Distributions from net investment income and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gain or paid-in-capital, as appropriate. Distributions from net realized capital gains, if any, are normally declared and paid annually, but the Company may make distributions on a more frequent basis to comply with the distribution requirements for RICs under the Code.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As of September 30, 2021 and 2020, the cost of investments for federal income tax purposes approximates the amortized cost reported in the Consolidated Schedule of Investments.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amounts were reclassified for tax purposes: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3"/>
              </w:rPr>
              <w:t>Years Ended September 30,</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4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CFF"/>
            </w:tcBorders>
          </w:tcPr>
          <w:p>
            <w:pPr>
              <w:spacing w:after="0"/>
              <w:rPr>
                <w:sz w:val="13"/>
                <w:szCs w:val="13"/>
                <w:color w:val="auto"/>
              </w:rPr>
            </w:pPr>
          </w:p>
        </w:tc>
        <w:tc>
          <w:tcPr>
            <w:tcW w:w="20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CFF"/>
            </w:tcBorders>
          </w:tcPr>
          <w:p>
            <w:pPr>
              <w:spacing w:after="0"/>
              <w:rPr>
                <w:sz w:val="13"/>
                <w:szCs w:val="13"/>
                <w:color w:val="auto"/>
              </w:rPr>
            </w:pPr>
          </w:p>
        </w:tc>
      </w:tr>
      <w:tr>
        <w:trPr>
          <w:trHeight w:val="155"/>
        </w:trPr>
        <w:tc>
          <w:tcPr>
            <w:tcW w:w="64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Decrease in paid-in capital</w:t>
            </w: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(632,057)</w:t>
            </w:r>
          </w:p>
        </w:tc>
        <w:tc>
          <w:tcPr>
            <w:tcW w:w="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8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(567,128)</w:t>
            </w:r>
          </w:p>
        </w:tc>
        <w:tc>
          <w:tcPr>
            <w:tcW w:w="26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(1,067,350)</w:t>
            </w:r>
          </w:p>
        </w:tc>
        <w:tc>
          <w:tcPr>
            <w:tcW w:w="120" w:type="dxa"/>
            <w:vAlign w:val="bottom"/>
            <w:shd w:val="clear" w:color="auto" w:fill="CCECFF"/>
          </w:tcPr>
          <w:p>
            <w:pPr>
              <w:spacing w:after="0"/>
              <w:rPr>
                <w:sz w:val="13"/>
                <w:szCs w:val="13"/>
                <w:color w:val="auto"/>
              </w:rPr>
            </w:pPr>
          </w:p>
        </w:tc>
      </w:tr>
      <w:tr>
        <w:trPr>
          <w:trHeight w:val="162"/>
        </w:trPr>
        <w:tc>
          <w:tcPr>
            <w:tcW w:w="6460" w:type="dxa"/>
            <w:vAlign w:val="bottom"/>
          </w:tcPr>
          <w:p>
            <w:pPr>
              <w:spacing w:after="0"/>
              <w:rPr>
                <w:sz w:val="20"/>
                <w:szCs w:val="20"/>
                <w:color w:val="auto"/>
              </w:rPr>
            </w:pPr>
            <w:r>
              <w:rPr>
                <w:rFonts w:ascii="Arial" w:cs="Arial" w:eastAsia="Arial" w:hAnsi="Arial"/>
                <w:sz w:val="14"/>
                <w:szCs w:val="14"/>
                <w:color w:val="auto"/>
              </w:rPr>
              <w:t>Decrease in accumulated net realized gain</w:t>
            </w:r>
          </w:p>
        </w:tc>
        <w:tc>
          <w:tcPr>
            <w:tcW w:w="3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(1,773,454)</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(1,805,680)</w:t>
            </w:r>
          </w:p>
        </w:tc>
        <w:tc>
          <w:tcPr>
            <w:tcW w:w="30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(2,136,670)</w:t>
            </w:r>
          </w:p>
        </w:tc>
      </w:tr>
      <w:tr>
        <w:trPr>
          <w:trHeight w:val="162"/>
        </w:trPr>
        <w:tc>
          <w:tcPr>
            <w:tcW w:w="6460" w:type="dxa"/>
            <w:vAlign w:val="bottom"/>
            <w:shd w:val="clear" w:color="auto" w:fill="CCECFF"/>
          </w:tcPr>
          <w:p>
            <w:pPr>
              <w:spacing w:after="0"/>
              <w:rPr>
                <w:sz w:val="20"/>
                <w:szCs w:val="20"/>
                <w:color w:val="auto"/>
              </w:rPr>
            </w:pPr>
            <w:r>
              <w:rPr>
                <w:rFonts w:ascii="Arial" w:cs="Arial" w:eastAsia="Arial" w:hAnsi="Arial"/>
                <w:sz w:val="14"/>
                <w:szCs w:val="14"/>
                <w:color w:val="auto"/>
              </w:rPr>
              <w:t>Increase in undistributed net investment income</w:t>
            </w:r>
          </w:p>
        </w:tc>
        <w:tc>
          <w:tcPr>
            <w:tcW w:w="30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2,405,511</w:t>
            </w:r>
          </w:p>
        </w:tc>
        <w:tc>
          <w:tcPr>
            <w:tcW w:w="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2,372,808</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3,204,020</w:t>
            </w:r>
          </w:p>
        </w:tc>
        <w:tc>
          <w:tcPr>
            <w:tcW w:w="120" w:type="dxa"/>
            <w:vAlign w:val="bottom"/>
            <w:shd w:val="clear" w:color="auto" w:fill="CCECFF"/>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200" w:lineRule="exact"/>
        <w:rPr>
          <w:sz w:val="20"/>
          <w:szCs w:val="20"/>
          <w:color w:val="auto"/>
        </w:rPr>
      </w:pPr>
    </w:p>
    <w:p>
      <w:pPr>
        <w:spacing w:after="0" w:line="38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reconciles net (decrease) increase in net assets resulting from operations to taxable income: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Years Ended September 30,</w:t>
            </w: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5480" w:type="dxa"/>
            <w:vAlign w:val="bottom"/>
            <w:tcBorders>
              <w:bottom w:val="single" w:sz="8" w:color="CCEC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08"/>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CFF"/>
            </w:tcBorders>
          </w:tcPr>
          <w:p>
            <w:pPr>
              <w:spacing w:after="0"/>
              <w:rPr>
                <w:sz w:val="13"/>
                <w:szCs w:val="13"/>
                <w:color w:val="auto"/>
              </w:rPr>
            </w:pPr>
          </w:p>
        </w:tc>
        <w:tc>
          <w:tcPr>
            <w:tcW w:w="140" w:type="dxa"/>
            <w:vAlign w:val="bottom"/>
            <w:tcBorders>
              <w:bottom w:val="single" w:sz="8" w:color="CCEC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28"/>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2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CFF"/>
            </w:tcBorders>
          </w:tcPr>
          <w:p>
            <w:pPr>
              <w:spacing w:after="0"/>
              <w:rPr>
                <w:sz w:val="13"/>
                <w:szCs w:val="13"/>
                <w:color w:val="auto"/>
              </w:rPr>
            </w:pPr>
          </w:p>
        </w:tc>
      </w:tr>
      <w:tr>
        <w:trPr>
          <w:trHeight w:val="156"/>
        </w:trPr>
        <w:tc>
          <w:tcPr>
            <w:tcW w:w="54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Net increase (decrease) in net assets resulting from operations</w:t>
            </w:r>
          </w:p>
        </w:tc>
        <w:tc>
          <w:tcPr>
            <w:tcW w:w="380" w:type="dxa"/>
            <w:vAlign w:val="bottom"/>
            <w:shd w:val="clear" w:color="auto" w:fill="CCECFF"/>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166,616,905</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w:t>
            </w:r>
          </w:p>
        </w:tc>
        <w:tc>
          <w:tcPr>
            <w:tcW w:w="13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(15,969,753)</w:t>
            </w:r>
          </w:p>
        </w:tc>
        <w:tc>
          <w:tcPr>
            <w:tcW w:w="3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360" w:type="dxa"/>
            <w:vAlign w:val="bottom"/>
            <w:shd w:val="clear" w:color="auto" w:fill="CCECFF"/>
          </w:tcPr>
          <w:p>
            <w:pPr>
              <w:jc w:val="right"/>
              <w:ind w:right="249"/>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15,924,806</w:t>
            </w:r>
          </w:p>
        </w:tc>
        <w:tc>
          <w:tcPr>
            <w:tcW w:w="120" w:type="dxa"/>
            <w:vAlign w:val="bottom"/>
            <w:shd w:val="clear" w:color="auto" w:fill="CCECFF"/>
          </w:tcPr>
          <w:p>
            <w:pPr>
              <w:spacing w:after="0"/>
              <w:rPr>
                <w:sz w:val="13"/>
                <w:szCs w:val="13"/>
                <w:color w:val="auto"/>
              </w:rPr>
            </w:pPr>
          </w:p>
        </w:tc>
      </w:tr>
      <w:tr>
        <w:trPr>
          <w:trHeight w:val="162"/>
        </w:trPr>
        <w:tc>
          <w:tcPr>
            <w:tcW w:w="5480" w:type="dxa"/>
            <w:vAlign w:val="bottom"/>
          </w:tcPr>
          <w:p>
            <w:pPr>
              <w:spacing w:after="0"/>
              <w:rPr>
                <w:sz w:val="20"/>
                <w:szCs w:val="20"/>
                <w:color w:val="auto"/>
              </w:rPr>
            </w:pPr>
            <w:r>
              <w:rPr>
                <w:rFonts w:ascii="Arial" w:cs="Arial" w:eastAsia="Arial" w:hAnsi="Arial"/>
                <w:sz w:val="14"/>
                <w:szCs w:val="14"/>
                <w:color w:val="auto"/>
              </w:rPr>
              <w:t>Net realized (gain) loss on investments</w:t>
            </w:r>
          </w:p>
        </w:tc>
        <w:tc>
          <w:tcPr>
            <w:tcW w:w="380" w:type="dxa"/>
            <w:vAlign w:val="bottom"/>
          </w:tcPr>
          <w:p>
            <w:pPr>
              <w:spacing w:after="0"/>
              <w:rPr>
                <w:sz w:val="14"/>
                <w:szCs w:val="14"/>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(30,020,831)</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20,827,252</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108,515,658</w:t>
            </w:r>
          </w:p>
        </w:tc>
        <w:tc>
          <w:tcPr>
            <w:tcW w:w="120" w:type="dxa"/>
            <w:vAlign w:val="bottom"/>
          </w:tcPr>
          <w:p>
            <w:pPr>
              <w:spacing w:after="0"/>
              <w:rPr>
                <w:sz w:val="14"/>
                <w:szCs w:val="14"/>
                <w:color w:val="auto"/>
              </w:rPr>
            </w:pPr>
          </w:p>
        </w:tc>
      </w:tr>
      <w:tr>
        <w:trPr>
          <w:trHeight w:val="162"/>
        </w:trPr>
        <w:tc>
          <w:tcPr>
            <w:tcW w:w="5480" w:type="dxa"/>
            <w:vAlign w:val="bottom"/>
            <w:shd w:val="clear" w:color="auto" w:fill="CCECFF"/>
          </w:tcPr>
          <w:p>
            <w:pPr>
              <w:spacing w:after="0"/>
              <w:rPr>
                <w:sz w:val="20"/>
                <w:szCs w:val="20"/>
                <w:color w:val="auto"/>
              </w:rPr>
            </w:pPr>
            <w:r>
              <w:rPr>
                <w:rFonts w:ascii="Arial" w:cs="Arial" w:eastAsia="Arial" w:hAnsi="Arial"/>
                <w:sz w:val="14"/>
                <w:szCs w:val="14"/>
                <w:color w:val="auto"/>
              </w:rPr>
              <w:t>Net change in unrealized (appreciation) depreciation on investments and debt</w:t>
            </w:r>
          </w:p>
        </w:tc>
        <w:tc>
          <w:tcPr>
            <w:tcW w:w="38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(100,119,094)</w:t>
            </w:r>
          </w:p>
        </w:tc>
        <w:tc>
          <w:tcPr>
            <w:tcW w:w="14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13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33,872,713</w:t>
            </w:r>
          </w:p>
        </w:tc>
        <w:tc>
          <w:tcPr>
            <w:tcW w:w="3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4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(79,843,493)</w:t>
            </w:r>
          </w:p>
        </w:tc>
      </w:tr>
      <w:tr>
        <w:trPr>
          <w:trHeight w:val="162"/>
        </w:trPr>
        <w:tc>
          <w:tcPr>
            <w:tcW w:w="5480" w:type="dxa"/>
            <w:vAlign w:val="bottom"/>
          </w:tcPr>
          <w:p>
            <w:pPr>
              <w:spacing w:after="0"/>
              <w:rPr>
                <w:sz w:val="20"/>
                <w:szCs w:val="20"/>
                <w:color w:val="auto"/>
              </w:rPr>
            </w:pPr>
            <w:r>
              <w:rPr>
                <w:rFonts w:ascii="Arial" w:cs="Arial" w:eastAsia="Arial" w:hAnsi="Arial"/>
                <w:sz w:val="14"/>
                <w:szCs w:val="14"/>
                <w:color w:val="auto"/>
              </w:rPr>
              <w:t>Other book-to-tax differences</w:t>
            </w:r>
          </w:p>
        </w:tc>
        <w:tc>
          <w:tcPr>
            <w:tcW w:w="380" w:type="dxa"/>
            <w:vAlign w:val="bottom"/>
          </w:tcPr>
          <w:p>
            <w:pPr>
              <w:spacing w:after="0"/>
              <w:rPr>
                <w:sz w:val="14"/>
                <w:szCs w:val="14"/>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(5,333,577)</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1,752,182</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2,985,657</w:t>
            </w:r>
          </w:p>
        </w:tc>
        <w:tc>
          <w:tcPr>
            <w:tcW w:w="120" w:type="dxa"/>
            <w:vAlign w:val="bottom"/>
          </w:tcPr>
          <w:p>
            <w:pPr>
              <w:spacing w:after="0"/>
              <w:rPr>
                <w:sz w:val="14"/>
                <w:szCs w:val="14"/>
                <w:color w:val="auto"/>
              </w:rPr>
            </w:pPr>
          </w:p>
        </w:tc>
      </w:tr>
      <w:tr>
        <w:trPr>
          <w:trHeight w:val="162"/>
        </w:trPr>
        <w:tc>
          <w:tcPr>
            <w:tcW w:w="5480" w:type="dxa"/>
            <w:vAlign w:val="bottom"/>
            <w:shd w:val="clear" w:color="auto" w:fill="CCECFF"/>
          </w:tcPr>
          <w:p>
            <w:pPr>
              <w:spacing w:after="0"/>
              <w:rPr>
                <w:sz w:val="20"/>
                <w:szCs w:val="20"/>
                <w:color w:val="auto"/>
              </w:rPr>
            </w:pPr>
            <w:r>
              <w:rPr>
                <w:rFonts w:ascii="Arial" w:cs="Arial" w:eastAsia="Arial" w:hAnsi="Arial"/>
                <w:sz w:val="14"/>
                <w:szCs w:val="14"/>
                <w:color w:val="auto"/>
              </w:rPr>
              <w:t>Other non-deductible expenses</w:t>
            </w:r>
          </w:p>
        </w:tc>
        <w:tc>
          <w:tcPr>
            <w:tcW w:w="380" w:type="dxa"/>
            <w:vAlign w:val="bottom"/>
            <w:tcBorders>
              <w:bottom w:val="single" w:sz="8" w:color="auto"/>
            </w:tcBorders>
            <w:shd w:val="clear" w:color="auto" w:fill="CCECFF"/>
          </w:tcPr>
          <w:p>
            <w:pPr>
              <w:spacing w:after="0"/>
              <w:rPr>
                <w:sz w:val="14"/>
                <w:szCs w:val="14"/>
                <w:color w:val="auto"/>
              </w:rPr>
            </w:pPr>
          </w:p>
        </w:tc>
        <w:tc>
          <w:tcPr>
            <w:tcW w:w="12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2,647,457</w:t>
            </w:r>
          </w:p>
        </w:tc>
        <w:tc>
          <w:tcPr>
            <w:tcW w:w="1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380" w:type="dxa"/>
            <w:vAlign w:val="bottom"/>
            <w:tcBorders>
              <w:bottom w:val="single" w:sz="8" w:color="auto"/>
            </w:tcBorders>
            <w:shd w:val="clear" w:color="auto" w:fill="CCECFF"/>
          </w:tcPr>
          <w:p>
            <w:pPr>
              <w:spacing w:after="0"/>
              <w:rPr>
                <w:sz w:val="14"/>
                <w:szCs w:val="14"/>
                <w:color w:val="auto"/>
              </w:rPr>
            </w:pPr>
          </w:p>
        </w:tc>
        <w:tc>
          <w:tcPr>
            <w:tcW w:w="13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2,837,966</w:t>
            </w:r>
          </w:p>
        </w:tc>
        <w:tc>
          <w:tcPr>
            <w:tcW w:w="3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13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2,874,707</w:t>
            </w:r>
          </w:p>
        </w:tc>
        <w:tc>
          <w:tcPr>
            <w:tcW w:w="120" w:type="dxa"/>
            <w:vAlign w:val="bottom"/>
            <w:shd w:val="clear" w:color="auto" w:fill="CCECFF"/>
          </w:tcPr>
          <w:p>
            <w:pPr>
              <w:spacing w:after="0"/>
              <w:rPr>
                <w:sz w:val="14"/>
                <w:szCs w:val="14"/>
                <w:color w:val="auto"/>
              </w:rPr>
            </w:pPr>
          </w:p>
        </w:tc>
      </w:tr>
      <w:tr>
        <w:trPr>
          <w:trHeight w:val="155"/>
        </w:trPr>
        <w:tc>
          <w:tcPr>
            <w:tcW w:w="5480" w:type="dxa"/>
            <w:vAlign w:val="bottom"/>
          </w:tcPr>
          <w:p>
            <w:pPr>
              <w:spacing w:after="0" w:line="155" w:lineRule="exact"/>
              <w:rPr>
                <w:sz w:val="20"/>
                <w:szCs w:val="20"/>
                <w:color w:val="auto"/>
              </w:rPr>
            </w:pPr>
            <w:r>
              <w:rPr>
                <w:rFonts w:ascii="Arial" w:cs="Arial" w:eastAsia="Arial" w:hAnsi="Arial"/>
                <w:sz w:val="14"/>
                <w:szCs w:val="14"/>
                <w:color w:val="auto"/>
              </w:rPr>
              <w:t>Taxable income before dividends paid deduction</w:t>
            </w:r>
          </w:p>
        </w:tc>
        <w:tc>
          <w:tcPr>
            <w:tcW w:w="38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33,790,860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43,320,360</w:t>
            </w:r>
          </w:p>
        </w:tc>
        <w:tc>
          <w:tcPr>
            <w:tcW w:w="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50,457,335</w:t>
            </w:r>
          </w:p>
        </w:tc>
        <w:tc>
          <w:tcPr>
            <w:tcW w:w="120" w:type="dxa"/>
            <w:vAlign w:val="bottom"/>
          </w:tcPr>
          <w:p>
            <w:pPr>
              <w:spacing w:after="0"/>
              <w:rPr>
                <w:sz w:val="13"/>
                <w:szCs w:val="13"/>
                <w:color w:val="auto"/>
              </w:rPr>
            </w:pPr>
          </w:p>
        </w:tc>
      </w:tr>
      <w:tr>
        <w:trPr>
          <w:trHeight w:val="20"/>
        </w:trPr>
        <w:tc>
          <w:tcPr>
            <w:tcW w:w="5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components of undistributed taxable income on a tax basis and reconciliation to accumulated deficit on a book basis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0"/>
              </w:rPr>
              <w:t>As of September 30,</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4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Undistributed net investment income – tax basis</w:t>
            </w: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23,560,452</w:t>
            </w: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21,934,012</w:t>
            </w:r>
          </w:p>
        </w:tc>
        <w:tc>
          <w:tcPr>
            <w:tcW w:w="1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22,848,424</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460" w:type="dxa"/>
            <w:vAlign w:val="bottom"/>
          </w:tcPr>
          <w:p>
            <w:pPr>
              <w:spacing w:after="0"/>
              <w:rPr>
                <w:sz w:val="20"/>
                <w:szCs w:val="20"/>
                <w:color w:val="auto"/>
              </w:rPr>
            </w:pPr>
            <w:r>
              <w:rPr>
                <w:rFonts w:ascii="Arial" w:cs="Arial" w:eastAsia="Arial" w:hAnsi="Arial"/>
                <w:sz w:val="14"/>
                <w:szCs w:val="14"/>
                <w:color w:val="auto"/>
              </w:rPr>
              <w:t>Short-term realized loss carried forward</w:t>
            </w:r>
          </w:p>
        </w:tc>
        <w:tc>
          <w:tcPr>
            <w:tcW w:w="30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(1,578,244)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4"/>
                <w:szCs w:val="14"/>
                <w:color w:val="auto"/>
              </w:rPr>
              <w:t>(2,528,068)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(24,269,334)</w:t>
            </w:r>
          </w:p>
        </w:tc>
        <w:tc>
          <w:tcPr>
            <w:tcW w:w="0" w:type="dxa"/>
            <w:vAlign w:val="bottom"/>
          </w:tcPr>
          <w:p>
            <w:pPr>
              <w:spacing w:after="0"/>
              <w:rPr>
                <w:sz w:val="1"/>
                <w:szCs w:val="1"/>
                <w:color w:val="auto"/>
              </w:rPr>
            </w:pPr>
          </w:p>
        </w:tc>
      </w:tr>
      <w:tr>
        <w:trPr>
          <w:trHeight w:val="162"/>
        </w:trPr>
        <w:tc>
          <w:tcPr>
            <w:tcW w:w="6460" w:type="dxa"/>
            <w:vAlign w:val="bottom"/>
            <w:shd w:val="clear" w:color="auto" w:fill="CCECFF"/>
          </w:tcPr>
          <w:p>
            <w:pPr>
              <w:spacing w:after="0"/>
              <w:rPr>
                <w:sz w:val="20"/>
                <w:szCs w:val="20"/>
                <w:color w:val="auto"/>
              </w:rPr>
            </w:pPr>
            <w:r>
              <w:rPr>
                <w:rFonts w:ascii="Arial" w:cs="Arial" w:eastAsia="Arial" w:hAnsi="Arial"/>
                <w:sz w:val="14"/>
                <w:szCs w:val="14"/>
                <w:color w:val="auto"/>
              </w:rPr>
              <w:t>Long-term realized loss carried forward</w:t>
            </w:r>
          </w:p>
        </w:tc>
        <w:tc>
          <w:tcPr>
            <w:tcW w:w="300" w:type="dxa"/>
            <w:vAlign w:val="bottom"/>
            <w:shd w:val="clear" w:color="auto" w:fill="CCECFF"/>
          </w:tcPr>
          <w:p>
            <w:pPr>
              <w:jc w:val="right"/>
              <w:ind w:right="148"/>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(165,036,666)</w:t>
            </w:r>
          </w:p>
        </w:tc>
        <w:tc>
          <w:tcPr>
            <w:tcW w:w="18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(198,740,522)</w:t>
            </w:r>
          </w:p>
        </w:tc>
        <w:tc>
          <w:tcPr>
            <w:tcW w:w="400" w:type="dxa"/>
            <w:vAlign w:val="bottom"/>
            <w:gridSpan w:val="2"/>
            <w:shd w:val="clear" w:color="auto" w:fill="CCECFF"/>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(156,069,237)</w:t>
            </w:r>
          </w:p>
        </w:tc>
        <w:tc>
          <w:tcPr>
            <w:tcW w:w="0" w:type="dxa"/>
            <w:vAlign w:val="bottom"/>
          </w:tcPr>
          <w:p>
            <w:pPr>
              <w:spacing w:after="0"/>
              <w:rPr>
                <w:sz w:val="1"/>
                <w:szCs w:val="1"/>
                <w:color w:val="auto"/>
              </w:rPr>
            </w:pPr>
          </w:p>
        </w:tc>
      </w:tr>
      <w:tr>
        <w:trPr>
          <w:trHeight w:val="162"/>
        </w:trPr>
        <w:tc>
          <w:tcPr>
            <w:tcW w:w="6460" w:type="dxa"/>
            <w:vAlign w:val="bottom"/>
          </w:tcPr>
          <w:p>
            <w:pPr>
              <w:spacing w:after="0"/>
              <w:rPr>
                <w:sz w:val="20"/>
                <w:szCs w:val="20"/>
                <w:color w:val="auto"/>
              </w:rPr>
            </w:pPr>
            <w:r>
              <w:rPr>
                <w:rFonts w:ascii="Arial" w:cs="Arial" w:eastAsia="Arial" w:hAnsi="Arial"/>
                <w:sz w:val="14"/>
                <w:szCs w:val="14"/>
                <w:color w:val="auto"/>
              </w:rPr>
              <w:t>Distributions payable and other book to tax differences</w:t>
            </w:r>
          </w:p>
        </w:tc>
        <w:tc>
          <w:tcPr>
            <w:tcW w:w="30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(15,367,982)</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4"/>
                <w:szCs w:val="14"/>
                <w:color w:val="auto"/>
              </w:rPr>
              <w:t>(18,407,316)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(18,494,772)</w:t>
            </w:r>
          </w:p>
        </w:tc>
        <w:tc>
          <w:tcPr>
            <w:tcW w:w="0" w:type="dxa"/>
            <w:vAlign w:val="bottom"/>
          </w:tcPr>
          <w:p>
            <w:pPr>
              <w:spacing w:after="0"/>
              <w:rPr>
                <w:sz w:val="1"/>
                <w:szCs w:val="1"/>
                <w:color w:val="auto"/>
              </w:rPr>
            </w:pPr>
          </w:p>
        </w:tc>
      </w:tr>
      <w:tr>
        <w:trPr>
          <w:trHeight w:val="162"/>
        </w:trPr>
        <w:tc>
          <w:tcPr>
            <w:tcW w:w="6460" w:type="dxa"/>
            <w:vAlign w:val="bottom"/>
            <w:shd w:val="clear" w:color="auto" w:fill="CCECFF"/>
          </w:tcPr>
          <w:p>
            <w:pPr>
              <w:spacing w:after="0"/>
              <w:rPr>
                <w:sz w:val="20"/>
                <w:szCs w:val="20"/>
                <w:color w:val="auto"/>
              </w:rPr>
            </w:pPr>
            <w:r>
              <w:rPr>
                <w:rFonts w:ascii="Arial" w:cs="Arial" w:eastAsia="Arial" w:hAnsi="Arial"/>
                <w:sz w:val="14"/>
                <w:szCs w:val="14"/>
                <w:color w:val="auto"/>
              </w:rPr>
              <w:t>Net unrealized appreciation (depreciation) on investments and debt</w:t>
            </w:r>
          </w:p>
        </w:tc>
        <w:tc>
          <w:tcPr>
            <w:tcW w:w="30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31,506,528</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(64,241,330)</w:t>
            </w:r>
          </w:p>
        </w:tc>
        <w:tc>
          <w:tcPr>
            <w:tcW w:w="1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0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(30,368,617)</w:t>
            </w:r>
          </w:p>
        </w:tc>
        <w:tc>
          <w:tcPr>
            <w:tcW w:w="0" w:type="dxa"/>
            <w:vAlign w:val="bottom"/>
          </w:tcPr>
          <w:p>
            <w:pPr>
              <w:spacing w:after="0"/>
              <w:rPr>
                <w:sz w:val="1"/>
                <w:szCs w:val="1"/>
                <w:color w:val="auto"/>
              </w:rPr>
            </w:pPr>
          </w:p>
        </w:tc>
      </w:tr>
      <w:tr>
        <w:trPr>
          <w:trHeight w:val="156"/>
        </w:trPr>
        <w:tc>
          <w:tcPr>
            <w:tcW w:w="6460" w:type="dxa"/>
            <w:vAlign w:val="bottom"/>
          </w:tcPr>
          <w:p>
            <w:pPr>
              <w:spacing w:after="0" w:line="155" w:lineRule="exact"/>
              <w:rPr>
                <w:sz w:val="20"/>
                <w:szCs w:val="20"/>
                <w:color w:val="auto"/>
              </w:rPr>
            </w:pPr>
            <w:r>
              <w:rPr>
                <w:rFonts w:ascii="Arial" w:cs="Arial" w:eastAsia="Arial" w:hAnsi="Arial"/>
                <w:sz w:val="14"/>
                <w:szCs w:val="14"/>
                <w:color w:val="auto"/>
              </w:rPr>
              <w:t>Total accumulated deficit – book basis</w:t>
            </w: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(126,915,912)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(261,983,224)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(206,353,536)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ind w:left="440"/>
              <w:spacing w:after="0"/>
              <w:rPr>
                <w:sz w:val="20"/>
                <w:szCs w:val="20"/>
                <w:color w:val="auto"/>
              </w:rPr>
            </w:pPr>
            <w:r>
              <w:rPr>
                <w:rFonts w:ascii="Arial" w:cs="Arial" w:eastAsia="Arial" w:hAnsi="Arial"/>
                <w:sz w:val="14"/>
                <w:szCs w:val="14"/>
                <w:color w:val="auto"/>
              </w:rPr>
              <w:t>The tax characteristics of distributions declared are as follows: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4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6"/>
              </w:rPr>
              <w:t>Years Ended September 30,</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4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CFF"/>
            </w:tcBorders>
          </w:tcPr>
          <w:p>
            <w:pPr>
              <w:spacing w:after="0"/>
              <w:rPr>
                <w:sz w:val="13"/>
                <w:szCs w:val="13"/>
                <w:color w:val="auto"/>
              </w:rPr>
            </w:pPr>
          </w:p>
        </w:tc>
      </w:tr>
      <w:tr>
        <w:trPr>
          <w:trHeight w:val="156"/>
        </w:trPr>
        <w:tc>
          <w:tcPr>
            <w:tcW w:w="64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Ordinary income (including short-term gains, if any)</w:t>
            </w: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32,181,650</w:t>
            </w:r>
          </w:p>
        </w:tc>
        <w:tc>
          <w:tcPr>
            <w:tcW w:w="28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8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40,227,063</w:t>
            </w:r>
          </w:p>
        </w:tc>
        <w:tc>
          <w:tcPr>
            <w:tcW w:w="26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jc w:val="right"/>
              <w:ind w:right="16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48,449,313</w:t>
            </w:r>
          </w:p>
        </w:tc>
        <w:tc>
          <w:tcPr>
            <w:tcW w:w="120" w:type="dxa"/>
            <w:vAlign w:val="bottom"/>
            <w:shd w:val="clear" w:color="auto" w:fill="CCECFF"/>
          </w:tcPr>
          <w:p>
            <w:pPr>
              <w:spacing w:after="0"/>
              <w:rPr>
                <w:sz w:val="13"/>
                <w:szCs w:val="13"/>
                <w:color w:val="auto"/>
              </w:rPr>
            </w:pPr>
          </w:p>
        </w:tc>
      </w:tr>
      <w:tr>
        <w:trPr>
          <w:trHeight w:val="162"/>
        </w:trPr>
        <w:tc>
          <w:tcPr>
            <w:tcW w:w="6460" w:type="dxa"/>
            <w:vAlign w:val="bottom"/>
          </w:tcPr>
          <w:p>
            <w:pPr>
              <w:spacing w:after="0"/>
              <w:rPr>
                <w:sz w:val="20"/>
                <w:szCs w:val="20"/>
                <w:color w:val="auto"/>
              </w:rPr>
            </w:pPr>
            <w:r>
              <w:rPr>
                <w:rFonts w:ascii="Arial" w:cs="Arial" w:eastAsia="Arial" w:hAnsi="Arial"/>
                <w:sz w:val="14"/>
                <w:szCs w:val="14"/>
                <w:color w:val="auto"/>
              </w:rPr>
              <w:t>Long-term capital gain</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55"/>
        </w:trPr>
        <w:tc>
          <w:tcPr>
            <w:tcW w:w="64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distributions</w:t>
            </w: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32,181,650</w:t>
            </w:r>
          </w:p>
        </w:tc>
        <w:tc>
          <w:tcPr>
            <w:tcW w:w="28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8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40,227,063</w:t>
            </w:r>
          </w:p>
        </w:tc>
        <w:tc>
          <w:tcPr>
            <w:tcW w:w="2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6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48,449,313</w:t>
            </w:r>
          </w:p>
        </w:tc>
        <w:tc>
          <w:tcPr>
            <w:tcW w:w="120" w:type="dxa"/>
            <w:vAlign w:val="bottom"/>
            <w:tcBorders>
              <w:top w:val="single" w:sz="8" w:color="CCECFF"/>
            </w:tcBorders>
            <w:shd w:val="clear" w:color="auto" w:fill="CCECFF"/>
          </w:tcPr>
          <w:p>
            <w:pPr>
              <w:spacing w:after="0"/>
              <w:rPr>
                <w:sz w:val="13"/>
                <w:szCs w:val="13"/>
                <w:color w:val="auto"/>
              </w:rPr>
            </w:pPr>
          </w:p>
        </w:tc>
      </w:tr>
      <w:tr>
        <w:trPr>
          <w:trHeight w:val="156"/>
        </w:trPr>
        <w:tc>
          <w:tcPr>
            <w:tcW w:w="6460" w:type="dxa"/>
            <w:vAlign w:val="bottom"/>
          </w:tcPr>
          <w:p>
            <w:pPr>
              <w:spacing w:after="0" w:line="155" w:lineRule="exact"/>
              <w:rPr>
                <w:sz w:val="20"/>
                <w:szCs w:val="20"/>
                <w:color w:val="auto"/>
              </w:rPr>
            </w:pPr>
            <w:r>
              <w:rPr>
                <w:rFonts w:ascii="Arial" w:cs="Arial" w:eastAsia="Arial" w:hAnsi="Arial"/>
                <w:sz w:val="14"/>
                <w:szCs w:val="14"/>
                <w:color w:val="auto"/>
              </w:rPr>
              <w:t>Total distributions declared per share</w:t>
            </w: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0.48</w:t>
            </w:r>
          </w:p>
        </w:tc>
        <w:tc>
          <w:tcPr>
            <w:tcW w:w="280" w:type="dxa"/>
            <w:vAlign w:val="bottom"/>
          </w:tcPr>
          <w:p>
            <w:pPr>
              <w:spacing w:after="0"/>
              <w:rPr>
                <w:sz w:val="13"/>
                <w:szCs w:val="13"/>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0.60</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0.72</w:t>
            </w:r>
          </w:p>
        </w:tc>
        <w:tc>
          <w:tcPr>
            <w:tcW w:w="120" w:type="dxa"/>
            <w:vAlign w:val="bottom"/>
          </w:tcPr>
          <w:p>
            <w:pPr>
              <w:spacing w:after="0"/>
              <w:rPr>
                <w:sz w:val="13"/>
                <w:szCs w:val="13"/>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CASH AND CASH EQUIVALENTS</w:t>
      </w:r>
    </w:p>
    <w:p>
      <w:pPr>
        <w:spacing w:after="0" w:line="140" w:lineRule="exact"/>
        <w:rPr>
          <w:sz w:val="20"/>
          <w:szCs w:val="20"/>
          <w:color w:val="auto"/>
        </w:rPr>
      </w:pPr>
    </w:p>
    <w:p>
      <w:pPr>
        <w:ind w:right="80" w:firstLine="438"/>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September 30, 2021 and 2020, cash and cash equivalents consisted of money market funds in the amounts of $20.4 million and $25.8 million at fair value, respectively.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FINANCIAL HIGHLIGHTS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are the financial highlights for each of the years ended September 30: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80" w:type="dxa"/>
            <w:vAlign w:val="bottom"/>
            <w:tcBorders>
              <w:bottom w:val="single" w:sz="8" w:color="CCEC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CFF"/>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CCEC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CECFF"/>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CCEC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CFF"/>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9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Per Share Data:</w:t>
            </w:r>
          </w:p>
        </w:tc>
        <w:tc>
          <w:tcPr>
            <w:tcW w:w="16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20"/>
                <w:szCs w:val="20"/>
                <w:color w:val="auto"/>
              </w:rPr>
            </w:pPr>
            <w:r>
              <w:rPr>
                <w:rFonts w:ascii="Arial" w:cs="Arial" w:eastAsia="Arial" w:hAnsi="Arial"/>
                <w:sz w:val="14"/>
                <w:szCs w:val="14"/>
                <w:color w:val="auto"/>
              </w:rPr>
              <w:t>Net asset value, beginning of year</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7.84</w:t>
            </w:r>
          </w:p>
        </w:tc>
        <w:tc>
          <w:tcPr>
            <w:tcW w:w="180" w:type="dxa"/>
            <w:vAlign w:val="bottom"/>
          </w:tcPr>
          <w:p>
            <w:pPr>
              <w:spacing w:after="0"/>
              <w:rPr>
                <w:sz w:val="14"/>
                <w:szCs w:val="14"/>
                <w:color w:val="auto"/>
              </w:rPr>
            </w:pPr>
          </w:p>
        </w:tc>
        <w:tc>
          <w:tcPr>
            <w:tcW w:w="24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8.68</w:t>
            </w:r>
          </w:p>
        </w:tc>
        <w:tc>
          <w:tcPr>
            <w:tcW w:w="30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9.11</w:t>
            </w:r>
          </w:p>
        </w:tc>
        <w:tc>
          <w:tcPr>
            <w:tcW w:w="240" w:type="dxa"/>
            <w:vAlign w:val="bottom"/>
          </w:tcPr>
          <w:p>
            <w:pPr>
              <w:spacing w:after="0"/>
              <w:rPr>
                <w:sz w:val="14"/>
                <w:szCs w:val="14"/>
                <w:color w:val="auto"/>
              </w:rPr>
            </w:pPr>
          </w:p>
        </w:tc>
        <w:tc>
          <w:tcPr>
            <w:tcW w:w="24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9.10</w:t>
            </w:r>
          </w:p>
        </w:tc>
        <w:tc>
          <w:tcPr>
            <w:tcW w:w="26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9.05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16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0.54</w:t>
            </w:r>
          </w:p>
        </w:tc>
        <w:tc>
          <w:tcPr>
            <w:tcW w:w="1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0.58</w:t>
            </w:r>
          </w:p>
        </w:tc>
        <w:tc>
          <w:tcPr>
            <w:tcW w:w="3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0.66</w:t>
            </w:r>
          </w:p>
        </w:tc>
        <w:tc>
          <w:tcPr>
            <w:tcW w:w="2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0.75</w:t>
            </w:r>
          </w:p>
        </w:tc>
        <w:tc>
          <w:tcPr>
            <w:tcW w:w="2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0.79</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20"/>
                <w:szCs w:val="20"/>
                <w:color w:val="auto"/>
              </w:rPr>
            </w:pPr>
            <w:r>
              <w:rPr>
                <w:rFonts w:ascii="Arial" w:cs="Arial" w:eastAsia="Arial" w:hAnsi="Arial"/>
                <w:sz w:val="14"/>
                <w:szCs w:val="14"/>
                <w:color w:val="auto"/>
              </w:rPr>
              <w:t xml:space="preserve">Net realized and unrealized (loss) gain </w:t>
            </w:r>
            <w:r>
              <w:rPr>
                <w:rFonts w:ascii="Arial" w:cs="Arial" w:eastAsia="Arial" w:hAnsi="Arial"/>
                <w:sz w:val="12"/>
                <w:szCs w:val="12"/>
                <w:color w:val="auto"/>
              </w:rPr>
              <w:t>(1)</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(0.82)</w:t>
            </w:r>
          </w:p>
        </w:tc>
        <w:tc>
          <w:tcPr>
            <w:tcW w:w="18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(0.42)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(0.07)</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0.08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Net (decrease) increase in net assets resulting from operations </w:t>
            </w:r>
            <w:r>
              <w:rPr>
                <w:rFonts w:ascii="Arial" w:cs="Arial" w:eastAsia="Arial" w:hAnsi="Arial"/>
                <w:sz w:val="12"/>
                <w:szCs w:val="12"/>
                <w:color w:val="auto"/>
              </w:rPr>
              <w:t>(1)</w:t>
            </w:r>
          </w:p>
        </w:tc>
        <w:tc>
          <w:tcPr>
            <w:tcW w:w="16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2.49</w:t>
            </w: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(0.24)</w:t>
            </w:r>
          </w:p>
        </w:tc>
        <w:tc>
          <w:tcPr>
            <w:tcW w:w="30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0.24</w:t>
            </w:r>
          </w:p>
        </w:tc>
        <w:tc>
          <w:tcPr>
            <w:tcW w:w="2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0.68</w:t>
            </w:r>
          </w:p>
        </w:tc>
        <w:tc>
          <w:tcPr>
            <w:tcW w:w="26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0.87</w:t>
            </w:r>
          </w:p>
        </w:tc>
        <w:tc>
          <w:tcPr>
            <w:tcW w:w="14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CFF"/>
          </w:tcPr>
          <w:p>
            <w:pPr>
              <w:ind w:left="80"/>
              <w:spacing w:after="0"/>
              <w:rPr>
                <w:sz w:val="20"/>
                <w:szCs w:val="20"/>
                <w:color w:val="auto"/>
              </w:rPr>
            </w:pPr>
            <w:r>
              <w:rPr>
                <w:rFonts w:ascii="Arial" w:cs="Arial" w:eastAsia="Arial" w:hAnsi="Arial"/>
                <w:sz w:val="14"/>
                <w:szCs w:val="14"/>
                <w:color w:val="auto"/>
              </w:rPr>
              <w:t>Distribution of net investment income</w:t>
            </w:r>
          </w:p>
        </w:tc>
        <w:tc>
          <w:tcPr>
            <w:tcW w:w="16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(0.48)</w:t>
            </w: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(0.60)</w:t>
            </w:r>
          </w:p>
        </w:tc>
        <w:tc>
          <w:tcPr>
            <w:tcW w:w="18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(0.72)</w:t>
            </w: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(0.72)</w:t>
            </w:r>
          </w:p>
        </w:tc>
        <w:tc>
          <w:tcPr>
            <w:tcW w:w="180" w:type="dxa"/>
            <w:vAlign w:val="bottom"/>
            <w:shd w:val="clear" w:color="auto" w:fill="CCECFF"/>
          </w:tcPr>
          <w:p>
            <w:pPr>
              <w:spacing w:after="0"/>
              <w:rPr>
                <w:sz w:val="14"/>
                <w:szCs w:val="14"/>
                <w:color w:val="auto"/>
              </w:rPr>
            </w:pPr>
          </w:p>
        </w:tc>
        <w:tc>
          <w:tcPr>
            <w:tcW w:w="9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(0.82)</w:t>
            </w:r>
          </w:p>
        </w:tc>
        <w:tc>
          <w:tcPr>
            <w:tcW w:w="0" w:type="dxa"/>
            <w:vAlign w:val="bottom"/>
          </w:tcPr>
          <w:p>
            <w:pPr>
              <w:spacing w:after="0"/>
              <w:rPr>
                <w:sz w:val="1"/>
                <w:szCs w:val="1"/>
                <w:color w:val="auto"/>
              </w:rPr>
            </w:pPr>
          </w:p>
        </w:tc>
      </w:tr>
      <w:tr>
        <w:trPr>
          <w:trHeight w:val="162"/>
        </w:trPr>
        <w:tc>
          <w:tcPr>
            <w:tcW w:w="4980" w:type="dxa"/>
            <w:vAlign w:val="bottom"/>
          </w:tcPr>
          <w:p>
            <w:pPr>
              <w:ind w:left="80"/>
              <w:spacing w:after="0"/>
              <w:rPr>
                <w:sz w:val="20"/>
                <w:szCs w:val="20"/>
                <w:color w:val="auto"/>
              </w:rPr>
            </w:pPr>
            <w:r>
              <w:rPr>
                <w:rFonts w:ascii="Arial" w:cs="Arial" w:eastAsia="Arial" w:hAnsi="Arial"/>
                <w:sz w:val="14"/>
                <w:szCs w:val="14"/>
                <w:color w:val="auto"/>
              </w:rPr>
              <w:t>Distribution of realized gains</w:t>
            </w:r>
          </w:p>
        </w:tc>
        <w:tc>
          <w:tcPr>
            <w:tcW w:w="16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9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distributions to stockholders</w:t>
            </w:r>
          </w:p>
        </w:tc>
        <w:tc>
          <w:tcPr>
            <w:tcW w:w="16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(0.48)</w:t>
            </w: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(0.60)</w:t>
            </w:r>
          </w:p>
        </w:tc>
        <w:tc>
          <w:tcPr>
            <w:tcW w:w="30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(0.72)</w:t>
            </w:r>
          </w:p>
        </w:tc>
        <w:tc>
          <w:tcPr>
            <w:tcW w:w="2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(0.72)</w:t>
            </w:r>
          </w:p>
        </w:tc>
        <w:tc>
          <w:tcPr>
            <w:tcW w:w="26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(0.82)</w:t>
            </w:r>
          </w:p>
        </w:tc>
        <w:tc>
          <w:tcPr>
            <w:tcW w:w="14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20"/>
                <w:szCs w:val="20"/>
                <w:color w:val="auto"/>
              </w:rPr>
            </w:pPr>
            <w:r>
              <w:rPr>
                <w:rFonts w:ascii="Arial" w:cs="Arial" w:eastAsia="Arial" w:hAnsi="Arial"/>
                <w:sz w:val="14"/>
                <w:szCs w:val="14"/>
                <w:color w:val="auto"/>
              </w:rPr>
              <w:t xml:space="preserve">Repurchase of common stock </w:t>
            </w:r>
            <w:r>
              <w:rPr>
                <w:rFonts w:ascii="Arial" w:cs="Arial" w:eastAsia="Arial" w:hAnsi="Arial"/>
                <w:sz w:val="12"/>
                <w:szCs w:val="12"/>
                <w:color w:val="auto"/>
              </w:rPr>
              <w:t>(1)</w:t>
            </w:r>
          </w:p>
        </w:tc>
        <w:tc>
          <w:tcPr>
            <w:tcW w:w="16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0.05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0.05</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98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Net asset value, end of year</w:t>
            </w:r>
          </w:p>
        </w:tc>
        <w:tc>
          <w:tcPr>
            <w:tcW w:w="160" w:type="dxa"/>
            <w:vAlign w:val="bottom"/>
            <w:tcBorders>
              <w:top w:val="single" w:sz="8" w:color="auto"/>
              <w:bottom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9.85</w:t>
            </w:r>
          </w:p>
        </w:tc>
        <w:tc>
          <w:tcPr>
            <w:tcW w:w="1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7.84</w:t>
            </w:r>
          </w:p>
        </w:tc>
        <w:tc>
          <w:tcPr>
            <w:tcW w:w="30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8.68</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9.11</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9.10</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4"/>
                <w:szCs w:val="14"/>
                <w:color w:val="auto"/>
              </w:rPr>
              <w:t>Per share market value, end of year</w:t>
            </w: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80" w:type="dxa"/>
            <w:vAlign w:val="bottom"/>
            <w:tcBorders>
              <w:bottom w:val="single" w:sz="8" w:color="CCECFF"/>
            </w:tcBorders>
            <w:vMerge w:val="continue"/>
          </w:tcPr>
          <w:p>
            <w:pPr>
              <w:spacing w:after="0"/>
              <w:rPr>
                <w:sz w:val="15"/>
                <w:szCs w:val="15"/>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6.49</w:t>
            </w:r>
          </w:p>
        </w:tc>
        <w:tc>
          <w:tcPr>
            <w:tcW w:w="180" w:type="dxa"/>
            <w:vAlign w:val="bottom"/>
            <w:tcBorders>
              <w:bottom w:val="single" w:sz="8" w:color="CCECFF"/>
            </w:tcBorders>
          </w:tcPr>
          <w:p>
            <w:pPr>
              <w:spacing w:after="0"/>
              <w:rPr>
                <w:sz w:val="15"/>
                <w:szCs w:val="15"/>
                <w:color w:val="auto"/>
              </w:rPr>
            </w:pPr>
          </w:p>
        </w:tc>
        <w:tc>
          <w:tcPr>
            <w:tcW w:w="80" w:type="dxa"/>
            <w:vAlign w:val="bottom"/>
            <w:tcBorders>
              <w:bottom w:val="single" w:sz="8" w:color="CCEC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3.19</w:t>
            </w:r>
          </w:p>
        </w:tc>
        <w:tc>
          <w:tcPr>
            <w:tcW w:w="300" w:type="dxa"/>
            <w:vAlign w:val="bottom"/>
            <w:tcBorders>
              <w:bottom w:val="single" w:sz="8" w:color="CCEC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6.27</w:t>
            </w:r>
          </w:p>
        </w:tc>
        <w:tc>
          <w:tcPr>
            <w:tcW w:w="240" w:type="dxa"/>
            <w:vAlign w:val="bottom"/>
            <w:tcBorders>
              <w:bottom w:val="single" w:sz="8" w:color="CCECFF"/>
            </w:tcBorders>
          </w:tcPr>
          <w:p>
            <w:pPr>
              <w:spacing w:after="0"/>
              <w:rPr>
                <w:sz w:val="15"/>
                <w:szCs w:val="15"/>
                <w:color w:val="auto"/>
              </w:rPr>
            </w:pPr>
          </w:p>
        </w:tc>
        <w:tc>
          <w:tcPr>
            <w:tcW w:w="80" w:type="dxa"/>
            <w:vAlign w:val="bottom"/>
            <w:tcBorders>
              <w:bottom w:val="single" w:sz="8" w:color="CCEC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7.46</w:t>
            </w:r>
          </w:p>
        </w:tc>
        <w:tc>
          <w:tcPr>
            <w:tcW w:w="260" w:type="dxa"/>
            <w:vAlign w:val="bottom"/>
            <w:tcBorders>
              <w:bottom w:val="single" w:sz="8" w:color="CCEC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7.51</w:t>
            </w:r>
          </w:p>
        </w:tc>
        <w:tc>
          <w:tcPr>
            <w:tcW w:w="14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98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160" w:type="dxa"/>
            <w:vAlign w:val="bottom"/>
            <w:shd w:val="clear" w:color="auto" w:fill="CCECFF"/>
          </w:tcPr>
          <w:p>
            <w:pPr>
              <w:spacing w:after="0"/>
              <w:rPr>
                <w:sz w:val="12"/>
                <w:szCs w:val="12"/>
                <w:color w:val="auto"/>
              </w:rPr>
            </w:pPr>
          </w:p>
        </w:tc>
        <w:tc>
          <w:tcPr>
            <w:tcW w:w="84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120.98%</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140" w:type="dxa"/>
            <w:vAlign w:val="bottom"/>
            <w:gridSpan w:val="2"/>
            <w:shd w:val="clear" w:color="auto" w:fill="CCECFF"/>
          </w:tcPr>
          <w:p>
            <w:pPr>
              <w:jc w:val="right"/>
              <w:ind w:right="140"/>
              <w:spacing w:after="0" w:line="143" w:lineRule="exact"/>
              <w:rPr>
                <w:sz w:val="20"/>
                <w:szCs w:val="20"/>
                <w:color w:val="auto"/>
              </w:rPr>
            </w:pPr>
            <w:r>
              <w:rPr>
                <w:rFonts w:ascii="Arial" w:cs="Arial" w:eastAsia="Arial" w:hAnsi="Arial"/>
                <w:sz w:val="14"/>
                <w:szCs w:val="14"/>
                <w:color w:val="auto"/>
              </w:rPr>
              <w:t>(39.62)%</w:t>
            </w:r>
          </w:p>
        </w:tc>
        <w:tc>
          <w:tcPr>
            <w:tcW w:w="180" w:type="dxa"/>
            <w:vAlign w:val="bottom"/>
            <w:shd w:val="clear" w:color="auto" w:fill="CCECFF"/>
          </w:tcPr>
          <w:p>
            <w:pPr>
              <w:spacing w:after="0"/>
              <w:rPr>
                <w:sz w:val="12"/>
                <w:szCs w:val="12"/>
                <w:color w:val="auto"/>
              </w:rPr>
            </w:pPr>
          </w:p>
        </w:tc>
        <w:tc>
          <w:tcPr>
            <w:tcW w:w="1060" w:type="dxa"/>
            <w:vAlign w:val="bottom"/>
            <w:gridSpan w:val="2"/>
            <w:shd w:val="clear" w:color="auto" w:fill="CCECFF"/>
          </w:tcPr>
          <w:p>
            <w:pPr>
              <w:jc w:val="right"/>
              <w:ind w:right="80"/>
              <w:spacing w:after="0" w:line="143" w:lineRule="exact"/>
              <w:rPr>
                <w:sz w:val="20"/>
                <w:szCs w:val="20"/>
                <w:color w:val="auto"/>
              </w:rPr>
            </w:pPr>
            <w:r>
              <w:rPr>
                <w:rFonts w:ascii="Arial" w:cs="Arial" w:eastAsia="Arial" w:hAnsi="Arial"/>
                <w:sz w:val="14"/>
                <w:szCs w:val="14"/>
                <w:color w:val="auto"/>
              </w:rPr>
              <w:t>(6.28)%</w:t>
            </w:r>
          </w:p>
        </w:tc>
        <w:tc>
          <w:tcPr>
            <w:tcW w:w="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140"/>
              <w:spacing w:after="0" w:line="143" w:lineRule="exact"/>
              <w:rPr>
                <w:sz w:val="20"/>
                <w:szCs w:val="20"/>
                <w:color w:val="auto"/>
              </w:rPr>
            </w:pPr>
            <w:r>
              <w:rPr>
                <w:rFonts w:ascii="Arial" w:cs="Arial" w:eastAsia="Arial" w:hAnsi="Arial"/>
                <w:sz w:val="14"/>
                <w:szCs w:val="14"/>
                <w:color w:val="auto"/>
              </w:rPr>
              <w:t>9.70%</w:t>
            </w:r>
          </w:p>
        </w:tc>
        <w:tc>
          <w:tcPr>
            <w:tcW w:w="18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0"/>
              <w:spacing w:after="0" w:line="143" w:lineRule="exact"/>
              <w:rPr>
                <w:sz w:val="20"/>
                <w:szCs w:val="20"/>
                <w:color w:val="auto"/>
              </w:rPr>
            </w:pPr>
            <w:r>
              <w:rPr>
                <w:rFonts w:ascii="Arial" w:cs="Arial" w:eastAsia="Arial" w:hAnsi="Arial"/>
                <w:sz w:val="14"/>
                <w:szCs w:val="14"/>
                <w:color w:val="auto"/>
              </w:rPr>
              <w:t>10.80%</w:t>
            </w:r>
          </w:p>
        </w:tc>
        <w:tc>
          <w:tcPr>
            <w:tcW w:w="0" w:type="dxa"/>
            <w:vAlign w:val="bottom"/>
          </w:tcPr>
          <w:p>
            <w:pPr>
              <w:spacing w:after="0"/>
              <w:rPr>
                <w:sz w:val="1"/>
                <w:szCs w:val="1"/>
                <w:color w:val="auto"/>
              </w:rPr>
            </w:pPr>
          </w:p>
        </w:tc>
      </w:tr>
      <w:tr>
        <w:trPr>
          <w:trHeight w:val="202"/>
        </w:trPr>
        <w:tc>
          <w:tcPr>
            <w:tcW w:w="498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Shares outstanding at end of year</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67,045,105</w:t>
            </w:r>
          </w:p>
        </w:tc>
        <w:tc>
          <w:tcPr>
            <w:tcW w:w="180" w:type="dxa"/>
            <w:vAlign w:val="bottom"/>
            <w:tcBorders>
              <w:bottom w:val="single" w:sz="8" w:color="CCECFF"/>
            </w:tcBorders>
          </w:tcPr>
          <w:p>
            <w:pPr>
              <w:spacing w:after="0"/>
              <w:rPr>
                <w:sz w:val="17"/>
                <w:szCs w:val="17"/>
                <w:color w:val="auto"/>
              </w:rPr>
            </w:pPr>
          </w:p>
        </w:tc>
        <w:tc>
          <w:tcPr>
            <w:tcW w:w="80" w:type="dxa"/>
            <w:vAlign w:val="bottom"/>
            <w:tcBorders>
              <w:bottom w:val="single" w:sz="8" w:color="CCEC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67,045,105</w:t>
            </w:r>
          </w:p>
        </w:tc>
        <w:tc>
          <w:tcPr>
            <w:tcW w:w="300" w:type="dxa"/>
            <w:vAlign w:val="bottom"/>
            <w:tcBorders>
              <w:bottom w:val="single" w:sz="8" w:color="CCEC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67,045,105</w:t>
            </w:r>
          </w:p>
        </w:tc>
        <w:tc>
          <w:tcPr>
            <w:tcW w:w="240" w:type="dxa"/>
            <w:vAlign w:val="bottom"/>
            <w:tcBorders>
              <w:bottom w:val="single" w:sz="8" w:color="CCECFF"/>
            </w:tcBorders>
          </w:tcPr>
          <w:p>
            <w:pPr>
              <w:spacing w:after="0"/>
              <w:rPr>
                <w:sz w:val="17"/>
                <w:szCs w:val="17"/>
                <w:color w:val="auto"/>
              </w:rPr>
            </w:pPr>
          </w:p>
        </w:tc>
        <w:tc>
          <w:tcPr>
            <w:tcW w:w="80" w:type="dxa"/>
            <w:vAlign w:val="bottom"/>
            <w:tcBorders>
              <w:bottom w:val="single" w:sz="8" w:color="CCEC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69,053,958</w:t>
            </w:r>
          </w:p>
        </w:tc>
        <w:tc>
          <w:tcPr>
            <w:tcW w:w="260" w:type="dxa"/>
            <w:vAlign w:val="bottom"/>
            <w:tcBorders>
              <w:bottom w:val="single" w:sz="8" w:color="CCEC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71,060,836</w:t>
            </w:r>
          </w:p>
        </w:tc>
        <w:tc>
          <w:tcPr>
            <w:tcW w:w="14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980" w:type="dxa"/>
            <w:vAlign w:val="bottom"/>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Ratios / Supplemental Data:</w:t>
            </w:r>
          </w:p>
        </w:tc>
        <w:tc>
          <w:tcPr>
            <w:tcW w:w="16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 (6)</w:t>
            </w:r>
          </w:p>
        </w:tc>
        <w:tc>
          <w:tcPr>
            <w:tcW w:w="16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3.74%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4.91%</w:t>
            </w: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4.83%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4.99%</w:t>
            </w:r>
          </w:p>
        </w:tc>
        <w:tc>
          <w:tcPr>
            <w:tcW w:w="18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162"/>
        </w:trPr>
        <w:tc>
          <w:tcPr>
            <w:tcW w:w="498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interest and expenses on debt to average net assets </w:t>
            </w:r>
            <w:r>
              <w:rPr>
                <w:rFonts w:ascii="Arial" w:cs="Arial" w:eastAsia="Arial" w:hAnsi="Arial"/>
                <w:sz w:val="12"/>
                <w:szCs w:val="12"/>
                <w:color w:val="auto"/>
              </w:rPr>
              <w:t>(5)</w:t>
            </w:r>
          </w:p>
        </w:tc>
        <w:tc>
          <w:tcPr>
            <w:tcW w:w="16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3.73%</w:t>
            </w: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6.22%</w:t>
            </w:r>
          </w:p>
        </w:tc>
        <w:tc>
          <w:tcPr>
            <w:tcW w:w="18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6.29%</w:t>
            </w: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3.54%</w:t>
            </w:r>
          </w:p>
        </w:tc>
        <w:tc>
          <w:tcPr>
            <w:tcW w:w="180" w:type="dxa"/>
            <w:vAlign w:val="bottom"/>
            <w:shd w:val="clear" w:color="auto" w:fill="CCECFF"/>
          </w:tcPr>
          <w:p>
            <w:pPr>
              <w:spacing w:after="0"/>
              <w:rPr>
                <w:sz w:val="14"/>
                <w:szCs w:val="14"/>
                <w:color w:val="auto"/>
              </w:rPr>
            </w:pPr>
          </w:p>
        </w:tc>
        <w:tc>
          <w:tcPr>
            <w:tcW w:w="96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 (6)</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9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7.47%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11.13%</w:t>
            </w:r>
          </w:p>
        </w:tc>
        <w:tc>
          <w:tcPr>
            <w:tcW w:w="180" w:type="dxa"/>
            <w:vAlign w:val="bottom"/>
          </w:tcPr>
          <w:p>
            <w:pPr>
              <w:spacing w:after="0"/>
              <w:rPr>
                <w:sz w:val="13"/>
                <w:szCs w:val="13"/>
                <w:color w:val="auto"/>
              </w:rPr>
            </w:pPr>
          </w:p>
        </w:tc>
        <w:tc>
          <w:tcPr>
            <w:tcW w:w="10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11.12%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8.53%</w:t>
            </w:r>
          </w:p>
        </w:tc>
        <w:tc>
          <w:tcPr>
            <w:tcW w:w="180" w:type="dxa"/>
            <w:vAlign w:val="bottom"/>
          </w:tcPr>
          <w:p>
            <w:pPr>
              <w:spacing w:after="0"/>
              <w:rPr>
                <w:sz w:val="13"/>
                <w:szCs w:val="13"/>
                <w:color w:val="auto"/>
              </w:rPr>
            </w:pPr>
          </w:p>
        </w:tc>
        <w:tc>
          <w:tcPr>
            <w:tcW w:w="9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10.47%</w:t>
            </w:r>
          </w:p>
        </w:tc>
        <w:tc>
          <w:tcPr>
            <w:tcW w:w="0" w:type="dxa"/>
            <w:vAlign w:val="bottom"/>
          </w:tcPr>
          <w:p>
            <w:pPr>
              <w:spacing w:after="0"/>
              <w:rPr>
                <w:sz w:val="1"/>
                <w:szCs w:val="1"/>
                <w:color w:val="auto"/>
              </w:rPr>
            </w:pPr>
          </w:p>
        </w:tc>
      </w:tr>
      <w:tr>
        <w:trPr>
          <w:trHeight w:val="162"/>
        </w:trPr>
        <w:tc>
          <w:tcPr>
            <w:tcW w:w="498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(5)</w:t>
            </w:r>
          </w:p>
        </w:tc>
        <w:tc>
          <w:tcPr>
            <w:tcW w:w="16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6.04%</w:t>
            </w: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7.01%</w:t>
            </w:r>
          </w:p>
        </w:tc>
        <w:tc>
          <w:tcPr>
            <w:tcW w:w="18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7.35%</w:t>
            </w: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8.28%</w:t>
            </w:r>
          </w:p>
        </w:tc>
        <w:tc>
          <w:tcPr>
            <w:tcW w:w="180" w:type="dxa"/>
            <w:vAlign w:val="bottom"/>
            <w:shd w:val="clear" w:color="auto" w:fill="CCECFF"/>
          </w:tcPr>
          <w:p>
            <w:pPr>
              <w:spacing w:after="0"/>
              <w:rPr>
                <w:sz w:val="14"/>
                <w:szCs w:val="14"/>
                <w:color w:val="auto"/>
              </w:rPr>
            </w:pPr>
          </w:p>
        </w:tc>
        <w:tc>
          <w:tcPr>
            <w:tcW w:w="96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8.67%</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20"/>
                <w:szCs w:val="20"/>
                <w:color w:val="auto"/>
              </w:rPr>
            </w:pPr>
            <w:r>
              <w:rPr>
                <w:rFonts w:ascii="Arial" w:cs="Arial" w:eastAsia="Arial" w:hAnsi="Arial"/>
                <w:sz w:val="14"/>
                <w:szCs w:val="14"/>
                <w:color w:val="auto"/>
              </w:rPr>
              <w:t>Net assets at end of year</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660,144,107</w:t>
            </w:r>
          </w:p>
        </w:tc>
        <w:tc>
          <w:tcPr>
            <w:tcW w:w="180" w:type="dxa"/>
            <w:vAlign w:val="bottom"/>
          </w:tcPr>
          <w:p>
            <w:pPr>
              <w:spacing w:after="0"/>
              <w:rPr>
                <w:sz w:val="14"/>
                <w:szCs w:val="14"/>
                <w:color w:val="auto"/>
              </w:rPr>
            </w:pPr>
          </w:p>
        </w:tc>
        <w:tc>
          <w:tcPr>
            <w:tcW w:w="24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525,708,852</w:t>
            </w:r>
          </w:p>
        </w:tc>
        <w:tc>
          <w:tcPr>
            <w:tcW w:w="30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581,905,668</w:t>
            </w:r>
          </w:p>
        </w:tc>
        <w:tc>
          <w:tcPr>
            <w:tcW w:w="240" w:type="dxa"/>
            <w:vAlign w:val="bottom"/>
          </w:tcPr>
          <w:p>
            <w:pPr>
              <w:spacing w:after="0"/>
              <w:rPr>
                <w:sz w:val="14"/>
                <w:szCs w:val="14"/>
                <w:color w:val="auto"/>
              </w:rPr>
            </w:pPr>
          </w:p>
        </w:tc>
        <w:tc>
          <w:tcPr>
            <w:tcW w:w="24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628,901,895</w:t>
            </w:r>
          </w:p>
        </w:tc>
        <w:tc>
          <w:tcPr>
            <w:tcW w:w="26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646,808,471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Weighted average debt outstanding </w:t>
            </w:r>
            <w:r>
              <w:rPr>
                <w:rFonts w:ascii="Arial" w:cs="Arial" w:eastAsia="Arial" w:hAnsi="Arial"/>
                <w:sz w:val="12"/>
                <w:szCs w:val="12"/>
                <w:color w:val="auto"/>
              </w:rPr>
              <w:t>(7)</w:t>
            </w:r>
          </w:p>
        </w:tc>
        <w:tc>
          <w:tcPr>
            <w:tcW w:w="160" w:type="dxa"/>
            <w:vAlign w:val="bottom"/>
            <w:tcBorders>
              <w:top w:val="single" w:sz="8" w:color="auto"/>
              <w:bottom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649,665,619</w:t>
            </w: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794,641,334</w:t>
            </w:r>
          </w:p>
        </w:tc>
        <w:tc>
          <w:tcPr>
            <w:tcW w:w="30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638,424,193</w:t>
            </w:r>
          </w:p>
        </w:tc>
        <w:tc>
          <w:tcPr>
            <w:tcW w:w="2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504,963,762</w:t>
            </w:r>
          </w:p>
        </w:tc>
        <w:tc>
          <w:tcPr>
            <w:tcW w:w="26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605,661,674</w:t>
            </w:r>
          </w:p>
        </w:tc>
        <w:tc>
          <w:tcPr>
            <w:tcW w:w="14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80" w:type="dxa"/>
            <w:vAlign w:val="bottom"/>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 (7)</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9.69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11.85</w:t>
            </w:r>
          </w:p>
        </w:tc>
        <w:tc>
          <w:tcPr>
            <w:tcW w:w="300" w:type="dxa"/>
            <w:vAlign w:val="bottom"/>
          </w:tcPr>
          <w:p>
            <w:pPr>
              <w:spacing w:after="0"/>
              <w:rPr>
                <w:sz w:val="13"/>
                <w:szCs w:val="13"/>
                <w:color w:val="auto"/>
              </w:rPr>
            </w:pP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9.43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7.14</w:t>
            </w:r>
          </w:p>
        </w:tc>
        <w:tc>
          <w:tcPr>
            <w:tcW w:w="260" w:type="dxa"/>
            <w:vAlign w:val="bottom"/>
          </w:tcPr>
          <w:p>
            <w:pPr>
              <w:spacing w:after="0"/>
              <w:rPr>
                <w:sz w:val="13"/>
                <w:szCs w:val="13"/>
                <w:color w:val="auto"/>
              </w:rPr>
            </w:pP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8.52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(8)</w:t>
            </w:r>
          </w:p>
        </w:tc>
        <w:tc>
          <w:tcPr>
            <w:tcW w:w="160" w:type="dxa"/>
            <w:vAlign w:val="bottom"/>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2,208</w:t>
            </w:r>
          </w:p>
        </w:tc>
        <w:tc>
          <w:tcPr>
            <w:tcW w:w="180" w:type="dxa"/>
            <w:vAlign w:val="bottom"/>
            <w:shd w:val="clear" w:color="auto" w:fill="CCECFF"/>
          </w:tcPr>
          <w:p>
            <w:pPr>
              <w:spacing w:after="0"/>
              <w:rPr>
                <w:sz w:val="14"/>
                <w:szCs w:val="14"/>
                <w:color w:val="auto"/>
              </w:rPr>
            </w:pPr>
          </w:p>
        </w:tc>
        <w:tc>
          <w:tcPr>
            <w:tcW w:w="240" w:type="dxa"/>
            <w:vAlign w:val="bottom"/>
            <w:gridSpan w:val="2"/>
            <w:shd w:val="clear" w:color="auto" w:fill="CCECFF"/>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2,078</w:t>
            </w:r>
          </w:p>
        </w:tc>
        <w:tc>
          <w:tcPr>
            <w:tcW w:w="300" w:type="dxa"/>
            <w:vAlign w:val="bottom"/>
            <w:shd w:val="clear" w:color="auto" w:fill="CCECFF"/>
          </w:tcPr>
          <w:p>
            <w:pPr>
              <w:spacing w:after="0"/>
              <w:rPr>
                <w:sz w:val="14"/>
                <w:szCs w:val="14"/>
                <w:color w:val="auto"/>
              </w:rPr>
            </w:pPr>
          </w:p>
        </w:tc>
        <w:tc>
          <w:tcPr>
            <w:tcW w:w="18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2,066</w:t>
            </w:r>
          </w:p>
        </w:tc>
        <w:tc>
          <w:tcPr>
            <w:tcW w:w="240" w:type="dxa"/>
            <w:vAlign w:val="bottom"/>
            <w:shd w:val="clear" w:color="auto" w:fill="CCECFF"/>
          </w:tcPr>
          <w:p>
            <w:pPr>
              <w:spacing w:after="0"/>
              <w:rPr>
                <w:sz w:val="14"/>
                <w:szCs w:val="14"/>
                <w:color w:val="auto"/>
              </w:rPr>
            </w:pPr>
          </w:p>
        </w:tc>
        <w:tc>
          <w:tcPr>
            <w:tcW w:w="240" w:type="dxa"/>
            <w:vAlign w:val="bottom"/>
            <w:gridSpan w:val="2"/>
            <w:shd w:val="clear" w:color="auto" w:fill="CCECFF"/>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2,919</w:t>
            </w:r>
          </w:p>
        </w:tc>
        <w:tc>
          <w:tcPr>
            <w:tcW w:w="260" w:type="dxa"/>
            <w:vAlign w:val="bottom"/>
            <w:shd w:val="clear" w:color="auto" w:fill="CCECFF"/>
          </w:tcPr>
          <w:p>
            <w:pPr>
              <w:spacing w:after="0"/>
              <w:rPr>
                <w:sz w:val="14"/>
                <w:szCs w:val="14"/>
                <w:color w:val="auto"/>
              </w:rPr>
            </w:pPr>
          </w:p>
        </w:tc>
        <w:tc>
          <w:tcPr>
            <w:tcW w:w="18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2,998</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20"/>
                <w:szCs w:val="20"/>
                <w:color w:val="auto"/>
              </w:rPr>
            </w:pPr>
            <w:r>
              <w:rPr>
                <w:rFonts w:ascii="Arial" w:cs="Arial" w:eastAsia="Arial" w:hAnsi="Arial"/>
                <w:sz w:val="14"/>
                <w:szCs w:val="14"/>
                <w:color w:val="auto"/>
              </w:rPr>
              <w:t xml:space="preserve">Average market value per unit </w:t>
            </w:r>
            <w:r>
              <w:rPr>
                <w:rFonts w:ascii="Arial" w:cs="Arial" w:eastAsia="Arial" w:hAnsi="Arial"/>
                <w:sz w:val="12"/>
                <w:szCs w:val="12"/>
                <w:color w:val="auto"/>
              </w:rPr>
              <w:t>(9), (10)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25.13</w:t>
            </w:r>
          </w:p>
        </w:tc>
        <w:tc>
          <w:tcPr>
            <w:tcW w:w="180" w:type="dxa"/>
            <w:vAlign w:val="bottom"/>
          </w:tcPr>
          <w:p>
            <w:pPr>
              <w:spacing w:after="0"/>
              <w:rPr>
                <w:sz w:val="14"/>
                <w:szCs w:val="14"/>
                <w:color w:val="auto"/>
              </w:rPr>
            </w:pPr>
          </w:p>
        </w:tc>
        <w:tc>
          <w:tcPr>
            <w:tcW w:w="24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23.47</w:t>
            </w:r>
          </w:p>
        </w:tc>
        <w:tc>
          <w:tcPr>
            <w:tcW w:w="30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24.87</w:t>
            </w:r>
          </w:p>
        </w:tc>
        <w:tc>
          <w:tcPr>
            <w:tcW w:w="240" w:type="dxa"/>
            <w:vAlign w:val="bottom"/>
          </w:tcPr>
          <w:p>
            <w:pPr>
              <w:spacing w:after="0"/>
              <w:rPr>
                <w:sz w:val="14"/>
                <w:szCs w:val="14"/>
                <w:color w:val="auto"/>
              </w:rPr>
            </w:pPr>
          </w:p>
        </w:tc>
        <w:tc>
          <w:tcPr>
            <w:tcW w:w="24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980" w:type="dxa"/>
            <w:vAlign w:val="bottom"/>
            <w:shd w:val="clear" w:color="auto" w:fill="CCECFF"/>
          </w:tcPr>
          <w:p>
            <w:pPr>
              <w:spacing w:after="0"/>
              <w:rPr>
                <w:sz w:val="20"/>
                <w:szCs w:val="20"/>
                <w:color w:val="auto"/>
              </w:rPr>
            </w:pPr>
            <w:r>
              <w:rPr>
                <w:rFonts w:ascii="Arial" w:cs="Arial" w:eastAsia="Arial" w:hAnsi="Arial"/>
                <w:sz w:val="14"/>
                <w:szCs w:val="14"/>
                <w:color w:val="auto"/>
              </w:rPr>
              <w:t>Portfolio turnover ratio</w:t>
            </w:r>
          </w:p>
        </w:tc>
        <w:tc>
          <w:tcPr>
            <w:tcW w:w="16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37.74%</w:t>
            </w: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12.74%</w:t>
            </w:r>
          </w:p>
        </w:tc>
        <w:tc>
          <w:tcPr>
            <w:tcW w:w="18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35.44%</w:t>
            </w: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56.51%</w:t>
            </w:r>
          </w:p>
        </w:tc>
        <w:tc>
          <w:tcPr>
            <w:tcW w:w="180" w:type="dxa"/>
            <w:vAlign w:val="bottom"/>
            <w:shd w:val="clear" w:color="auto" w:fill="CCECFF"/>
          </w:tcPr>
          <w:p>
            <w:pPr>
              <w:spacing w:after="0"/>
              <w:rPr>
                <w:sz w:val="14"/>
                <w:szCs w:val="14"/>
                <w:color w:val="auto"/>
              </w:rPr>
            </w:pPr>
          </w:p>
        </w:tc>
        <w:tc>
          <w:tcPr>
            <w:tcW w:w="96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43.60%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11144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ind w:left="380" w:hanging="372"/>
        <w:spacing w:after="0"/>
        <w:tabs>
          <w:tab w:leader="none" w:pos="380" w:val="left"/>
        </w:tabs>
        <w:numPr>
          <w:ilvl w:val="0"/>
          <w:numId w:val="91"/>
        </w:numPr>
        <w:rPr>
          <w:rFonts w:ascii="Arial" w:cs="Arial" w:eastAsia="Arial" w:hAnsi="Arial"/>
          <w:sz w:val="20"/>
          <w:szCs w:val="20"/>
          <w:b w:val="1"/>
          <w:bCs w:val="1"/>
          <w:color w:val="auto"/>
          <w:vertAlign w:val="superscript"/>
        </w:rPr>
      </w:pPr>
      <w:r>
        <w:rPr>
          <w:rFonts w:ascii="Arial" w:cs="Arial" w:eastAsia="Arial" w:hAnsi="Arial"/>
          <w:sz w:val="12"/>
          <w:szCs w:val="12"/>
          <w:color w:val="auto"/>
        </w:rPr>
        <w:t>Based on the weighted average shares outstanding for the respective periods.</w:t>
      </w:r>
    </w:p>
    <w:p>
      <w:pPr>
        <w:spacing w:after="0" w:line="10" w:lineRule="exact"/>
        <w:rPr>
          <w:rFonts w:ascii="Arial" w:cs="Arial" w:eastAsia="Arial" w:hAnsi="Arial"/>
          <w:sz w:val="20"/>
          <w:szCs w:val="20"/>
          <w:b w:val="1"/>
          <w:bCs w:val="1"/>
          <w:color w:val="auto"/>
          <w:vertAlign w:val="superscript"/>
        </w:rPr>
      </w:pPr>
    </w:p>
    <w:p>
      <w:pPr>
        <w:ind w:left="380" w:hanging="372"/>
        <w:spacing w:after="0" w:line="187" w:lineRule="auto"/>
        <w:tabs>
          <w:tab w:leader="none" w:pos="380" w:val="left"/>
        </w:tabs>
        <w:numPr>
          <w:ilvl w:val="0"/>
          <w:numId w:val="91"/>
        </w:numPr>
        <w:rPr>
          <w:rFonts w:ascii="Arial" w:cs="Arial" w:eastAsia="Arial" w:hAnsi="Arial"/>
          <w:sz w:val="15"/>
          <w:szCs w:val="15"/>
          <w:b w:val="1"/>
          <w:bCs w:val="1"/>
          <w:color w:val="auto"/>
          <w:vertAlign w:val="superscript"/>
        </w:rPr>
      </w:pPr>
      <w:r>
        <w:rPr>
          <w:rFonts w:ascii="Arial" w:cs="Arial" w:eastAsia="Arial" w:hAnsi="Arial"/>
          <w:sz w:val="9"/>
          <w:szCs w:val="9"/>
          <w:color w:val="auto"/>
        </w:rPr>
        <w:t>The tax status of distributions is calculated in accordance with income tax regulations, which may differ from amounts determined under GAAP, and reported on Form 1099-DIV each calendar year.</w:t>
      </w:r>
    </w:p>
    <w:p>
      <w:pPr>
        <w:ind w:left="380" w:hanging="372"/>
        <w:spacing w:after="0" w:line="187" w:lineRule="auto"/>
        <w:tabs>
          <w:tab w:leader="none" w:pos="380" w:val="left"/>
        </w:tabs>
        <w:numPr>
          <w:ilvl w:val="0"/>
          <w:numId w:val="91"/>
        </w:numPr>
        <w:rPr>
          <w:rFonts w:ascii="Arial" w:cs="Arial" w:eastAsia="Arial" w:hAnsi="Arial"/>
          <w:sz w:val="15"/>
          <w:szCs w:val="15"/>
          <w:b w:val="1"/>
          <w:bCs w:val="1"/>
          <w:color w:val="auto"/>
          <w:vertAlign w:val="superscript"/>
        </w:rPr>
      </w:pPr>
      <w:r>
        <w:rPr>
          <w:rFonts w:ascii="Arial" w:cs="Arial" w:eastAsia="Arial" w:hAnsi="Arial"/>
          <w:sz w:val="9"/>
          <w:szCs w:val="9"/>
          <w:color w:val="auto"/>
        </w:rPr>
        <w:t>Based on the change in market price per share during the period and assumes distributions, if any, are reinvested.</w:t>
      </w:r>
    </w:p>
    <w:p>
      <w:pPr>
        <w:ind w:left="380" w:hanging="372"/>
        <w:spacing w:after="0" w:line="187" w:lineRule="auto"/>
        <w:tabs>
          <w:tab w:leader="none" w:pos="380" w:val="left"/>
        </w:tabs>
        <w:numPr>
          <w:ilvl w:val="0"/>
          <w:numId w:val="91"/>
        </w:numPr>
        <w:rPr>
          <w:rFonts w:ascii="Arial" w:cs="Arial" w:eastAsia="Arial" w:hAnsi="Arial"/>
          <w:sz w:val="15"/>
          <w:szCs w:val="15"/>
          <w:b w:val="1"/>
          <w:bCs w:val="1"/>
          <w:color w:val="auto"/>
          <w:vertAlign w:val="superscript"/>
        </w:rPr>
      </w:pPr>
      <w:r>
        <w:rPr>
          <w:rFonts w:ascii="Arial" w:cs="Arial" w:eastAsia="Arial" w:hAnsi="Arial"/>
          <w:sz w:val="9"/>
          <w:szCs w:val="9"/>
          <w:color w:val="auto"/>
        </w:rPr>
        <w:t>Excludes debt related costs.</w:t>
      </w:r>
    </w:p>
    <w:p>
      <w:pPr>
        <w:ind w:left="380" w:hanging="372"/>
        <w:spacing w:after="0" w:line="187" w:lineRule="auto"/>
        <w:tabs>
          <w:tab w:leader="none" w:pos="380" w:val="left"/>
        </w:tabs>
        <w:numPr>
          <w:ilvl w:val="0"/>
          <w:numId w:val="91"/>
        </w:numPr>
        <w:rPr>
          <w:rFonts w:ascii="Arial" w:cs="Arial" w:eastAsia="Arial" w:hAnsi="Arial"/>
          <w:sz w:val="15"/>
          <w:szCs w:val="15"/>
          <w:b w:val="1"/>
          <w:bCs w:val="1"/>
          <w:color w:val="auto"/>
          <w:vertAlign w:val="superscript"/>
        </w:rPr>
      </w:pPr>
      <w:r>
        <w:rPr>
          <w:rFonts w:ascii="Arial" w:cs="Arial" w:eastAsia="Arial" w:hAnsi="Arial"/>
          <w:sz w:val="9"/>
          <w:szCs w:val="9"/>
          <w:color w:val="auto"/>
        </w:rPr>
        <w:t>Includes interest and expenses on debt (annualized) as well as Credit Facility amendment and debt issuance costs, if any (not annualized).</w:t>
      </w:r>
    </w:p>
    <w:p>
      <w:pPr>
        <w:ind w:left="380" w:right="440" w:hanging="372"/>
        <w:spacing w:after="0" w:line="187" w:lineRule="auto"/>
        <w:tabs>
          <w:tab w:leader="none" w:pos="380" w:val="left"/>
        </w:tabs>
        <w:numPr>
          <w:ilvl w:val="0"/>
          <w:numId w:val="91"/>
        </w:numPr>
        <w:rPr>
          <w:rFonts w:ascii="Arial" w:cs="Arial" w:eastAsia="Arial" w:hAnsi="Arial"/>
          <w:sz w:val="19"/>
          <w:szCs w:val="19"/>
          <w:b w:val="1"/>
          <w:bCs w:val="1"/>
          <w:color w:val="auto"/>
          <w:vertAlign w:val="superscript"/>
        </w:rPr>
      </w:pPr>
      <w:r>
        <w:rPr>
          <w:rFonts w:ascii="Arial" w:cs="Arial" w:eastAsia="Arial" w:hAnsi="Arial"/>
          <w:sz w:val="11"/>
          <w:szCs w:val="11"/>
          <w:color w:val="auto"/>
        </w:rPr>
        <w:t>For the years ended September 30, 2020, 2019, 2018 and 2017, the ratio of operating expenses to average net assets before the waiver of certain Management Fees to average net assets was 4.65%, 5.26%, 5.21% and 6.65%, respectively, and the ratio of total expenses to average net assets before the waiver of certain Management Fees to average net assets was 9.12%, 11.48%, 8.75% and 11.33%, respectively.</w:t>
      </w:r>
    </w:p>
    <w:p>
      <w:pPr>
        <w:spacing w:after="0" w:line="1" w:lineRule="exact"/>
        <w:rPr>
          <w:rFonts w:ascii="Arial" w:cs="Arial" w:eastAsia="Arial" w:hAnsi="Arial"/>
          <w:sz w:val="19"/>
          <w:szCs w:val="19"/>
          <w:b w:val="1"/>
          <w:bCs w:val="1"/>
          <w:color w:val="auto"/>
          <w:vertAlign w:val="superscript"/>
        </w:rPr>
      </w:pPr>
    </w:p>
    <w:p>
      <w:pPr>
        <w:ind w:left="380" w:hanging="372"/>
        <w:spacing w:after="0" w:line="187" w:lineRule="auto"/>
        <w:tabs>
          <w:tab w:leader="none" w:pos="380" w:val="left"/>
        </w:tabs>
        <w:numPr>
          <w:ilvl w:val="0"/>
          <w:numId w:val="91"/>
        </w:numPr>
        <w:rPr>
          <w:rFonts w:ascii="Arial" w:cs="Arial" w:eastAsia="Arial" w:hAnsi="Arial"/>
          <w:sz w:val="15"/>
          <w:szCs w:val="15"/>
          <w:b w:val="1"/>
          <w:bCs w:val="1"/>
          <w:color w:val="auto"/>
          <w:vertAlign w:val="superscript"/>
        </w:rPr>
      </w:pPr>
      <w:r>
        <w:rPr>
          <w:rFonts w:ascii="Arial" w:cs="Arial" w:eastAsia="Arial" w:hAnsi="Arial"/>
          <w:sz w:val="9"/>
          <w:szCs w:val="9"/>
          <w:color w:val="auto"/>
        </w:rPr>
        <w:t>Includes SBA debentures outstanding.</w:t>
      </w:r>
    </w:p>
    <w:p>
      <w:pPr>
        <w:ind w:left="380" w:right="140" w:hanging="372"/>
        <w:spacing w:after="0" w:line="192" w:lineRule="auto"/>
        <w:tabs>
          <w:tab w:leader="none" w:pos="380" w:val="left"/>
        </w:tabs>
        <w:numPr>
          <w:ilvl w:val="0"/>
          <w:numId w:val="91"/>
        </w:numPr>
        <w:rPr>
          <w:rFonts w:ascii="Arial" w:cs="Arial" w:eastAsia="Arial" w:hAnsi="Arial"/>
          <w:sz w:val="20"/>
          <w:szCs w:val="20"/>
          <w:b w:val="1"/>
          <w:bCs w:val="1"/>
          <w:color w:val="auto"/>
          <w:vertAlign w:val="superscript"/>
        </w:rPr>
      </w:pPr>
      <w:r>
        <w:rPr>
          <w:rFonts w:ascii="Arial" w:cs="Arial" w:eastAsia="Arial" w:hAnsi="Arial"/>
          <w:sz w:val="12"/>
          <w:szCs w:val="12"/>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 These amounts exclude SBA debentures from our asset coverage per unit computation pursuant to exemptive relief received from the SEC in June 2011.</w:t>
      </w:r>
    </w:p>
    <w:p>
      <w:pPr>
        <w:ind w:left="380" w:right="100" w:hanging="372"/>
        <w:spacing w:after="0" w:line="187" w:lineRule="auto"/>
        <w:tabs>
          <w:tab w:leader="none" w:pos="380" w:val="left"/>
        </w:tabs>
        <w:numPr>
          <w:ilvl w:val="0"/>
          <w:numId w:val="91"/>
        </w:numPr>
        <w:rPr>
          <w:rFonts w:ascii="Arial" w:cs="Arial" w:eastAsia="Arial" w:hAnsi="Arial"/>
          <w:sz w:val="19"/>
          <w:szCs w:val="19"/>
          <w:b w:val="1"/>
          <w:bCs w:val="1"/>
          <w:color w:val="auto"/>
          <w:vertAlign w:val="superscript"/>
        </w:rPr>
      </w:pPr>
      <w:r>
        <w:rPr>
          <w:rFonts w:ascii="Arial" w:cs="Arial" w:eastAsia="Arial" w:hAnsi="Arial"/>
          <w:sz w:val="11"/>
          <w:szCs w:val="11"/>
          <w:color w:val="auto"/>
        </w:rPr>
        <w:t>The average market value per unit is derived based on the monthly average closing price of the 2025 Notes trading on NYSE under the symbol “PNTA,” which were issued in increments of $25 per unit. On June 29, 2017, the 2025 Notes were redeemed in full and no amounts were outstanding as of September 30, 2020, 2019 or 2018.</w:t>
      </w:r>
    </w:p>
    <w:p>
      <w:pPr>
        <w:spacing w:after="0" w:line="1" w:lineRule="exact"/>
        <w:rPr>
          <w:rFonts w:ascii="Arial" w:cs="Arial" w:eastAsia="Arial" w:hAnsi="Arial"/>
          <w:sz w:val="19"/>
          <w:szCs w:val="19"/>
          <w:b w:val="1"/>
          <w:bCs w:val="1"/>
          <w:color w:val="auto"/>
          <w:vertAlign w:val="superscript"/>
        </w:rPr>
      </w:pPr>
    </w:p>
    <w:p>
      <w:pPr>
        <w:ind w:left="380" w:right="420" w:hanging="372"/>
        <w:spacing w:after="0" w:line="190" w:lineRule="auto"/>
        <w:tabs>
          <w:tab w:leader="none" w:pos="380" w:val="left"/>
        </w:tabs>
        <w:numPr>
          <w:ilvl w:val="0"/>
          <w:numId w:val="91"/>
        </w:numPr>
        <w:rPr>
          <w:rFonts w:ascii="Arial" w:cs="Arial" w:eastAsia="Arial" w:hAnsi="Arial"/>
          <w:sz w:val="19"/>
          <w:szCs w:val="19"/>
          <w:b w:val="1"/>
          <w:bCs w:val="1"/>
          <w:color w:val="auto"/>
          <w:vertAlign w:val="superscript"/>
        </w:rPr>
      </w:pPr>
      <w:r>
        <w:rPr>
          <w:rFonts w:ascii="Arial" w:cs="Arial" w:eastAsia="Arial" w:hAnsi="Arial"/>
          <w:sz w:val="11"/>
          <w:szCs w:val="11"/>
          <w:color w:val="auto"/>
        </w:rPr>
        <w:t>The average market value per unit is derived based on the daily closing price of the 2024 Notes trading on The Nasdaq Global Select Market under the symbol “PNNTG,” which were issued in increments of $25 per unit and commenced trading on September 30, 2019.</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DEBT</w:t>
      </w:r>
    </w:p>
    <w:p>
      <w:pPr>
        <w:spacing w:after="0" w:line="140"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The annualized weighted average cost of debt for the years ended September 30, 2021, 2020 and 2019, inclusive of the fee on the undrawn commitment and amendment costs on the Truist Credit Facility, debt issuance costs on the BNP Credit Facility and amortized upfront fees on SBA debentures, 2024 Notes and 2026 Notes, was 3.5%, 4.0% and 6.0%, respectively. As of September 30, 2021, in accordance with the 1940 Act, with certain limited exceptions, we are only allowed to borrow amounts such that we are in compliance with the 150% asset coverage ratio requirement after such borrowing, excluding SBA debentures, pursuant to exemptive relief from the SEC received in June 2011.</w:t>
      </w:r>
    </w:p>
    <w:p>
      <w:pPr>
        <w:spacing w:after="0" w:line="117" w:lineRule="exact"/>
        <w:rPr>
          <w:sz w:val="20"/>
          <w:szCs w:val="20"/>
          <w:color w:val="auto"/>
        </w:rPr>
      </w:pPr>
    </w:p>
    <w:p>
      <w:pPr>
        <w:jc w:val="both"/>
        <w:ind w:right="40" w:firstLine="438"/>
        <w:spacing w:after="0" w:line="255" w:lineRule="auto"/>
        <w:rPr>
          <w:sz w:val="20"/>
          <w:szCs w:val="20"/>
          <w:color w:val="auto"/>
        </w:rPr>
      </w:pPr>
      <w:r>
        <w:rPr>
          <w:rFonts w:ascii="Arial" w:cs="Arial" w:eastAsia="Arial" w:hAnsi="Arial"/>
          <w:sz w:val="13"/>
          <w:szCs w:val="13"/>
          <w:color w:val="auto"/>
        </w:rPr>
        <w:t>On February 5, 2019, our stockholders approved the application of the modified asset coverage requirement set forth in Section 61(a)(2) of the 1940 Act, as amended by the Consolidated Appropriations Act of 2018 (which includes the Small Business Credit Availability Act, or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 As of September 30, 2021 and 2020, our asset coverage ratio, as computed in accordance with the 1940 Act, was 221% and 208%,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BNP Credit Facility</w:t>
      </w:r>
    </w:p>
    <w:p>
      <w:pPr>
        <w:spacing w:after="0" w:line="136" w:lineRule="exact"/>
        <w:rPr>
          <w:sz w:val="20"/>
          <w:szCs w:val="20"/>
          <w:color w:val="auto"/>
        </w:rPr>
      </w:pPr>
    </w:p>
    <w:p>
      <w:pPr>
        <w:ind w:right="20" w:firstLine="438"/>
        <w:spacing w:after="0" w:line="228" w:lineRule="auto"/>
        <w:rPr>
          <w:sz w:val="20"/>
          <w:szCs w:val="20"/>
          <w:color w:val="auto"/>
        </w:rPr>
      </w:pPr>
      <w:r>
        <w:rPr>
          <w:rFonts w:ascii="Arial" w:cs="Arial" w:eastAsia="Arial" w:hAnsi="Arial"/>
          <w:sz w:val="14"/>
          <w:szCs w:val="14"/>
          <w:color w:val="auto"/>
        </w:rPr>
        <w:t>On February 22, 2019, Funding I closed the BNP Credit Facility for up to $250.0 million in borrowings with certain lenders and BNP Paribas, as administrative agent, and The Bank of New York Mellon Trust Company, N.A., as collateral agent. As of July 31, 2020, Funding I is no longer a subsidiary of the Company consolidated in our financial statements and thus the BNP credit facility is no longer presented on the Statement of Assets and Liabilities (See Note 4). As of September 30, 2019, Funding I had $171.0 million in outstanding borrowings under the BNP Credit Facility. The BNP Credit Facility had a weighted average interest rate of 4.6% as of September 30, 2019. The BNP Credit Facility is a five-year revolving facility with a stated maturity date of February 22, 2024 and pricing set at 260 basis points over LIBOR (or an alternative risk-free floating interest rate index). The BNP Credit Facility was secured by all of the assets of Funding I. Prior to deconsolidation on July 31, 2020, we owned 100% of the equity interest in Funding I and treated the indebtedness of Funding I as our leverage. Our Investment Adviser served as the servicer to Funding I in connection with the BNP Credit Facility.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Truist Credit Facility</w:t>
      </w:r>
    </w:p>
    <w:p>
      <w:pPr>
        <w:spacing w:after="0" w:line="136" w:lineRule="exact"/>
        <w:rPr>
          <w:sz w:val="20"/>
          <w:szCs w:val="20"/>
          <w:color w:val="auto"/>
        </w:rPr>
      </w:pPr>
    </w:p>
    <w:p>
      <w:pPr>
        <w:ind w:right="80" w:firstLine="438"/>
        <w:spacing w:after="0" w:line="247" w:lineRule="auto"/>
        <w:rPr>
          <w:sz w:val="20"/>
          <w:szCs w:val="20"/>
          <w:color w:val="auto"/>
        </w:rPr>
      </w:pPr>
      <w:r>
        <w:rPr>
          <w:rFonts w:ascii="Arial" w:cs="Arial" w:eastAsia="Arial" w:hAnsi="Arial"/>
          <w:sz w:val="13"/>
          <w:szCs w:val="13"/>
          <w:color w:val="auto"/>
        </w:rPr>
        <w:t>As of September 30, 2021, we had the multi-currency Truist Credit Facility for up to $435.0 million (decreased from $475.0 million on May 25, 2021 pursuant to its terms) in borrowings with certain lenders and Truist Bank (formerly SunTrust Bank), acting as administrative agent, and JPMorgan Chase Bank, N.A., acting as syndication agent for the lenders. As of September 30, 2021 and 2020, we had $316.5 million and $388.3 million, respectively, in outstanding borrowings under the Truist Credit Facility. The Truist Credit Facility had a weighted average interest rate of 2.4% and 2.5%, respectively, exclusive of the fee on undrawn commitment, as of September 30, 2021 and 2020. The Truist Credit Facility is a revolving facility with a stated maturity date of September 4, 2024, a one-year term-out period on September 4, 2023 and pricing set at 225 basis points over LIBOR (or an alternative risk-free floating interest rate index). As of September 30, 2021 and 2020, we had $118.5 million and $86.7 million of unused borrowing capacity under the Truist Credit Facility, respectively, subject to leverage and borrowing base restrictions. The Truist Credit Facility is secured by substantially all of our assets excluding assets held by SBIC II. As of September 30, 2021, we were in compliance with the terms of the Truist Credit Facility.</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Debentures</w:t>
      </w:r>
    </w:p>
    <w:p>
      <w:pPr>
        <w:spacing w:after="0" w:line="136" w:lineRule="exact"/>
        <w:rPr>
          <w:sz w:val="20"/>
          <w:szCs w:val="20"/>
          <w:color w:val="auto"/>
        </w:rPr>
      </w:pPr>
    </w:p>
    <w:p>
      <w:pPr>
        <w:ind w:right="20" w:firstLine="438"/>
        <w:spacing w:after="0" w:line="251" w:lineRule="auto"/>
        <w:rPr>
          <w:sz w:val="20"/>
          <w:szCs w:val="20"/>
          <w:color w:val="auto"/>
        </w:rPr>
      </w:pPr>
      <w:r>
        <w:rPr>
          <w:rFonts w:ascii="Arial" w:cs="Arial" w:eastAsia="Arial" w:hAnsi="Arial"/>
          <w:sz w:val="13"/>
          <w:szCs w:val="13"/>
          <w:color w:val="auto"/>
        </w:rPr>
        <w:t>SBIC II is able to borrow funds from the SBA against regulatory capital (which approximates equity capital) that is paid-in and is subject to customary regulatory requirements including an examination by the SBA. We have funded SBIC II with $75.0 million of equity capital and it had SBA debentures outstanding of $63.5 million and $118.5 million as of September 30, 2021 and 2020, respectively.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$175.0 million, which is up to twice its potential regulatory capital, and as part of a group of SBICs under common control may borrow a maximum of $350 million in the aggregate.</w:t>
      </w:r>
    </w:p>
    <w:p>
      <w:pPr>
        <w:spacing w:after="0" w:line="109"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As of both September 30, 2021 and 2020, SBIC II had an initial $150.0 million in debt commitments, all of which were drawn. During the years ended September 30, 2021 and 2020, $55.0 million and $31.5 million in SBA debentures were repaid, respectively. As of September 30, 2021 and 2020, the unamortized fees on the SBA debentures were $1.3 million and $2.7 million, respectively. The SBA debentures’ upfront fees of 3.4% consist of a commitment fee of 1.0% and an issuance discount of 2.4%, which are being amortized.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60" w:type="dxa"/>
            <w:vAlign w:val="bottom"/>
            <w:gridSpan w:val="3"/>
          </w:tcPr>
          <w:p>
            <w:pPr>
              <w:ind w:left="440"/>
              <w:spacing w:after="0"/>
              <w:rPr>
                <w:sz w:val="20"/>
                <w:szCs w:val="20"/>
                <w:color w:val="auto"/>
              </w:rPr>
            </w:pPr>
            <w:r>
              <w:rPr>
                <w:rFonts w:ascii="Arial" w:cs="Arial" w:eastAsia="Arial" w:hAnsi="Arial"/>
                <w:sz w:val="14"/>
                <w:szCs w:val="14"/>
                <w:color w:val="auto"/>
              </w:rPr>
              <w:t>Our fixed-rate SBA debentures were as follows:</w:t>
            </w:r>
          </w:p>
        </w:tc>
        <w:tc>
          <w:tcPr>
            <w:tcW w:w="2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3760" w:type="dxa"/>
            <w:vAlign w:val="bottom"/>
            <w:gridSpan w:val="3"/>
            <w:vMerge w:val="restart"/>
          </w:tcPr>
          <w:p>
            <w:pPr>
              <w:ind w:left="1300"/>
              <w:spacing w:after="0"/>
              <w:rPr>
                <w:sz w:val="20"/>
                <w:szCs w:val="20"/>
                <w:color w:val="auto"/>
              </w:rPr>
            </w:pPr>
            <w:r>
              <w:rPr>
                <w:rFonts w:ascii="Arial" w:cs="Arial" w:eastAsia="Arial" w:hAnsi="Arial"/>
                <w:sz w:val="14"/>
                <w:szCs w:val="14"/>
                <w:b w:val="1"/>
                <w:bCs w:val="1"/>
                <w:color w:val="auto"/>
              </w:rPr>
              <w:t>Issuance Dates</w:t>
            </w:r>
          </w:p>
        </w:tc>
        <w:tc>
          <w:tcPr>
            <w:tcW w:w="2360" w:type="dxa"/>
            <w:vAlign w:val="bottom"/>
            <w:gridSpan w:val="2"/>
            <w:vMerge w:val="restart"/>
          </w:tcPr>
          <w:p>
            <w:pPr>
              <w:ind w:left="780"/>
              <w:spacing w:after="0"/>
              <w:rPr>
                <w:sz w:val="20"/>
                <w:szCs w:val="20"/>
                <w:color w:val="auto"/>
              </w:rPr>
            </w:pPr>
            <w:r>
              <w:rPr>
                <w:rFonts w:ascii="Arial" w:cs="Arial" w:eastAsia="Arial" w:hAnsi="Arial"/>
                <w:sz w:val="14"/>
                <w:szCs w:val="14"/>
                <w:b w:val="1"/>
                <w:bCs w:val="1"/>
                <w:color w:val="auto"/>
              </w:rPr>
              <w:t>Maturity</w:t>
            </w:r>
          </w:p>
        </w:tc>
        <w:tc>
          <w:tcPr>
            <w:tcW w:w="24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300" w:type="dxa"/>
            <w:vAlign w:val="bottom"/>
          </w:tcPr>
          <w:p>
            <w:pPr>
              <w:spacing w:after="0"/>
              <w:rPr>
                <w:sz w:val="23"/>
                <w:szCs w:val="23"/>
                <w:color w:val="auto"/>
              </w:rPr>
            </w:pP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As of September 30, 2021</w:t>
            </w:r>
          </w:p>
        </w:tc>
        <w:tc>
          <w:tcPr>
            <w:tcW w:w="0" w:type="dxa"/>
            <w:vAlign w:val="bottom"/>
          </w:tcPr>
          <w:p>
            <w:pPr>
              <w:spacing w:after="0"/>
              <w:rPr>
                <w:sz w:val="1"/>
                <w:szCs w:val="1"/>
                <w:color w:val="auto"/>
              </w:rPr>
            </w:pPr>
          </w:p>
        </w:tc>
      </w:tr>
      <w:tr>
        <w:trPr>
          <w:trHeight w:val="171"/>
        </w:trPr>
        <w:tc>
          <w:tcPr>
            <w:tcW w:w="3760" w:type="dxa"/>
            <w:vAlign w:val="bottom"/>
            <w:gridSpan w:val="3"/>
            <w:vMerge w:val="continue"/>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Principal Balance</w:t>
            </w:r>
          </w:p>
        </w:tc>
        <w:tc>
          <w:tcPr>
            <w:tcW w:w="0" w:type="dxa"/>
            <w:vAlign w:val="bottom"/>
          </w:tcPr>
          <w:p>
            <w:pPr>
              <w:spacing w:after="0"/>
              <w:rPr>
                <w:sz w:val="1"/>
                <w:szCs w:val="1"/>
                <w:color w:val="auto"/>
              </w:rPr>
            </w:pPr>
          </w:p>
        </w:tc>
      </w:tr>
      <w:tr>
        <w:trPr>
          <w:trHeight w:val="155"/>
        </w:trPr>
        <w:tc>
          <w:tcPr>
            <w:tcW w:w="3540" w:type="dxa"/>
            <w:vAlign w:val="bottom"/>
            <w:tcBorders>
              <w:top w:val="single" w:sz="8" w:color="auto"/>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September 20, 2017</w:t>
            </w:r>
          </w:p>
        </w:tc>
        <w:tc>
          <w:tcPr>
            <w:tcW w:w="220" w:type="dxa"/>
            <w:vAlign w:val="bottom"/>
            <w:tcBorders>
              <w:top w:val="single" w:sz="8" w:color="CCECFF"/>
            </w:tcBorders>
            <w:shd w:val="clear" w:color="auto" w:fill="CCECFF"/>
          </w:tcPr>
          <w:p>
            <w:pPr>
              <w:spacing w:after="0"/>
              <w:rPr>
                <w:sz w:val="13"/>
                <w:szCs w:val="13"/>
                <w:color w:val="auto"/>
              </w:rPr>
            </w:pPr>
          </w:p>
        </w:tc>
        <w:tc>
          <w:tcPr>
            <w:tcW w:w="214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September 1, 2027</w:t>
            </w:r>
          </w:p>
        </w:tc>
        <w:tc>
          <w:tcPr>
            <w:tcW w:w="220" w:type="dxa"/>
            <w:vAlign w:val="bottom"/>
            <w:tcBorders>
              <w:top w:val="single" w:sz="8" w:color="CCECFF"/>
            </w:tcBorders>
            <w:shd w:val="clear" w:color="auto" w:fill="CCECFF"/>
          </w:tcPr>
          <w:p>
            <w:pPr>
              <w:spacing w:after="0"/>
              <w:rPr>
                <w:sz w:val="13"/>
                <w:szCs w:val="13"/>
                <w:color w:val="auto"/>
              </w:rPr>
            </w:pPr>
          </w:p>
        </w:tc>
        <w:tc>
          <w:tcPr>
            <w:tcW w:w="2020" w:type="dxa"/>
            <w:vAlign w:val="bottom"/>
            <w:tcBorders>
              <w:top w:val="single" w:sz="8" w:color="auto"/>
            </w:tcBorders>
            <w:shd w:val="clear" w:color="auto" w:fill="CCECFF"/>
          </w:tcPr>
          <w:p>
            <w:pPr>
              <w:ind w:left="1840"/>
              <w:spacing w:after="0" w:line="155" w:lineRule="exact"/>
              <w:rPr>
                <w:sz w:val="20"/>
                <w:szCs w:val="20"/>
                <w:color w:val="auto"/>
              </w:rPr>
            </w:pPr>
            <w:r>
              <w:rPr>
                <w:rFonts w:ascii="Arial" w:cs="Arial" w:eastAsia="Arial" w:hAnsi="Arial"/>
                <w:sz w:val="14"/>
                <w:szCs w:val="14"/>
                <w:color w:val="auto"/>
                <w:w w:val="81"/>
              </w:rPr>
              <w:t>2.9</w:t>
            </w:r>
          </w:p>
        </w:tc>
        <w:tc>
          <w:tcPr>
            <w:tcW w:w="38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23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27,500,000</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60" w:type="dxa"/>
            <w:vAlign w:val="bottom"/>
            <w:tcBorders>
              <w:bottom w:val="single" w:sz="8" w:color="CCECFF"/>
            </w:tcBorders>
            <w:gridSpan w:val="3"/>
          </w:tcPr>
          <w:p>
            <w:pPr>
              <w:spacing w:after="0"/>
              <w:rPr>
                <w:sz w:val="20"/>
                <w:szCs w:val="20"/>
                <w:color w:val="auto"/>
              </w:rPr>
            </w:pPr>
            <w:r>
              <w:rPr>
                <w:rFonts w:ascii="Arial" w:cs="Arial" w:eastAsia="Arial" w:hAnsi="Arial"/>
                <w:sz w:val="14"/>
                <w:szCs w:val="14"/>
                <w:color w:val="auto"/>
              </w:rPr>
              <w:t>March 21, 2018</w:t>
            </w:r>
          </w:p>
        </w:tc>
        <w:tc>
          <w:tcPr>
            <w:tcW w:w="236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March 1, 2028</w:t>
            </w:r>
          </w:p>
        </w:tc>
        <w:tc>
          <w:tcPr>
            <w:tcW w:w="2020" w:type="dxa"/>
            <w:vAlign w:val="bottom"/>
            <w:tcBorders>
              <w:bottom w:val="single" w:sz="8" w:color="auto"/>
            </w:tcBorders>
          </w:tcPr>
          <w:p>
            <w:pPr>
              <w:ind w:left="1840"/>
              <w:spacing w:after="0"/>
              <w:rPr>
                <w:sz w:val="20"/>
                <w:szCs w:val="20"/>
                <w:color w:val="auto"/>
              </w:rPr>
            </w:pPr>
            <w:r>
              <w:rPr>
                <w:rFonts w:ascii="Arial" w:cs="Arial" w:eastAsia="Arial" w:hAnsi="Arial"/>
                <w:sz w:val="14"/>
                <w:szCs w:val="14"/>
                <w:color w:val="auto"/>
                <w:w w:val="81"/>
              </w:rPr>
              <w:t>3.5</w:t>
            </w:r>
          </w:p>
        </w:tc>
        <w:tc>
          <w:tcPr>
            <w:tcW w:w="38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36,000,000</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6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400" w:type="dxa"/>
            <w:vAlign w:val="bottom"/>
            <w:gridSpan w:val="2"/>
            <w:shd w:val="clear" w:color="auto" w:fill="CCECFF"/>
          </w:tcPr>
          <w:p>
            <w:pPr>
              <w:ind w:left="1840"/>
              <w:spacing w:after="0" w:line="155" w:lineRule="exact"/>
              <w:rPr>
                <w:sz w:val="20"/>
                <w:szCs w:val="20"/>
                <w:color w:val="auto"/>
              </w:rPr>
            </w:pPr>
            <w:r>
              <w:rPr>
                <w:rFonts w:ascii="Arial" w:cs="Arial" w:eastAsia="Arial" w:hAnsi="Arial"/>
                <w:sz w:val="14"/>
                <w:szCs w:val="14"/>
                <w:color w:val="auto"/>
              </w:rPr>
              <w:t>3.3%</w:t>
            </w:r>
          </w:p>
        </w:tc>
        <w:tc>
          <w:tcPr>
            <w:tcW w:w="300" w:type="dxa"/>
            <w:vAlign w:val="bottom"/>
            <w:shd w:val="clear" w:color="auto" w:fill="CCECFF"/>
          </w:tcPr>
          <w:p>
            <w:pPr>
              <w:jc w:val="right"/>
              <w:ind w:right="189"/>
              <w:spacing w:after="0"/>
              <w:rPr>
                <w:sz w:val="20"/>
                <w:szCs w:val="20"/>
                <w:color w:val="auto"/>
              </w:rPr>
            </w:pPr>
            <w:r>
              <w:rPr>
                <w:rFonts w:ascii="Arial" w:cs="Arial" w:eastAsia="Arial" w:hAnsi="Arial"/>
                <w:sz w:val="10"/>
                <w:szCs w:val="10"/>
                <w:color w:val="auto"/>
                <w:w w:val="71"/>
              </w:rPr>
              <w:t>$</w:t>
            </w:r>
          </w:p>
        </w:tc>
        <w:tc>
          <w:tcPr>
            <w:tcW w:w="23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63,500,000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CFF"/>
            </w:tcBorders>
          </w:tcPr>
          <w:p>
            <w:pPr>
              <w:spacing w:after="0" w:line="20" w:lineRule="exact"/>
              <w:rPr>
                <w:sz w:val="1"/>
                <w:szCs w:val="1"/>
                <w:color w:val="auto"/>
              </w:rPr>
            </w:pPr>
          </w:p>
        </w:tc>
        <w:tc>
          <w:tcPr>
            <w:tcW w:w="142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14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C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540" w:type="dxa"/>
            <w:vAlign w:val="bottom"/>
            <w:gridSpan w:val="2"/>
            <w:vMerge w:val="restart"/>
          </w:tcPr>
          <w:p>
            <w:pPr>
              <w:ind w:left="1300"/>
              <w:spacing w:after="0"/>
              <w:rPr>
                <w:sz w:val="20"/>
                <w:szCs w:val="20"/>
                <w:color w:val="auto"/>
              </w:rPr>
            </w:pPr>
            <w:r>
              <w:rPr>
                <w:rFonts w:ascii="Arial" w:cs="Arial" w:eastAsia="Arial" w:hAnsi="Arial"/>
                <w:sz w:val="14"/>
                <w:szCs w:val="14"/>
                <w:b w:val="1"/>
                <w:bCs w:val="1"/>
                <w:color w:val="auto"/>
              </w:rPr>
              <w:t>Issuance Dates</w:t>
            </w:r>
          </w:p>
        </w:tc>
        <w:tc>
          <w:tcPr>
            <w:tcW w:w="220" w:type="dxa"/>
            <w:vAlign w:val="bottom"/>
            <w:vMerge w:val="restart"/>
          </w:tcPr>
          <w:p>
            <w:pPr>
              <w:spacing w:after="0"/>
              <w:rPr>
                <w:sz w:val="24"/>
                <w:szCs w:val="24"/>
                <w:color w:val="auto"/>
              </w:rPr>
            </w:pPr>
          </w:p>
        </w:tc>
        <w:tc>
          <w:tcPr>
            <w:tcW w:w="214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24"/>
                <w:szCs w:val="24"/>
                <w:color w:val="auto"/>
              </w:rPr>
            </w:pPr>
          </w:p>
        </w:tc>
        <w:tc>
          <w:tcPr>
            <w:tcW w:w="20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38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As of September 30, 2020</w:t>
            </w:r>
          </w:p>
        </w:tc>
        <w:tc>
          <w:tcPr>
            <w:tcW w:w="0" w:type="dxa"/>
            <w:vAlign w:val="bottom"/>
          </w:tcPr>
          <w:p>
            <w:pPr>
              <w:spacing w:after="0"/>
              <w:rPr>
                <w:sz w:val="1"/>
                <w:szCs w:val="1"/>
                <w:color w:val="auto"/>
              </w:rPr>
            </w:pPr>
          </w:p>
        </w:tc>
      </w:tr>
      <w:tr>
        <w:trPr>
          <w:trHeight w:val="171"/>
        </w:trPr>
        <w:tc>
          <w:tcPr>
            <w:tcW w:w="354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21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202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CCECFF"/>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92"/>
              </w:rPr>
              <w:t>Principal Balance</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4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March 23, 2016</w:t>
            </w:r>
          </w:p>
        </w:tc>
        <w:tc>
          <w:tcPr>
            <w:tcW w:w="220" w:type="dxa"/>
            <w:vAlign w:val="bottom"/>
            <w:shd w:val="clear" w:color="auto" w:fill="CCECFF"/>
          </w:tcPr>
          <w:p>
            <w:pPr>
              <w:spacing w:after="0"/>
              <w:rPr>
                <w:sz w:val="13"/>
                <w:szCs w:val="13"/>
                <w:color w:val="auto"/>
              </w:rPr>
            </w:pPr>
          </w:p>
        </w:tc>
        <w:tc>
          <w:tcPr>
            <w:tcW w:w="21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1, 2026</w:t>
            </w:r>
          </w:p>
        </w:tc>
        <w:tc>
          <w:tcPr>
            <w:tcW w:w="220" w:type="dxa"/>
            <w:vAlign w:val="bottom"/>
            <w:shd w:val="clear" w:color="auto" w:fill="CCECFF"/>
          </w:tcPr>
          <w:p>
            <w:pPr>
              <w:spacing w:after="0"/>
              <w:rPr>
                <w:sz w:val="13"/>
                <w:szCs w:val="13"/>
                <w:color w:val="auto"/>
              </w:rPr>
            </w:pPr>
          </w:p>
        </w:tc>
        <w:tc>
          <w:tcPr>
            <w:tcW w:w="2400" w:type="dxa"/>
            <w:vAlign w:val="bottom"/>
            <w:gridSpan w:val="2"/>
            <w:shd w:val="clear" w:color="auto" w:fill="CCECFF"/>
          </w:tcPr>
          <w:p>
            <w:pPr>
              <w:ind w:left="1840"/>
              <w:spacing w:after="0" w:line="155" w:lineRule="exact"/>
              <w:rPr>
                <w:sz w:val="20"/>
                <w:szCs w:val="20"/>
                <w:color w:val="auto"/>
              </w:rPr>
            </w:pPr>
            <w:r>
              <w:rPr>
                <w:rFonts w:ascii="Arial" w:cs="Arial" w:eastAsia="Arial" w:hAnsi="Arial"/>
                <w:sz w:val="14"/>
                <w:szCs w:val="14"/>
                <w:color w:val="auto"/>
              </w:rPr>
              <w:t>2.9%</w:t>
            </w:r>
          </w:p>
        </w:tc>
        <w:tc>
          <w:tcPr>
            <w:tcW w:w="300" w:type="dxa"/>
            <w:vAlign w:val="bottom"/>
            <w:shd w:val="clear" w:color="auto" w:fill="CCECFF"/>
          </w:tcPr>
          <w:p>
            <w:pPr>
              <w:spacing w:after="0"/>
              <w:rPr>
                <w:sz w:val="13"/>
                <w:szCs w:val="13"/>
                <w:color w:val="auto"/>
              </w:rPr>
            </w:pPr>
          </w:p>
        </w:tc>
        <w:tc>
          <w:tcPr>
            <w:tcW w:w="23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22,500,000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60" w:type="dxa"/>
            <w:vAlign w:val="bottom"/>
            <w:gridSpan w:val="3"/>
          </w:tcPr>
          <w:p>
            <w:pPr>
              <w:spacing w:after="0"/>
              <w:rPr>
                <w:sz w:val="20"/>
                <w:szCs w:val="20"/>
                <w:color w:val="auto"/>
              </w:rPr>
            </w:pPr>
            <w:r>
              <w:rPr>
                <w:rFonts w:ascii="Arial" w:cs="Arial" w:eastAsia="Arial" w:hAnsi="Arial"/>
                <w:sz w:val="14"/>
                <w:szCs w:val="14"/>
                <w:color w:val="auto"/>
              </w:rPr>
              <w:t>September 21, 2016</w:t>
            </w:r>
          </w:p>
        </w:tc>
        <w:tc>
          <w:tcPr>
            <w:tcW w:w="2360" w:type="dxa"/>
            <w:vAlign w:val="bottom"/>
            <w:gridSpan w:val="2"/>
          </w:tcPr>
          <w:p>
            <w:pPr>
              <w:spacing w:after="0"/>
              <w:rPr>
                <w:sz w:val="20"/>
                <w:szCs w:val="20"/>
                <w:color w:val="auto"/>
              </w:rPr>
            </w:pPr>
            <w:r>
              <w:rPr>
                <w:rFonts w:ascii="Arial" w:cs="Arial" w:eastAsia="Arial" w:hAnsi="Arial"/>
                <w:sz w:val="14"/>
                <w:szCs w:val="14"/>
                <w:color w:val="auto"/>
              </w:rPr>
              <w:t>September 1, 2026</w:t>
            </w:r>
          </w:p>
        </w:tc>
        <w:tc>
          <w:tcPr>
            <w:tcW w:w="2020" w:type="dxa"/>
            <w:vAlign w:val="bottom"/>
          </w:tcPr>
          <w:p>
            <w:pPr>
              <w:ind w:left="1840"/>
              <w:spacing w:after="0"/>
              <w:rPr>
                <w:sz w:val="20"/>
                <w:szCs w:val="20"/>
                <w:color w:val="auto"/>
              </w:rPr>
            </w:pPr>
            <w:r>
              <w:rPr>
                <w:rFonts w:ascii="Arial" w:cs="Arial" w:eastAsia="Arial" w:hAnsi="Arial"/>
                <w:sz w:val="14"/>
                <w:szCs w:val="14"/>
                <w:color w:val="auto"/>
                <w:w w:val="81"/>
              </w:rPr>
              <w:t>2.4</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6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September 20, 2017</w:t>
            </w:r>
          </w:p>
        </w:tc>
        <w:tc>
          <w:tcPr>
            <w:tcW w:w="23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1, 2027</w:t>
            </w:r>
          </w:p>
        </w:tc>
        <w:tc>
          <w:tcPr>
            <w:tcW w:w="2020" w:type="dxa"/>
            <w:vAlign w:val="bottom"/>
            <w:shd w:val="clear" w:color="auto" w:fill="CCECFF"/>
          </w:tcPr>
          <w:p>
            <w:pPr>
              <w:ind w:left="1840"/>
              <w:spacing w:after="0"/>
              <w:rPr>
                <w:sz w:val="20"/>
                <w:szCs w:val="20"/>
                <w:color w:val="auto"/>
              </w:rPr>
            </w:pPr>
            <w:r>
              <w:rPr>
                <w:rFonts w:ascii="Arial" w:cs="Arial" w:eastAsia="Arial" w:hAnsi="Arial"/>
                <w:sz w:val="14"/>
                <w:szCs w:val="14"/>
                <w:color w:val="auto"/>
                <w:w w:val="81"/>
              </w:rPr>
              <w:t>2.9</w:t>
            </w:r>
          </w:p>
        </w:tc>
        <w:tc>
          <w:tcPr>
            <w:tcW w:w="3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23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27,500,000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60" w:type="dxa"/>
            <w:vAlign w:val="bottom"/>
            <w:tcBorders>
              <w:bottom w:val="single" w:sz="8" w:color="CCECFF"/>
            </w:tcBorders>
            <w:gridSpan w:val="3"/>
          </w:tcPr>
          <w:p>
            <w:pPr>
              <w:spacing w:after="0"/>
              <w:rPr>
                <w:sz w:val="20"/>
                <w:szCs w:val="20"/>
                <w:color w:val="auto"/>
              </w:rPr>
            </w:pPr>
            <w:r>
              <w:rPr>
                <w:rFonts w:ascii="Arial" w:cs="Arial" w:eastAsia="Arial" w:hAnsi="Arial"/>
                <w:sz w:val="14"/>
                <w:szCs w:val="14"/>
                <w:color w:val="auto"/>
              </w:rPr>
              <w:t>March 21, 2018</w:t>
            </w:r>
          </w:p>
        </w:tc>
        <w:tc>
          <w:tcPr>
            <w:tcW w:w="236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March 1, 2028</w:t>
            </w:r>
          </w:p>
        </w:tc>
        <w:tc>
          <w:tcPr>
            <w:tcW w:w="2020" w:type="dxa"/>
            <w:vAlign w:val="bottom"/>
            <w:tcBorders>
              <w:bottom w:val="single" w:sz="8" w:color="auto"/>
            </w:tcBorders>
          </w:tcPr>
          <w:p>
            <w:pPr>
              <w:ind w:left="1840"/>
              <w:spacing w:after="0"/>
              <w:rPr>
                <w:sz w:val="20"/>
                <w:szCs w:val="20"/>
                <w:color w:val="auto"/>
              </w:rPr>
            </w:pPr>
            <w:r>
              <w:rPr>
                <w:rFonts w:ascii="Arial" w:cs="Arial" w:eastAsia="Arial" w:hAnsi="Arial"/>
                <w:sz w:val="14"/>
                <w:szCs w:val="14"/>
                <w:color w:val="auto"/>
                <w:w w:val="81"/>
              </w:rPr>
              <w:t>3.5</w:t>
            </w:r>
          </w:p>
        </w:tc>
        <w:tc>
          <w:tcPr>
            <w:tcW w:w="38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58,500,000</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6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400" w:type="dxa"/>
            <w:vAlign w:val="bottom"/>
            <w:gridSpan w:val="2"/>
            <w:shd w:val="clear" w:color="auto" w:fill="CCECFF"/>
          </w:tcPr>
          <w:p>
            <w:pPr>
              <w:ind w:left="1840"/>
              <w:spacing w:after="0" w:line="155" w:lineRule="exact"/>
              <w:rPr>
                <w:sz w:val="20"/>
                <w:szCs w:val="20"/>
                <w:color w:val="auto"/>
              </w:rPr>
            </w:pPr>
            <w:r>
              <w:rPr>
                <w:rFonts w:ascii="Arial" w:cs="Arial" w:eastAsia="Arial" w:hAnsi="Arial"/>
                <w:sz w:val="14"/>
                <w:szCs w:val="14"/>
                <w:color w:val="auto"/>
              </w:rPr>
              <w:t>3.2%</w:t>
            </w:r>
          </w:p>
        </w:tc>
        <w:tc>
          <w:tcPr>
            <w:tcW w:w="300" w:type="dxa"/>
            <w:vAlign w:val="bottom"/>
            <w:shd w:val="clear" w:color="auto" w:fill="CCECFF"/>
          </w:tcPr>
          <w:p>
            <w:pPr>
              <w:jc w:val="right"/>
              <w:ind w:right="189"/>
              <w:spacing w:after="0"/>
              <w:rPr>
                <w:sz w:val="20"/>
                <w:szCs w:val="20"/>
                <w:color w:val="auto"/>
              </w:rPr>
            </w:pPr>
            <w:r>
              <w:rPr>
                <w:rFonts w:ascii="Arial" w:cs="Arial" w:eastAsia="Arial" w:hAnsi="Arial"/>
                <w:sz w:val="10"/>
                <w:szCs w:val="10"/>
                <w:color w:val="auto"/>
                <w:w w:val="71"/>
              </w:rPr>
              <w:t>$</w:t>
            </w:r>
          </w:p>
        </w:tc>
        <w:tc>
          <w:tcPr>
            <w:tcW w:w="23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118,500,000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CFF"/>
            </w:tcBorders>
          </w:tcPr>
          <w:p>
            <w:pPr>
              <w:spacing w:after="0" w:line="20" w:lineRule="exact"/>
              <w:rPr>
                <w:sz w:val="1"/>
                <w:szCs w:val="1"/>
                <w:color w:val="auto"/>
              </w:rPr>
            </w:pPr>
          </w:p>
        </w:tc>
        <w:tc>
          <w:tcPr>
            <w:tcW w:w="142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14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C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120" w:type="dxa"/>
            <w:vAlign w:val="bottom"/>
            <w:tcBorders>
              <w:bottom w:val="single" w:sz="8" w:color="auto"/>
            </w:tcBorders>
          </w:tcPr>
          <w:p>
            <w:pPr>
              <w:spacing w:after="0"/>
              <w:rPr>
                <w:sz w:val="3"/>
                <w:szCs w:val="3"/>
                <w:color w:val="auto"/>
              </w:rPr>
            </w:pPr>
          </w:p>
        </w:tc>
        <w:tc>
          <w:tcPr>
            <w:tcW w:w="1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80" w:hanging="372"/>
        <w:spacing w:after="0" w:line="190" w:lineRule="auto"/>
        <w:tabs>
          <w:tab w:leader="none" w:pos="380" w:val="left"/>
        </w:tabs>
        <w:numPr>
          <w:ilvl w:val="0"/>
          <w:numId w:val="92"/>
        </w:numPr>
        <w:rPr>
          <w:rFonts w:ascii="Arial" w:cs="Arial" w:eastAsia="Arial" w:hAnsi="Arial"/>
          <w:sz w:val="20"/>
          <w:szCs w:val="20"/>
          <w:b w:val="1"/>
          <w:bCs w:val="1"/>
          <w:color w:val="auto"/>
          <w:vertAlign w:val="superscript"/>
        </w:rPr>
      </w:pPr>
      <w:r>
        <w:rPr>
          <w:rFonts w:ascii="Arial" w:cs="Arial" w:eastAsia="Arial" w:hAnsi="Arial"/>
          <w:sz w:val="12"/>
          <w:szCs w:val="12"/>
          <w:color w:val="auto"/>
        </w:rPr>
        <w:t>Excluding 3.4% of upfront fees.</w:t>
      </w:r>
    </w:p>
    <w:p>
      <w:pPr>
        <w:spacing w:after="0" w:line="123"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SBIC II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2019 Notes</w:t>
      </w:r>
    </w:p>
    <w:p>
      <w:pPr>
        <w:spacing w:after="0" w:line="136"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The 2019 Notes were redeemed on March 4, 2019 at a redemption price equal to $1,008.65 for each $1,000.00 of principal of notes outstanding, plus accrued and unpaid interest to March 4, 2019, pursuant to the indenture governing the 2019 Notes. Interest on the 2019 Notes was paid semi-annually on April 1 and October 1, at a rate of 4.50% per year. The 2019 Notes were scheduled to mature on October 1, 2019. The 2019 Notes were general, unsecured obligations and ranked equal in right of payment with all of our existing and future senior unsecured indebtedness. The 2019 Notes were structurally subordinated to our SBA debentures and the assets pledged or secured under our Credit Facilities.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2024 Notes</w:t>
      </w:r>
    </w:p>
    <w:p>
      <w:pPr>
        <w:spacing w:after="0" w:line="136"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As of September 30, 2021 and 2020, we had $86.3 million in aggregate principal amount of 2024 Notes outstanding, respectively. Interest on the 2024 Notes is paid quarterly on January 15, April 15, July 15 and October 15, at a rate of 5.5% per year. The 2024 Notes mature on October 15, 2024. The 2024 Notes are general, unsecured obligations and rank equal in right of payment with all of our existing and future senior unsecured indebtedness. The 2024 Notes are structurally subordinated to our SBA debentures and the assets pledged or secured under our Credit Facility. The 2024 Notes may be repurchased from time to time in open market purchases and privately-negotiated transactions.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2026 Notes</w:t>
      </w:r>
    </w:p>
    <w:p>
      <w:pPr>
        <w:spacing w:after="0" w:line="136" w:lineRule="exact"/>
        <w:rPr>
          <w:sz w:val="20"/>
          <w:szCs w:val="20"/>
          <w:color w:val="auto"/>
        </w:rPr>
      </w:pPr>
    </w:p>
    <w:p>
      <w:pPr>
        <w:ind w:right="40" w:firstLine="438"/>
        <w:spacing w:after="0" w:line="229" w:lineRule="auto"/>
        <w:rPr>
          <w:sz w:val="20"/>
          <w:szCs w:val="20"/>
          <w:color w:val="auto"/>
        </w:rPr>
      </w:pPr>
      <w:r>
        <w:rPr>
          <w:rFonts w:ascii="Arial" w:cs="Arial" w:eastAsia="Arial" w:hAnsi="Arial"/>
          <w:sz w:val="14"/>
          <w:szCs w:val="14"/>
          <w:color w:val="auto"/>
        </w:rPr>
        <w:t>In April 2021, we issued $150.0 million in aggregate principal amount of our 2026 Notes at a public offering price per note of 99.4%. Interest on the 2026 Notes is paid semi-annually on May 1 and November 1 of each year, at a rate of 4.50% per year, commencing November 1, 2021. The 2026 Notes mature on May 1, 2026 and may be redeemed in whole or in part at our 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COMMITMENTS AND CONTINGENCIES</w:t>
      </w:r>
    </w:p>
    <w:p>
      <w:pPr>
        <w:spacing w:after="0" w:line="127"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Under these arrangements, we may be required to supply a letter of credit to a third party if the portfolio company were to request a letter of credit. As of September 30, 2021 and 2020, we had $104.8 million and $37.4 million, respectively, in commitments to fund investments. For the same periods, there were no letters of credit issued.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UNCONSOLIDATED SIGNIFICANT SUBSIDIARIES</w:t>
      </w:r>
    </w:p>
    <w:p>
      <w:pPr>
        <w:spacing w:after="0" w:line="140" w:lineRule="exact"/>
        <w:rPr>
          <w:sz w:val="20"/>
          <w:szCs w:val="20"/>
          <w:color w:val="auto"/>
        </w:rPr>
      </w:pPr>
    </w:p>
    <w:p>
      <w:pPr>
        <w:ind w:right="100" w:firstLine="438"/>
        <w:spacing w:after="0" w:line="227" w:lineRule="auto"/>
        <w:rPr>
          <w:sz w:val="20"/>
          <w:szCs w:val="20"/>
          <w:color w:val="auto"/>
        </w:rPr>
      </w:pPr>
      <w:r>
        <w:rPr>
          <w:rFonts w:ascii="Arial" w:cs="Arial" w:eastAsia="Arial" w:hAnsi="Arial"/>
          <w:sz w:val="14"/>
          <w:szCs w:val="14"/>
          <w:color w:val="auto"/>
        </w:rPr>
        <w:t>We must determine which, if any, of our unconsolidated controlled portfolio companies is a "significant subsidiary" within the meaning of Regulation S-X. We have determined that, as of September 30, 2021, PennantPark Senior Loan Fund, LLC, PT Networks, LLC and RAM Energy Holdings LLC triggered at least one of the significance tests. As a result and in accordance with Rule 3-09 of Regulation S-X, presented below is summarized unaudited financial information for PT Networks, LLC as of September 30, 2021 and 2020 as well as for the years ended September 30, 2021, 2020 and 2019. In accordance with Rule 3-09, separate audited financial statements of RAM Energy Holdings LLC for the years ended September 30, 2021, 2020 and 2019 are being filed herewith as Exhibit 99.2, Exhibit 99.3 and Exhibit 99.4, respectively. In addition, audited financial statements will be filed for PT Networks, LLC. Similarly, in accordance with Rule 4-08(g) of Regulation S-X which requires summarized financial information to be included in the notes to the Company’s financial statements, please refer to Note 4. To review the Statement of Assets and Liabilities as well as the Statement of Operations for PennantPark Senior Loan Fund, LLC. PennantPark Senior Loan Fund, LLC did not meet the significance threshold under Rule 3-09 which requires separate audited financial statements.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60" w:type="dxa"/>
            <w:vAlign w:val="bottom"/>
          </w:tcPr>
          <w:p>
            <w:pPr>
              <w:ind w:left="440"/>
              <w:spacing w:after="0"/>
              <w:rPr>
                <w:sz w:val="20"/>
                <w:szCs w:val="20"/>
                <w:color w:val="auto"/>
              </w:rPr>
            </w:pPr>
            <w:r>
              <w:rPr>
                <w:rFonts w:ascii="Arial" w:cs="Arial" w:eastAsia="Arial" w:hAnsi="Arial"/>
                <w:sz w:val="14"/>
                <w:szCs w:val="14"/>
                <w:b w:val="1"/>
                <w:bCs w:val="1"/>
                <w:color w:val="auto"/>
              </w:rPr>
              <w:t>PT Networks, LLC:</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96"/>
        </w:trPr>
        <w:tc>
          <w:tcPr>
            <w:tcW w:w="5560" w:type="dxa"/>
            <w:vAlign w:val="bottom"/>
          </w:tcPr>
          <w:p>
            <w:pPr>
              <w:spacing w:after="0"/>
              <w:rPr>
                <w:sz w:val="20"/>
                <w:szCs w:val="20"/>
                <w:color w:val="auto"/>
              </w:rPr>
            </w:pPr>
            <w:r>
              <w:rPr>
                <w:rFonts w:ascii="Arial" w:cs="Arial" w:eastAsia="Arial" w:hAnsi="Arial"/>
                <w:sz w:val="14"/>
                <w:szCs w:val="14"/>
                <w:b w:val="1"/>
                <w:bCs w:val="1"/>
                <w:color w:val="auto"/>
              </w:rPr>
              <w:t xml:space="preserve">Balance Sheet </w:t>
            </w:r>
            <w:r>
              <w:rPr>
                <w:rFonts w:ascii="Arial" w:cs="Arial" w:eastAsia="Arial" w:hAnsi="Arial"/>
                <w:sz w:val="12"/>
                <w:szCs w:val="12"/>
                <w:b w:val="1"/>
                <w:bCs w:val="1"/>
                <w:color w:val="auto"/>
              </w:rPr>
              <w:t>(1)</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tcPr>
          <w:p>
            <w:pPr>
              <w:jc w:val="right"/>
              <w:ind w:right="568"/>
              <w:spacing w:after="0"/>
              <w:rPr>
                <w:sz w:val="20"/>
                <w:szCs w:val="20"/>
                <w:color w:val="auto"/>
              </w:rPr>
            </w:pPr>
            <w:r>
              <w:rPr>
                <w:rFonts w:ascii="Arial" w:cs="Arial" w:eastAsia="Arial" w:hAnsi="Arial"/>
                <w:sz w:val="14"/>
                <w:szCs w:val="14"/>
                <w:b w:val="1"/>
                <w:bCs w:val="1"/>
                <w:color w:val="auto"/>
              </w:rPr>
              <w:t>September 30, 2021</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gridSpan w:val="2"/>
          </w:tcPr>
          <w:p>
            <w:pPr>
              <w:ind w:left="280"/>
              <w:spacing w:after="0"/>
              <w:rPr>
                <w:sz w:val="20"/>
                <w:szCs w:val="20"/>
                <w:color w:val="auto"/>
              </w:rPr>
            </w:pPr>
            <w:r>
              <w:rPr>
                <w:rFonts w:ascii="Arial" w:cs="Arial" w:eastAsia="Arial" w:hAnsi="Arial"/>
                <w:sz w:val="14"/>
                <w:szCs w:val="14"/>
                <w:b w:val="1"/>
                <w:bCs w:val="1"/>
                <w:color w:val="auto"/>
              </w:rPr>
              <w:t>September 30, 2020</w:t>
            </w:r>
          </w:p>
        </w:tc>
      </w:tr>
      <w:tr>
        <w:trPr>
          <w:trHeight w:val="156"/>
        </w:trPr>
        <w:tc>
          <w:tcPr>
            <w:tcW w:w="55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Current assets</w:t>
            </w:r>
          </w:p>
        </w:tc>
        <w:tc>
          <w:tcPr>
            <w:tcW w:w="26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2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55,422</w:t>
            </w:r>
          </w:p>
        </w:tc>
        <w:tc>
          <w:tcPr>
            <w:tcW w:w="38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2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53,466</w:t>
            </w: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5560" w:type="dxa"/>
            <w:vAlign w:val="bottom"/>
          </w:tcPr>
          <w:p>
            <w:pPr>
              <w:spacing w:after="0"/>
              <w:rPr>
                <w:sz w:val="20"/>
                <w:szCs w:val="20"/>
                <w:color w:val="auto"/>
              </w:rPr>
            </w:pPr>
            <w:r>
              <w:rPr>
                <w:rFonts w:ascii="Arial" w:cs="Arial" w:eastAsia="Arial" w:hAnsi="Arial"/>
                <w:sz w:val="14"/>
                <w:szCs w:val="14"/>
                <w:color w:val="auto"/>
              </w:rPr>
              <w:t>Noncurrent assets</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217,045</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215,550</w:t>
            </w:r>
          </w:p>
        </w:tc>
        <w:tc>
          <w:tcPr>
            <w:tcW w:w="120" w:type="dxa"/>
            <w:vAlign w:val="bottom"/>
          </w:tcPr>
          <w:p>
            <w:pPr>
              <w:spacing w:after="0"/>
              <w:rPr>
                <w:sz w:val="14"/>
                <w:szCs w:val="14"/>
                <w:color w:val="auto"/>
              </w:rPr>
            </w:pPr>
          </w:p>
        </w:tc>
      </w:tr>
      <w:tr>
        <w:trPr>
          <w:trHeight w:val="162"/>
        </w:trPr>
        <w:tc>
          <w:tcPr>
            <w:tcW w:w="5560" w:type="dxa"/>
            <w:vAlign w:val="bottom"/>
            <w:shd w:val="clear" w:color="auto" w:fill="CCECFF"/>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2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31,451</w:t>
            </w:r>
          </w:p>
        </w:tc>
        <w:tc>
          <w:tcPr>
            <w:tcW w:w="38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2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54,504</w:t>
            </w:r>
          </w:p>
        </w:tc>
        <w:tc>
          <w:tcPr>
            <w:tcW w:w="120" w:type="dxa"/>
            <w:vAlign w:val="bottom"/>
            <w:shd w:val="clear" w:color="auto" w:fill="CCECFF"/>
          </w:tcPr>
          <w:p>
            <w:pPr>
              <w:spacing w:after="0"/>
              <w:rPr>
                <w:sz w:val="14"/>
                <w:szCs w:val="14"/>
                <w:color w:val="auto"/>
              </w:rPr>
            </w:pPr>
          </w:p>
        </w:tc>
      </w:tr>
      <w:tr>
        <w:trPr>
          <w:trHeight w:val="182"/>
        </w:trPr>
        <w:tc>
          <w:tcPr>
            <w:tcW w:w="5560" w:type="dxa"/>
            <w:vAlign w:val="bottom"/>
          </w:tcPr>
          <w:p>
            <w:pPr>
              <w:spacing w:after="0"/>
              <w:rPr>
                <w:sz w:val="20"/>
                <w:szCs w:val="20"/>
                <w:color w:val="auto"/>
              </w:rPr>
            </w:pPr>
            <w:r>
              <w:rPr>
                <w:rFonts w:ascii="Arial" w:cs="Arial" w:eastAsia="Arial" w:hAnsi="Arial"/>
                <w:sz w:val="14"/>
                <w:szCs w:val="14"/>
                <w:color w:val="auto"/>
              </w:rPr>
              <w:t>Noncurrent liabilities</w:t>
            </w:r>
          </w:p>
        </w:tc>
        <w:tc>
          <w:tcPr>
            <w:tcW w:w="6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2100" w:type="dxa"/>
            <w:vAlign w:val="bottom"/>
          </w:tcPr>
          <w:p>
            <w:pPr>
              <w:jc w:val="right"/>
              <w:spacing w:after="0"/>
              <w:rPr>
                <w:sz w:val="20"/>
                <w:szCs w:val="20"/>
                <w:color w:val="auto"/>
              </w:rPr>
            </w:pPr>
            <w:r>
              <w:rPr>
                <w:rFonts w:ascii="Arial" w:cs="Arial" w:eastAsia="Arial" w:hAnsi="Arial"/>
                <w:sz w:val="14"/>
                <w:szCs w:val="14"/>
                <w:color w:val="auto"/>
              </w:rPr>
              <w:t>211,047</w:t>
            </w:r>
          </w:p>
        </w:tc>
        <w:tc>
          <w:tcPr>
            <w:tcW w:w="7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120" w:type="dxa"/>
            <w:vAlign w:val="bottom"/>
          </w:tcPr>
          <w:p>
            <w:pPr>
              <w:jc w:val="right"/>
              <w:spacing w:after="0"/>
              <w:rPr>
                <w:sz w:val="20"/>
                <w:szCs w:val="20"/>
                <w:color w:val="auto"/>
              </w:rPr>
            </w:pPr>
            <w:r>
              <w:rPr>
                <w:rFonts w:ascii="Arial" w:cs="Arial" w:eastAsia="Arial" w:hAnsi="Arial"/>
                <w:sz w:val="14"/>
                <w:szCs w:val="14"/>
                <w:color w:val="auto"/>
              </w:rPr>
              <w:t>189,677</w:t>
            </w:r>
          </w:p>
        </w:tc>
        <w:tc>
          <w:tcPr>
            <w:tcW w:w="120" w:type="dxa"/>
            <w:vAlign w:val="bottom"/>
          </w:tcPr>
          <w:p>
            <w:pPr>
              <w:spacing w:after="0"/>
              <w:rPr>
                <w:sz w:val="15"/>
                <w:szCs w:val="15"/>
                <w:color w:val="auto"/>
              </w:rPr>
            </w:pPr>
          </w:p>
        </w:tc>
      </w:tr>
    </w:tbl>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Income Statement </w:t>
            </w:r>
            <w:r>
              <w:rPr>
                <w:rFonts w:ascii="Arial" w:cs="Arial" w:eastAsia="Arial" w:hAnsi="Arial"/>
                <w:sz w:val="12"/>
                <w:szCs w:val="12"/>
                <w:b w:val="1"/>
                <w:bCs w:val="1"/>
                <w:color w:val="auto"/>
              </w:rPr>
              <w:t>(1)</w:t>
            </w: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w w:val="92"/>
              </w:rPr>
              <w:t>Years Ended September 30,</w:t>
            </w: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20" w:type="dxa"/>
            <w:vAlign w:val="bottom"/>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tcPr>
          <w:p>
            <w:pPr>
              <w:jc w:val="right"/>
              <w:ind w:right="748"/>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jc w:val="right"/>
              <w:ind w:right="768"/>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tcPr>
          <w:p>
            <w:pPr>
              <w:jc w:val="right"/>
              <w:ind w:right="76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00" w:type="dxa"/>
            <w:vAlign w:val="bottom"/>
            <w:tcBorders>
              <w:top w:val="single" w:sz="8" w:color="auto"/>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Total revenue</w:t>
            </w:r>
          </w:p>
        </w:tc>
        <w:tc>
          <w:tcPr>
            <w:tcW w:w="220" w:type="dxa"/>
            <w:vAlign w:val="bottom"/>
            <w:tcBorders>
              <w:top w:val="single" w:sz="8" w:color="CCECFF"/>
            </w:tcBorders>
            <w:shd w:val="clear" w:color="auto" w:fill="CCECFF"/>
          </w:tcPr>
          <w:p>
            <w:pPr>
              <w:spacing w:after="0"/>
              <w:rPr>
                <w:sz w:val="13"/>
                <w:szCs w:val="13"/>
                <w:color w:val="auto"/>
              </w:rPr>
            </w:pPr>
          </w:p>
        </w:tc>
        <w:tc>
          <w:tcPr>
            <w:tcW w:w="460" w:type="dxa"/>
            <w:vAlign w:val="bottom"/>
            <w:tcBorders>
              <w:top w:val="single" w:sz="8" w:color="auto"/>
            </w:tcBorders>
            <w:shd w:val="clear" w:color="auto" w:fill="CCECFF"/>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254,761</w:t>
            </w:r>
          </w:p>
        </w:tc>
        <w:tc>
          <w:tcPr>
            <w:tcW w:w="3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8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213,886</w:t>
            </w:r>
          </w:p>
        </w:tc>
        <w:tc>
          <w:tcPr>
            <w:tcW w:w="320" w:type="dxa"/>
            <w:vAlign w:val="bottom"/>
            <w:tcBorders>
              <w:top w:val="single" w:sz="8" w:color="CCECFF"/>
            </w:tcBorders>
            <w:shd w:val="clear" w:color="auto" w:fill="CCECFF"/>
          </w:tcPr>
          <w:p>
            <w:pPr>
              <w:spacing w:after="0"/>
              <w:rPr>
                <w:sz w:val="13"/>
                <w:szCs w:val="13"/>
                <w:color w:val="auto"/>
              </w:rPr>
            </w:pPr>
          </w:p>
        </w:tc>
        <w:tc>
          <w:tcPr>
            <w:tcW w:w="460" w:type="dxa"/>
            <w:vAlign w:val="bottom"/>
            <w:tcBorders>
              <w:top w:val="single" w:sz="8" w:color="auto"/>
            </w:tcBorders>
            <w:shd w:val="clear" w:color="auto" w:fill="CCECFF"/>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196,543</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20" w:type="dxa"/>
            <w:vAlign w:val="bottom"/>
            <w:gridSpan w:val="3"/>
          </w:tcPr>
          <w:p>
            <w:pPr>
              <w:spacing w:after="0"/>
              <w:rPr>
                <w:sz w:val="20"/>
                <w:szCs w:val="20"/>
                <w:color w:val="auto"/>
              </w:rPr>
            </w:pPr>
            <w:r>
              <w:rPr>
                <w:rFonts w:ascii="Arial" w:cs="Arial" w:eastAsia="Arial" w:hAnsi="Arial"/>
                <w:sz w:val="14"/>
                <w:szCs w:val="14"/>
                <w:color w:val="auto"/>
              </w:rPr>
              <w:t>Total expenses</w:t>
            </w:r>
          </w:p>
        </w:tc>
        <w:tc>
          <w:tcPr>
            <w:tcW w:w="460" w:type="dxa"/>
            <w:vAlign w:val="bottom"/>
          </w:tcPr>
          <w:p>
            <w:pPr>
              <w:spacing w:after="0"/>
              <w:rPr>
                <w:sz w:val="14"/>
                <w:szCs w:val="14"/>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4"/>
                <w:szCs w:val="14"/>
                <w:color w:val="auto"/>
              </w:rPr>
              <w:t>(252,188)</w:t>
            </w:r>
          </w:p>
        </w:tc>
        <w:tc>
          <w:tcPr>
            <w:tcW w:w="100" w:type="dxa"/>
            <w:vAlign w:val="bottom"/>
          </w:tcPr>
          <w:p>
            <w:pPr>
              <w:spacing w:after="0"/>
              <w:rPr>
                <w:sz w:val="14"/>
                <w:szCs w:val="14"/>
                <w:color w:val="auto"/>
              </w:rPr>
            </w:pPr>
          </w:p>
        </w:tc>
        <w:tc>
          <w:tcPr>
            <w:tcW w:w="2160" w:type="dxa"/>
            <w:vAlign w:val="bottom"/>
            <w:gridSpan w:val="2"/>
          </w:tcPr>
          <w:p>
            <w:pPr>
              <w:jc w:val="right"/>
              <w:ind w:right="280"/>
              <w:spacing w:after="0"/>
              <w:rPr>
                <w:sz w:val="20"/>
                <w:szCs w:val="20"/>
                <w:color w:val="auto"/>
              </w:rPr>
            </w:pPr>
            <w:r>
              <w:rPr>
                <w:rFonts w:ascii="Arial" w:cs="Arial" w:eastAsia="Arial" w:hAnsi="Arial"/>
                <w:sz w:val="14"/>
                <w:szCs w:val="14"/>
                <w:color w:val="auto"/>
              </w:rPr>
              <w:t>(225,655)</w:t>
            </w:r>
          </w:p>
        </w:tc>
        <w:tc>
          <w:tcPr>
            <w:tcW w:w="460" w:type="dxa"/>
            <w:vAlign w:val="bottom"/>
          </w:tcPr>
          <w:p>
            <w:pPr>
              <w:spacing w:after="0"/>
              <w:rPr>
                <w:sz w:val="14"/>
                <w:szCs w:val="14"/>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4"/>
                <w:szCs w:val="14"/>
                <w:color w:val="auto"/>
              </w:rPr>
              <w:t>(246,066)</w:t>
            </w:r>
          </w:p>
        </w:tc>
        <w:tc>
          <w:tcPr>
            <w:tcW w:w="0" w:type="dxa"/>
            <w:vAlign w:val="bottom"/>
          </w:tcPr>
          <w:p>
            <w:pPr>
              <w:spacing w:after="0"/>
              <w:rPr>
                <w:sz w:val="1"/>
                <w:szCs w:val="1"/>
                <w:color w:val="auto"/>
              </w:rPr>
            </w:pPr>
          </w:p>
        </w:tc>
      </w:tr>
      <w:tr>
        <w:trPr>
          <w:trHeight w:val="155"/>
        </w:trPr>
        <w:tc>
          <w:tcPr>
            <w:tcW w:w="4620" w:type="dxa"/>
            <w:vAlign w:val="bottom"/>
            <w:tcBorders>
              <w:top w:val="single" w:sz="8" w:color="CCECFF"/>
              <w:bottom w:val="single" w:sz="8" w:color="CCECFF"/>
            </w:tcBorders>
            <w:gridSpan w:val="3"/>
            <w:shd w:val="clear" w:color="auto" w:fill="CCECFF"/>
          </w:tcPr>
          <w:p>
            <w:pPr>
              <w:spacing w:after="0" w:line="155" w:lineRule="exact"/>
              <w:rPr>
                <w:sz w:val="20"/>
                <w:szCs w:val="20"/>
                <w:color w:val="auto"/>
              </w:rPr>
            </w:pPr>
            <w:r>
              <w:rPr>
                <w:rFonts w:ascii="Arial" w:cs="Arial" w:eastAsia="Arial" w:hAnsi="Arial"/>
                <w:sz w:val="14"/>
                <w:szCs w:val="14"/>
                <w:color w:val="auto"/>
              </w:rPr>
              <w:t>Net loss</w:t>
            </w:r>
          </w:p>
        </w:tc>
        <w:tc>
          <w:tcPr>
            <w:tcW w:w="460" w:type="dxa"/>
            <w:vAlign w:val="bottom"/>
            <w:tcBorders>
              <w:top w:val="single" w:sz="8" w:color="auto"/>
              <w:bottom w:val="single" w:sz="8" w:color="auto"/>
            </w:tcBorders>
            <w:shd w:val="clear" w:color="auto" w:fill="CCECFF"/>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2,573</w:t>
            </w:r>
          </w:p>
        </w:tc>
        <w:tc>
          <w:tcPr>
            <w:tcW w:w="3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(11,769)</w:t>
            </w:r>
          </w:p>
        </w:tc>
        <w:tc>
          <w:tcPr>
            <w:tcW w:w="320" w:type="dxa"/>
            <w:vAlign w:val="bottom"/>
            <w:tcBorders>
              <w:top w:val="single" w:sz="8" w:color="CCECFF"/>
              <w:bottom w:val="single" w:sz="8" w:color="CCECFF"/>
            </w:tcBorders>
            <w:shd w:val="clear" w:color="auto" w:fill="CCECFF"/>
          </w:tcPr>
          <w:p>
            <w:pPr>
              <w:spacing w:after="0"/>
              <w:rPr>
                <w:sz w:val="13"/>
                <w:szCs w:val="13"/>
                <w:color w:val="auto"/>
              </w:rPr>
            </w:pPr>
          </w:p>
        </w:tc>
        <w:tc>
          <w:tcPr>
            <w:tcW w:w="460" w:type="dxa"/>
            <w:vAlign w:val="bottom"/>
            <w:tcBorders>
              <w:top w:val="single" w:sz="8" w:color="auto"/>
              <w:bottom w:val="single" w:sz="8" w:color="auto"/>
            </w:tcBorders>
            <w:shd w:val="clear" w:color="auto" w:fill="CCECFF"/>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(49,523)</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120" w:type="dxa"/>
            <w:vAlign w:val="bottom"/>
            <w:tcBorders>
              <w:bottom w:val="single" w:sz="8" w:color="auto"/>
            </w:tcBorders>
          </w:tcPr>
          <w:p>
            <w:pPr>
              <w:spacing w:after="0"/>
              <w:rPr>
                <w:sz w:val="3"/>
                <w:szCs w:val="3"/>
                <w:color w:val="auto"/>
              </w:rPr>
            </w:pPr>
          </w:p>
        </w:tc>
        <w:tc>
          <w:tcPr>
            <w:tcW w:w="2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80" w:hanging="372"/>
        <w:spacing w:after="0" w:line="190" w:lineRule="auto"/>
        <w:tabs>
          <w:tab w:leader="none" w:pos="380" w:val="left"/>
        </w:tabs>
        <w:numPr>
          <w:ilvl w:val="0"/>
          <w:numId w:val="93"/>
        </w:numPr>
        <w:rPr>
          <w:rFonts w:ascii="Arial" w:cs="Arial" w:eastAsia="Arial" w:hAnsi="Arial"/>
          <w:sz w:val="20"/>
          <w:szCs w:val="20"/>
          <w:b w:val="1"/>
          <w:bCs w:val="1"/>
          <w:color w:val="auto"/>
          <w:vertAlign w:val="superscript"/>
        </w:rPr>
      </w:pPr>
      <w:r>
        <w:rPr>
          <w:rFonts w:ascii="Arial" w:cs="Arial" w:eastAsia="Arial" w:hAnsi="Arial"/>
          <w:sz w:val="12"/>
          <w:szCs w:val="12"/>
          <w:color w:val="auto"/>
        </w:rPr>
        <w:t>All amounts are in thousands.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STOCK REPURCHASE PROGRAM</w:t>
      </w:r>
    </w:p>
    <w:p>
      <w:pPr>
        <w:spacing w:after="0" w:line="140"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On May 9, 2018, we announced a share repurchase program which allowed us to repurchase up to $30 million of our outstanding common stock in the open market at prices below our NAV as reported in our then most recently published consolidated financial statements. The program expired on May 9, 2019. For the year ended September 30, 2019, we repurchased 2.0 million shares of common stock in open market transactions for an aggregate cost (including transaction costs) of $14.5 million.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SUBSEQUENT EVENTS</w:t>
      </w:r>
    </w:p>
    <w:p>
      <w:pPr>
        <w:spacing w:after="0" w:line="140" w:lineRule="exact"/>
        <w:rPr>
          <w:sz w:val="20"/>
          <w:szCs w:val="20"/>
          <w:color w:val="auto"/>
        </w:rPr>
      </w:pPr>
    </w:p>
    <w:p>
      <w:pPr>
        <w:ind w:right="80" w:firstLine="456"/>
        <w:spacing w:after="0" w:line="244" w:lineRule="auto"/>
        <w:rPr>
          <w:sz w:val="20"/>
          <w:szCs w:val="20"/>
          <w:color w:val="auto"/>
        </w:rPr>
      </w:pPr>
      <w:r>
        <w:rPr>
          <w:rFonts w:ascii="Arial" w:cs="Arial" w:eastAsia="Arial" w:hAnsi="Arial"/>
          <w:sz w:val="13"/>
          <w:szCs w:val="13"/>
          <w:color w:val="auto"/>
        </w:rPr>
        <w:t>Subsequent to September 30, 2021, we entered into an underwriting agreement, or the Underwriting Agreement, dated October 14, 2021, by and among the Company, the Investment Adviser, the Administrator and Raymond James &amp; Associates, Inc., Keefe, Bruyette &amp; Woods, Inc. and Truist Securities, Inc., as representatives of the several underwriters named on Schedule A to the Underwriting Agreement, in connection with the issuance and sale of $165.0 million aggregate principal amount of the Company’s 4.0% Notes due 2026, or the 2026-2 Notes. On October 21, 2021, we closed the transaction and issued $165.0 million in aggregate principal amount of our 2026-2 Notes at a public offering price per note of 99.436%. Interest on the 2026-2 Notes is paid semi-annually on May 1 and November 1 of each year, at a rate of 4.0% per year, commencing May 1, 2022. The 2026-2 Notes mature on November 1, 2026 and may be redeemed in whole or in part at our option subject to a make-whole premium if redeemed more than three months prior to maturity. The 2026-2 Notes are general, unsecured obligations and rank equal in right of payment with all of our existing and future senior unsecured indebtedness. The 2026-2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2026-2 Notes on any securities exchange or automated dealer quotation system.</w:t>
      </w:r>
    </w:p>
    <w:p>
      <w:pPr>
        <w:spacing w:after="0" w:line="117" w:lineRule="exact"/>
        <w:rPr>
          <w:sz w:val="20"/>
          <w:szCs w:val="20"/>
          <w:color w:val="auto"/>
        </w:rPr>
      </w:pPr>
    </w:p>
    <w:p>
      <w:pPr>
        <w:ind w:right="220" w:firstLine="456"/>
        <w:spacing w:after="0" w:line="238" w:lineRule="auto"/>
        <w:rPr>
          <w:sz w:val="20"/>
          <w:szCs w:val="20"/>
          <w:color w:val="auto"/>
        </w:rPr>
      </w:pPr>
      <w:r>
        <w:rPr>
          <w:rFonts w:ascii="Arial" w:cs="Arial" w:eastAsia="Arial" w:hAnsi="Arial"/>
          <w:sz w:val="14"/>
          <w:szCs w:val="14"/>
          <w:color w:val="auto"/>
        </w:rPr>
        <w:t>On October 14, 2021, we announced that we will redeem $86,250,000 in principal amount of the 2024 Notes in full on November 13, 2021. We redeemed in full the 2024 Notes with a principal amount of $86.3 million on November 13, 2021. The 2024 Notes were redeemed at a redemption price of $25 per 2024 Note, plus accrued and unpaid interest payments otherwise payable for the then-current quarterly interest period accrued to, but excluding, November 13, 2021.</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Subsequent to quarter end, PNNT had new funded investment of $97.8 million, net of sales and repayments.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ind w:left="40"/>
        <w:spacing w:after="0"/>
        <w:tabs>
          <w:tab w:leader="none" w:pos="1100" w:val="left"/>
        </w:tabs>
        <w:rPr>
          <w:sz w:val="20"/>
          <w:szCs w:val="20"/>
          <w:color w:val="auto"/>
        </w:rPr>
      </w:pPr>
      <w:r>
        <w:rPr>
          <w:rFonts w:ascii="Arial" w:cs="Arial" w:eastAsia="Arial" w:hAnsi="Arial"/>
          <w:sz w:val="14"/>
          <w:szCs w:val="14"/>
          <w:b w:val="1"/>
          <w:bCs w:val="1"/>
          <w:color w:val="auto"/>
        </w:rPr>
        <w:t>Item 9.</w:t>
      </w:r>
      <w:r>
        <w:rPr>
          <w:sz w:val="20"/>
          <w:szCs w:val="20"/>
          <w:color w:val="auto"/>
        </w:rPr>
        <w:tab/>
      </w:r>
      <w:r>
        <w:rPr>
          <w:rFonts w:ascii="Arial" w:cs="Arial" w:eastAsia="Arial" w:hAnsi="Arial"/>
          <w:sz w:val="12"/>
          <w:szCs w:val="12"/>
          <w:b w:val="1"/>
          <w:bCs w:val="1"/>
          <w:color w:val="auto"/>
        </w:rPr>
        <w:t>Changes in and Disagreements with Accountants on Accounting and Financial Disclosure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19"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9A.</w:t>
      </w:r>
      <w:r>
        <w:rPr>
          <w:sz w:val="20"/>
          <w:szCs w:val="20"/>
          <w:color w:val="auto"/>
        </w:rPr>
        <w:tab/>
      </w:r>
      <w:r>
        <w:rPr>
          <w:rFonts w:ascii="Arial" w:cs="Arial" w:eastAsia="Arial" w:hAnsi="Arial"/>
          <w:sz w:val="12"/>
          <w:szCs w:val="12"/>
          <w:b w:val="1"/>
          <w:bCs w:val="1"/>
          <w:color w:val="auto"/>
        </w:rPr>
        <w:t>Controls and Procedures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Evaluation of Disclosure Controls and Procedures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As of September 30, 2021,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 Management’s Report on Internal Control Over Financial Reporting</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Management’s Report on Internal Control Over Financial Reporting, which appears on page 55 of this Form 10-K, is incorporated by reference herein.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 Changes in Internal Controls Over Financial Reporting</w:t>
      </w:r>
    </w:p>
    <w:p>
      <w:pPr>
        <w:spacing w:after="0" w:line="136"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(as defined in Rules 13a-15(f) and 15d-15(f) of the Exchange Act) during our most recently completed fiscal quarter, that have materially affected, or are reasonably likely to materially affect, our internal control over financial reporting.</w:t>
      </w:r>
    </w:p>
    <w:p>
      <w:pPr>
        <w:spacing w:after="0" w:line="89"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9B.</w:t>
      </w:r>
      <w:r>
        <w:rPr>
          <w:sz w:val="20"/>
          <w:szCs w:val="20"/>
          <w:color w:val="auto"/>
        </w:rPr>
        <w:tab/>
      </w:r>
      <w:r>
        <w:rPr>
          <w:rFonts w:ascii="Arial" w:cs="Arial" w:eastAsia="Arial" w:hAnsi="Arial"/>
          <w:sz w:val="13"/>
          <w:szCs w:val="13"/>
          <w:b w:val="1"/>
          <w:bCs w:val="1"/>
          <w:color w:val="auto"/>
        </w:rPr>
        <w:t>Other Information</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724" w:right="399" w:bottom="1440" w:gutter="0" w:footer="0" w:header="0"/>
        </w:sectPr>
      </w:pPr>
    </w:p>
    <w:bookmarkStart w:id="87" w:name="page88"/>
    <w:bookmarkEnd w:id="87"/>
    <w:p>
      <w:pPr>
        <w:jc w:val="center"/>
        <w:ind w:right="-119"/>
        <w:spacing w:after="0"/>
        <w:rPr>
          <w:sz w:val="20"/>
          <w:szCs w:val="20"/>
          <w:color w:val="auto"/>
        </w:rPr>
      </w:pPr>
      <w:r>
        <w:rPr>
          <w:rFonts w:ascii="Arial" w:cs="Arial" w:eastAsia="Arial" w:hAnsi="Arial"/>
          <w:sz w:val="14"/>
          <w:szCs w:val="14"/>
          <w:b w:val="1"/>
          <w:bCs w:val="1"/>
          <w:color w:val="auto"/>
        </w:rPr>
        <w:t>PART III</w:t>
      </w:r>
    </w:p>
    <w:p>
      <w:pPr>
        <w:spacing w:after="0" w:line="140"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We will file a definitive Proxy Statement for our 2022 Annual Meeting of Stockholders with the SEC, pursuant to Regulation 14A, not later than 120 days after the end of our fiscal year. Accordingly, certain information required by Part III has been omitted under General Instruction G (3) to Form 10-K. Only those sections of our definitive Proxy Statement that specifically address the items set forth herein are incorporated by reference.</w:t>
      </w:r>
    </w:p>
    <w:p>
      <w:pPr>
        <w:spacing w:after="0" w:line="9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10.</w:t>
      </w:r>
      <w:r>
        <w:rPr>
          <w:sz w:val="20"/>
          <w:szCs w:val="20"/>
          <w:color w:val="auto"/>
        </w:rPr>
        <w:tab/>
      </w:r>
      <w:r>
        <w:rPr>
          <w:rFonts w:ascii="Arial" w:cs="Arial" w:eastAsia="Arial" w:hAnsi="Arial"/>
          <w:sz w:val="13"/>
          <w:szCs w:val="13"/>
          <w:b w:val="1"/>
          <w:bCs w:val="1"/>
          <w:color w:val="auto"/>
        </w:rPr>
        <w:t>Directors, Executive Officers and Corporate Governance</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10 is hereby incorporated by reference from our definitive Proxy Statement relating to our 2022 Annual Meeting of Stockholders, to be filed with the SEC within 120 days following the end of our fiscal year.</w:t>
      </w:r>
    </w:p>
    <w:p>
      <w:pPr>
        <w:spacing w:after="0" w:line="10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11.</w:t>
      </w:r>
      <w:r>
        <w:rPr>
          <w:sz w:val="20"/>
          <w:szCs w:val="20"/>
          <w:color w:val="auto"/>
        </w:rPr>
        <w:tab/>
      </w:r>
      <w:r>
        <w:rPr>
          <w:rFonts w:ascii="Arial" w:cs="Arial" w:eastAsia="Arial" w:hAnsi="Arial"/>
          <w:sz w:val="12"/>
          <w:szCs w:val="12"/>
          <w:b w:val="1"/>
          <w:bCs w:val="1"/>
          <w:color w:val="auto"/>
        </w:rPr>
        <w:t>Executive Compensation</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11 is hereby incorporated by reference from our definitive Proxy Statement relating to our 2022 Annual Meeting of Stockholders, to be filed with the SEC within 120 days following the end of our fiscal year.</w:t>
      </w:r>
    </w:p>
    <w:p>
      <w:pPr>
        <w:spacing w:after="0" w:line="10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12.</w:t>
      </w:r>
      <w:r>
        <w:rPr>
          <w:sz w:val="20"/>
          <w:szCs w:val="20"/>
          <w:color w:val="auto"/>
        </w:rPr>
        <w:tab/>
      </w:r>
      <w:r>
        <w:rPr>
          <w:rFonts w:ascii="Arial" w:cs="Arial" w:eastAsia="Arial" w:hAnsi="Arial"/>
          <w:sz w:val="13"/>
          <w:szCs w:val="13"/>
          <w:b w:val="1"/>
          <w:bCs w:val="1"/>
          <w:color w:val="auto"/>
        </w:rPr>
        <w:t>Security Ownership of Certain Beneficial Owners and Management and Related Stockholder Matters</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12 is hereby incorporated by reference from our definitive Proxy Statement relating to our 2022 Annual Meeting of Stockholders, to be filed with the SEC within 120 days following the end of our fiscal year.</w:t>
      </w:r>
    </w:p>
    <w:p>
      <w:pPr>
        <w:spacing w:after="0" w:line="89"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13.</w:t>
      </w:r>
      <w:r>
        <w:rPr>
          <w:sz w:val="20"/>
          <w:szCs w:val="20"/>
          <w:color w:val="auto"/>
        </w:rPr>
        <w:tab/>
      </w:r>
      <w:r>
        <w:rPr>
          <w:rFonts w:ascii="Arial" w:cs="Arial" w:eastAsia="Arial" w:hAnsi="Arial"/>
          <w:sz w:val="12"/>
          <w:szCs w:val="12"/>
          <w:b w:val="1"/>
          <w:bCs w:val="1"/>
          <w:color w:val="auto"/>
        </w:rPr>
        <w:t>Certain Relationships and Related Transactions, and Director Independence</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13 is hereby incorporated by reference from our definitive Proxy Statement relating to our 2022 Annual Meeting of Stockholders, to be filed with the SEC within 120 days following the end of our fiscal year.</w:t>
      </w:r>
    </w:p>
    <w:p>
      <w:pPr>
        <w:spacing w:after="0" w:line="10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14.</w:t>
      </w:r>
      <w:r>
        <w:rPr>
          <w:sz w:val="20"/>
          <w:szCs w:val="20"/>
          <w:color w:val="auto"/>
        </w:rPr>
        <w:tab/>
      </w:r>
      <w:r>
        <w:rPr>
          <w:rFonts w:ascii="Arial" w:cs="Arial" w:eastAsia="Arial" w:hAnsi="Arial"/>
          <w:sz w:val="12"/>
          <w:szCs w:val="12"/>
          <w:b w:val="1"/>
          <w:bCs w:val="1"/>
          <w:color w:val="auto"/>
        </w:rPr>
        <w:t>Principal Accountant Fees and Services</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14 is hereby incorporated by reference from our definitive Proxy Statement relating to our 2022 Annual Meeting of Stockholders, to be filed with the SEC within 120 days following the end of our fiscal year.</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265" w:right="459" w:bottom="1440" w:gutter="0" w:footer="0" w:header="0"/>
        </w:sectPr>
      </w:pPr>
    </w:p>
    <w:bookmarkStart w:id="88" w:name="page89"/>
    <w:bookmarkEnd w:id="88"/>
    <w:p>
      <w:pPr>
        <w:jc w:val="center"/>
        <w:ind w:right="20"/>
        <w:spacing w:after="0"/>
        <w:rPr>
          <w:sz w:val="20"/>
          <w:szCs w:val="20"/>
          <w:color w:val="auto"/>
        </w:rPr>
      </w:pPr>
      <w:r>
        <w:rPr>
          <w:rFonts w:ascii="Arial" w:cs="Arial" w:eastAsia="Arial" w:hAnsi="Arial"/>
          <w:sz w:val="14"/>
          <w:szCs w:val="14"/>
          <w:b w:val="1"/>
          <w:bCs w:val="1"/>
          <w:color w:val="auto"/>
        </w:rPr>
        <w:t>PART IV</w:t>
      </w:r>
    </w:p>
    <w:p>
      <w:pPr>
        <w:spacing w:after="0" w:line="136"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15.</w:t>
      </w:r>
      <w:r>
        <w:rPr>
          <w:sz w:val="20"/>
          <w:szCs w:val="20"/>
          <w:color w:val="auto"/>
        </w:rPr>
        <w:tab/>
      </w:r>
      <w:r>
        <w:rPr>
          <w:rFonts w:ascii="Arial" w:cs="Arial" w:eastAsia="Arial" w:hAnsi="Arial"/>
          <w:sz w:val="12"/>
          <w:szCs w:val="12"/>
          <w:b w:val="1"/>
          <w:bCs w:val="1"/>
          <w:color w:val="auto"/>
        </w:rPr>
        <w:t>Exhibits and Financial Statement Schedules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documents are filed as part of this Annual Report:</w:t>
      </w:r>
    </w:p>
    <w:p>
      <w:pPr>
        <w:spacing w:after="0" w:line="123" w:lineRule="exact"/>
        <w:rPr>
          <w:sz w:val="20"/>
          <w:szCs w:val="20"/>
          <w:color w:val="auto"/>
        </w:rPr>
      </w:pPr>
    </w:p>
    <w:p>
      <w:pPr>
        <w:ind w:left="920" w:hanging="359"/>
        <w:spacing w:after="0"/>
        <w:tabs>
          <w:tab w:leader="none" w:pos="9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Financial Statements—Refer to Item 8 starting on page 54.</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Financial Statement Schedules—None.</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Exhibits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jc w:val="right"/>
              <w:ind w:right="388"/>
              <w:spacing w:after="0"/>
              <w:rPr>
                <w:sz w:val="20"/>
                <w:szCs w:val="20"/>
                <w:color w:val="auto"/>
              </w:rPr>
            </w:pPr>
            <w:r>
              <w:rPr>
                <w:rFonts w:ascii="Arial" w:cs="Arial" w:eastAsia="Arial" w:hAnsi="Arial"/>
                <w:sz w:val="14"/>
                <w:szCs w:val="14"/>
                <w:color w:val="auto"/>
              </w:rPr>
              <w:t>3.1</w:t>
            </w:r>
          </w:p>
        </w:tc>
        <w:tc>
          <w:tcPr>
            <w:tcW w:w="10540" w:type="dxa"/>
            <w:vAlign w:val="bottom"/>
            <w:gridSpan w:val="30"/>
          </w:tcPr>
          <w:p>
            <w:pPr>
              <w:spacing w:after="0"/>
              <w:rPr>
                <w:rFonts w:ascii="Arial" w:cs="Arial" w:eastAsia="Arial" w:hAnsi="Arial"/>
                <w:sz w:val="14"/>
                <w:szCs w:val="14"/>
                <w:color w:val="0000EE"/>
                <w:w w:val="95"/>
              </w:rPr>
            </w:pPr>
            <w:hyperlink r:id="rId116">
              <w:r>
                <w:rPr>
                  <w:rFonts w:ascii="Arial" w:cs="Arial" w:eastAsia="Arial" w:hAnsi="Arial"/>
                  <w:sz w:val="14"/>
                  <w:szCs w:val="14"/>
                  <w:color w:val="0000EE"/>
                  <w:w w:val="95"/>
                </w:rPr>
                <w:t>Articles of Incorporation (Incorporated by reference to Exhibit 99(a) to the Registrant’s Pre-Effective Amendment No. 3 to the Registration Statement on Form N-2/A (File No. 333-</w:t>
              </w:r>
            </w:hyperlink>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10440" w:type="dxa"/>
            <w:vAlign w:val="bottom"/>
            <w:tcBorders>
              <w:top w:val="single" w:sz="8" w:color="0000EE"/>
            </w:tcBorders>
            <w:gridSpan w:val="27"/>
          </w:tcPr>
          <w:p>
            <w:pPr>
              <w:spacing w:after="0" w:line="129" w:lineRule="exact"/>
              <w:rPr>
                <w:rFonts w:ascii="Arial" w:cs="Arial" w:eastAsia="Arial" w:hAnsi="Arial"/>
                <w:sz w:val="14"/>
                <w:szCs w:val="14"/>
                <w:color w:val="0000EE"/>
              </w:rPr>
            </w:pPr>
            <w:hyperlink r:id="rId116">
              <w:r>
                <w:rPr>
                  <w:rFonts w:ascii="Arial" w:cs="Arial" w:eastAsia="Arial" w:hAnsi="Arial"/>
                  <w:sz w:val="14"/>
                  <w:szCs w:val="14"/>
                  <w:color w:val="0000EE"/>
                </w:rPr>
                <w:t>140092)</w:t>
              </w:r>
              <w:r>
                <w:rPr>
                  <w:rFonts w:ascii="Arial" w:cs="Arial" w:eastAsia="Arial" w:hAnsi="Arial"/>
                  <w:sz w:val="14"/>
                  <w:szCs w:val="14"/>
                  <w:u w:val="single" w:color="auto"/>
                  <w:color w:val="0000EE"/>
                </w:rPr>
                <w:t>,</w:t>
              </w:r>
              <w:r>
                <w:rPr>
                  <w:rFonts w:ascii="Arial" w:cs="Arial" w:eastAsia="Arial" w:hAnsi="Arial"/>
                  <w:sz w:val="14"/>
                  <w:szCs w:val="14"/>
                  <w:color w:val="0000EE"/>
                </w:rPr>
                <w:t xml:space="preserve"> filed on April 5, 2007).</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jc w:val="right"/>
              <w:ind w:right="388"/>
              <w:spacing w:after="0"/>
              <w:rPr>
                <w:sz w:val="20"/>
                <w:szCs w:val="20"/>
                <w:color w:val="auto"/>
              </w:rPr>
            </w:pPr>
            <w:r>
              <w:rPr>
                <w:rFonts w:ascii="Arial" w:cs="Arial" w:eastAsia="Arial" w:hAnsi="Arial"/>
                <w:sz w:val="14"/>
                <w:szCs w:val="14"/>
                <w:color w:val="auto"/>
              </w:rPr>
              <w:t>3.2</w:t>
            </w: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20" w:type="dxa"/>
            <w:vAlign w:val="bottom"/>
            <w:vMerge w:val="continue"/>
          </w:tcPr>
          <w:p>
            <w:pPr>
              <w:spacing w:after="0"/>
              <w:rPr>
                <w:sz w:val="24"/>
                <w:szCs w:val="24"/>
                <w:color w:val="auto"/>
              </w:rPr>
            </w:pPr>
          </w:p>
        </w:tc>
        <w:tc>
          <w:tcPr>
            <w:tcW w:w="10540" w:type="dxa"/>
            <w:vAlign w:val="bottom"/>
            <w:gridSpan w:val="30"/>
          </w:tcPr>
          <w:p>
            <w:pPr>
              <w:spacing w:after="0"/>
              <w:rPr>
                <w:rFonts w:ascii="Arial" w:cs="Arial" w:eastAsia="Arial" w:hAnsi="Arial"/>
                <w:sz w:val="14"/>
                <w:szCs w:val="14"/>
                <w:color w:val="0000EE"/>
                <w:w w:val="95"/>
              </w:rPr>
            </w:pPr>
            <w:hyperlink r:id="rId117">
              <w:r>
                <w:rPr>
                  <w:rFonts w:ascii="Arial" w:cs="Arial" w:eastAsia="Arial" w:hAnsi="Arial"/>
                  <w:sz w:val="14"/>
                  <w:szCs w:val="14"/>
                  <w:color w:val="0000EE"/>
                  <w:w w:val="95"/>
                </w:rPr>
                <w:t>Second Amended and Restated Bylaws of the Registrant (Incorporated by reference to Exhibit 3.2 to the Registrant’s Quarterly Report on Form 10-Q (File No. 814-00736), filed on</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0380" w:type="dxa"/>
            <w:vAlign w:val="bottom"/>
            <w:tcBorders>
              <w:top w:val="single" w:sz="8" w:color="0000EE"/>
            </w:tcBorders>
            <w:gridSpan w:val="25"/>
          </w:tcPr>
          <w:p>
            <w:pPr>
              <w:spacing w:after="0" w:line="129" w:lineRule="exact"/>
              <w:rPr>
                <w:rFonts w:ascii="Arial" w:cs="Arial" w:eastAsia="Arial" w:hAnsi="Arial"/>
                <w:sz w:val="14"/>
                <w:szCs w:val="14"/>
                <w:color w:val="0000EE"/>
              </w:rPr>
            </w:pPr>
            <w:hyperlink r:id="rId117">
              <w:r>
                <w:rPr>
                  <w:rFonts w:ascii="Arial" w:cs="Arial" w:eastAsia="Arial" w:hAnsi="Arial"/>
                  <w:sz w:val="14"/>
                  <w:szCs w:val="14"/>
                  <w:color w:val="0000EE"/>
                </w:rPr>
                <w:t>May 11, 2020).</w:t>
              </w:r>
            </w:hyperlink>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20" w:type="dxa"/>
            <w:vAlign w:val="bottom"/>
          </w:tcPr>
          <w:p>
            <w:pPr>
              <w:jc w:val="right"/>
              <w:ind w:right="388"/>
              <w:spacing w:after="0"/>
              <w:rPr>
                <w:sz w:val="20"/>
                <w:szCs w:val="20"/>
                <w:color w:val="auto"/>
              </w:rPr>
            </w:pPr>
            <w:r>
              <w:rPr>
                <w:rFonts w:ascii="Arial" w:cs="Arial" w:eastAsia="Arial" w:hAnsi="Arial"/>
                <w:sz w:val="14"/>
                <w:szCs w:val="14"/>
                <w:color w:val="auto"/>
              </w:rPr>
              <w:t>4.1</w:t>
            </w:r>
          </w:p>
        </w:tc>
        <w:tc>
          <w:tcPr>
            <w:tcW w:w="10140" w:type="dxa"/>
            <w:vAlign w:val="bottom"/>
            <w:tcBorders>
              <w:bottom w:val="single" w:sz="8" w:color="0000EE"/>
            </w:tcBorders>
            <w:gridSpan w:val="19"/>
          </w:tcPr>
          <w:p>
            <w:pPr>
              <w:spacing w:after="0"/>
              <w:rPr>
                <w:rFonts w:ascii="Arial" w:cs="Arial" w:eastAsia="Arial" w:hAnsi="Arial"/>
                <w:sz w:val="14"/>
                <w:szCs w:val="14"/>
                <w:color w:val="0000EE"/>
                <w:w w:val="94"/>
              </w:rPr>
            </w:pPr>
            <w:hyperlink r:id="rId118">
              <w:r>
                <w:rPr>
                  <w:rFonts w:ascii="Arial" w:cs="Arial" w:eastAsia="Arial" w:hAnsi="Arial"/>
                  <w:sz w:val="14"/>
                  <w:szCs w:val="14"/>
                  <w:color w:val="0000EE"/>
                  <w:w w:val="94"/>
                </w:rPr>
                <w:t>Form of Share Certificate (Incorporated by reference to Exhibit 99(d)(1) to the Registrant’s Registration Statement on Form N-2 (File No. 333-150033), filed on April 2, 2008).</w:t>
              </w:r>
            </w:hyperlink>
          </w:p>
        </w:tc>
        <w:tc>
          <w:tcPr>
            <w:tcW w:w="4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20" w:type="dxa"/>
            <w:vAlign w:val="bottom"/>
          </w:tcPr>
          <w:p>
            <w:pPr>
              <w:jc w:val="right"/>
              <w:ind w:right="388"/>
              <w:spacing w:after="0"/>
              <w:rPr>
                <w:sz w:val="20"/>
                <w:szCs w:val="20"/>
                <w:color w:val="auto"/>
              </w:rPr>
            </w:pPr>
            <w:r>
              <w:rPr>
                <w:rFonts w:ascii="Arial" w:cs="Arial" w:eastAsia="Arial" w:hAnsi="Arial"/>
                <w:sz w:val="14"/>
                <w:szCs w:val="14"/>
                <w:color w:val="auto"/>
              </w:rPr>
              <w:t>4.2</w:t>
            </w:r>
          </w:p>
        </w:tc>
        <w:tc>
          <w:tcPr>
            <w:tcW w:w="10540" w:type="dxa"/>
            <w:vAlign w:val="bottom"/>
            <w:gridSpan w:val="30"/>
          </w:tcPr>
          <w:p>
            <w:pPr>
              <w:spacing w:after="0"/>
              <w:rPr>
                <w:rFonts w:ascii="Arial" w:cs="Arial" w:eastAsia="Arial" w:hAnsi="Arial"/>
                <w:sz w:val="14"/>
                <w:szCs w:val="14"/>
                <w:color w:val="0000EE"/>
                <w:w w:val="93"/>
              </w:rPr>
            </w:pPr>
            <w:hyperlink r:id="rId119">
              <w:r>
                <w:rPr>
                  <w:rFonts w:ascii="Arial" w:cs="Arial" w:eastAsia="Arial" w:hAnsi="Arial"/>
                  <w:sz w:val="14"/>
                  <w:szCs w:val="14"/>
                  <w:color w:val="0000EE"/>
                  <w:w w:val="93"/>
                </w:rPr>
                <w:t>Base Indenture, dated as of January 22, 2013, relating to the 6.25% Senior Notes due 2025, between the Registrant and American Stock Transfer &amp; Trust Company, LLC, as trustee</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0360" w:type="dxa"/>
            <w:vAlign w:val="bottom"/>
            <w:tcBorders>
              <w:top w:val="single" w:sz="8" w:color="0000EE"/>
            </w:tcBorders>
            <w:gridSpan w:val="24"/>
          </w:tcPr>
          <w:p>
            <w:pPr>
              <w:spacing w:after="0" w:line="129" w:lineRule="exact"/>
              <w:rPr>
                <w:rFonts w:ascii="Arial" w:cs="Arial" w:eastAsia="Arial" w:hAnsi="Arial"/>
                <w:sz w:val="14"/>
                <w:szCs w:val="14"/>
                <w:color w:val="0000EE"/>
                <w:w w:val="96"/>
              </w:rPr>
            </w:pPr>
            <w:hyperlink r:id="rId119">
              <w:r>
                <w:rPr>
                  <w:rFonts w:ascii="Arial" w:cs="Arial" w:eastAsia="Arial" w:hAnsi="Arial"/>
                  <w:sz w:val="14"/>
                  <w:szCs w:val="14"/>
                  <w:color w:val="0000EE"/>
                  <w:w w:val="96"/>
                </w:rPr>
                <w:t>(Incorporated by reference to Exhibit 99(d)(8) to the Registrant’s Post-Effective Amendment No.4 to the Registration Statement on Form N-2/A (File No.333-172524), filed on</w:t>
              </w:r>
            </w:hyperlink>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080" w:type="dxa"/>
            <w:vAlign w:val="bottom"/>
            <w:tcBorders>
              <w:top w:val="single" w:sz="8" w:color="0000EE"/>
              <w:bottom w:val="single" w:sz="8" w:color="0000EE"/>
            </w:tcBorders>
            <w:gridSpan w:val="4"/>
          </w:tcPr>
          <w:p>
            <w:pPr>
              <w:spacing w:after="0" w:line="129" w:lineRule="exact"/>
              <w:rPr>
                <w:rFonts w:ascii="Arial" w:cs="Arial" w:eastAsia="Arial" w:hAnsi="Arial"/>
                <w:sz w:val="14"/>
                <w:szCs w:val="14"/>
                <w:color w:val="0000EE"/>
                <w:w w:val="90"/>
              </w:rPr>
            </w:pPr>
            <w:hyperlink r:id="rId119">
              <w:r>
                <w:rPr>
                  <w:rFonts w:ascii="Arial" w:cs="Arial" w:eastAsia="Arial" w:hAnsi="Arial"/>
                  <w:sz w:val="14"/>
                  <w:szCs w:val="14"/>
                  <w:color w:val="0000EE"/>
                  <w:w w:val="90"/>
                </w:rPr>
                <w:t>January 22, 2013).</w:t>
              </w:r>
            </w:hyperlink>
          </w:p>
        </w:tc>
        <w:tc>
          <w:tcPr>
            <w:tcW w:w="9040" w:type="dxa"/>
            <w:vAlign w:val="bottom"/>
            <w:tcBorders>
              <w:top w:val="single" w:sz="8" w:color="0000EE"/>
            </w:tcBorders>
            <w:gridSpan w:val="1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720" w:type="dxa"/>
            <w:vAlign w:val="bottom"/>
          </w:tcPr>
          <w:p>
            <w:pPr>
              <w:jc w:val="right"/>
              <w:ind w:right="388"/>
              <w:spacing w:after="0"/>
              <w:rPr>
                <w:sz w:val="20"/>
                <w:szCs w:val="20"/>
                <w:color w:val="auto"/>
              </w:rPr>
            </w:pPr>
            <w:r>
              <w:rPr>
                <w:rFonts w:ascii="Arial" w:cs="Arial" w:eastAsia="Arial" w:hAnsi="Arial"/>
                <w:sz w:val="14"/>
                <w:szCs w:val="14"/>
                <w:color w:val="auto"/>
              </w:rPr>
              <w:t>4.3</w:t>
            </w:r>
          </w:p>
        </w:tc>
        <w:tc>
          <w:tcPr>
            <w:tcW w:w="10540" w:type="dxa"/>
            <w:vAlign w:val="bottom"/>
            <w:gridSpan w:val="30"/>
          </w:tcPr>
          <w:p>
            <w:pPr>
              <w:spacing w:after="0"/>
              <w:rPr>
                <w:rFonts w:ascii="Arial" w:cs="Arial" w:eastAsia="Arial" w:hAnsi="Arial"/>
                <w:sz w:val="14"/>
                <w:szCs w:val="14"/>
                <w:color w:val="0000EE"/>
                <w:w w:val="95"/>
              </w:rPr>
            </w:pPr>
            <w:hyperlink r:id="rId120">
              <w:r>
                <w:rPr>
                  <w:rFonts w:ascii="Arial" w:cs="Arial" w:eastAsia="Arial" w:hAnsi="Arial"/>
                  <w:sz w:val="14"/>
                  <w:szCs w:val="14"/>
                  <w:color w:val="0000EE"/>
                  <w:w w:val="95"/>
                </w:rPr>
                <w:t>Second Supplemental Indenture, dated as of September 23, 2014, relating to the 4.50% Notes due 2019, between the Registrant and American Stock Transfer &amp; Trust Company,</w:t>
              </w:r>
            </w:hyperlink>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10180" w:type="dxa"/>
            <w:vAlign w:val="bottom"/>
            <w:tcBorders>
              <w:top w:val="single" w:sz="8" w:color="0000EE"/>
              <w:bottom w:val="single" w:sz="8" w:color="0000EE"/>
            </w:tcBorders>
            <w:gridSpan w:val="21"/>
          </w:tcPr>
          <w:p>
            <w:pPr>
              <w:spacing w:after="0" w:line="129" w:lineRule="exact"/>
              <w:rPr>
                <w:rFonts w:ascii="Arial" w:cs="Arial" w:eastAsia="Arial" w:hAnsi="Arial"/>
                <w:sz w:val="14"/>
                <w:szCs w:val="14"/>
                <w:color w:val="0000EE"/>
                <w:w w:val="93"/>
              </w:rPr>
            </w:pPr>
            <w:hyperlink r:id="rId120">
              <w:r>
                <w:rPr>
                  <w:rFonts w:ascii="Arial" w:cs="Arial" w:eastAsia="Arial" w:hAnsi="Arial"/>
                  <w:sz w:val="14"/>
                  <w:szCs w:val="14"/>
                  <w:color w:val="0000EE"/>
                  <w:w w:val="93"/>
                </w:rPr>
                <w:t>LLC, as trustee (Incorporated by reference to Exhibit 99 (d)(11) to the Registrant’s Post-Effective Amendment No. 2 to Form N-2 (File No. 333-192782), filed on September 23,</w:t>
              </w:r>
            </w:hyperlink>
          </w:p>
        </w:tc>
        <w:tc>
          <w:tcPr>
            <w:tcW w:w="20" w:type="dxa"/>
            <w:vAlign w:val="bottom"/>
            <w:tcBorders>
              <w:bottom w:val="single" w:sz="8" w:color="0000EE"/>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380" w:type="dxa"/>
            <w:vAlign w:val="bottom"/>
            <w:gridSpan w:val="2"/>
          </w:tcPr>
          <w:p>
            <w:pPr>
              <w:spacing w:after="0" w:line="129" w:lineRule="exact"/>
              <w:rPr>
                <w:rFonts w:ascii="Arial" w:cs="Arial" w:eastAsia="Arial" w:hAnsi="Arial"/>
                <w:sz w:val="14"/>
                <w:szCs w:val="14"/>
                <w:color w:val="0000EE"/>
              </w:rPr>
            </w:pPr>
            <w:hyperlink r:id="rId120">
              <w:r>
                <w:rPr>
                  <w:rFonts w:ascii="Arial" w:cs="Arial" w:eastAsia="Arial" w:hAnsi="Arial"/>
                  <w:sz w:val="14"/>
                  <w:szCs w:val="14"/>
                  <w:color w:val="0000EE"/>
                </w:rPr>
                <w:t>2014.</w:t>
              </w:r>
            </w:hyperlink>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20" w:type="dxa"/>
            <w:vAlign w:val="bottom"/>
          </w:tcPr>
          <w:p>
            <w:pPr>
              <w:jc w:val="right"/>
              <w:ind w:right="388"/>
              <w:spacing w:after="0"/>
              <w:rPr>
                <w:sz w:val="20"/>
                <w:szCs w:val="20"/>
                <w:color w:val="auto"/>
              </w:rPr>
            </w:pPr>
            <w:r>
              <w:rPr>
                <w:rFonts w:ascii="Arial" w:cs="Arial" w:eastAsia="Arial" w:hAnsi="Arial"/>
                <w:sz w:val="14"/>
                <w:szCs w:val="14"/>
                <w:color w:val="auto"/>
              </w:rPr>
              <w:t>4.4</w:t>
            </w:r>
          </w:p>
        </w:tc>
        <w:tc>
          <w:tcPr>
            <w:tcW w:w="10540" w:type="dxa"/>
            <w:vAlign w:val="bottom"/>
            <w:gridSpan w:val="30"/>
          </w:tcPr>
          <w:p>
            <w:pPr>
              <w:spacing w:after="0"/>
              <w:rPr>
                <w:rFonts w:ascii="Arial" w:cs="Arial" w:eastAsia="Arial" w:hAnsi="Arial"/>
                <w:sz w:val="14"/>
                <w:szCs w:val="14"/>
                <w:color w:val="0000EE"/>
              </w:rPr>
            </w:pPr>
            <w:hyperlink r:id="rId120">
              <w:r>
                <w:rPr>
                  <w:rFonts w:ascii="Arial" w:cs="Arial" w:eastAsia="Arial" w:hAnsi="Arial"/>
                  <w:sz w:val="14"/>
                  <w:szCs w:val="14"/>
                  <w:color w:val="0000EE"/>
                </w:rPr>
                <w:t>Form of 4.50% Notes due 2019 (included as part of Exhibit 4.3).</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340" w:type="dxa"/>
            <w:vAlign w:val="bottom"/>
            <w:gridSpan w:val="4"/>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20" w:type="dxa"/>
            <w:vAlign w:val="bottom"/>
          </w:tcPr>
          <w:p>
            <w:pPr>
              <w:jc w:val="right"/>
              <w:ind w:right="388"/>
              <w:spacing w:after="0"/>
              <w:rPr>
                <w:sz w:val="20"/>
                <w:szCs w:val="20"/>
                <w:color w:val="auto"/>
              </w:rPr>
            </w:pPr>
            <w:r>
              <w:rPr>
                <w:rFonts w:ascii="Arial" w:cs="Arial" w:eastAsia="Arial" w:hAnsi="Arial"/>
                <w:sz w:val="14"/>
                <w:szCs w:val="14"/>
                <w:color w:val="auto"/>
              </w:rPr>
              <w:t>4.5</w:t>
            </w:r>
          </w:p>
        </w:tc>
        <w:tc>
          <w:tcPr>
            <w:tcW w:w="10540" w:type="dxa"/>
            <w:vAlign w:val="bottom"/>
            <w:gridSpan w:val="30"/>
          </w:tcPr>
          <w:p>
            <w:pPr>
              <w:spacing w:after="0"/>
              <w:rPr>
                <w:rFonts w:ascii="Arial" w:cs="Arial" w:eastAsia="Arial" w:hAnsi="Arial"/>
                <w:sz w:val="14"/>
                <w:szCs w:val="14"/>
                <w:color w:val="0000EE"/>
                <w:w w:val="96"/>
              </w:rPr>
            </w:pPr>
            <w:hyperlink r:id="rId121">
              <w:r>
                <w:rPr>
                  <w:rFonts w:ascii="Arial" w:cs="Arial" w:eastAsia="Arial" w:hAnsi="Arial"/>
                  <w:sz w:val="14"/>
                  <w:szCs w:val="14"/>
                  <w:color w:val="0000EE"/>
                  <w:w w:val="96"/>
                </w:rPr>
                <w:t>Third Supplemental Indenture, dated as of September 27, 2019, by and between the Company and American Stock Transfer &amp; Trust Company, LLC, as trustee (Incorporated by</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0160" w:type="dxa"/>
            <w:vAlign w:val="bottom"/>
            <w:tcBorders>
              <w:top w:val="single" w:sz="8" w:color="0000EE"/>
            </w:tcBorders>
            <w:gridSpan w:val="20"/>
          </w:tcPr>
          <w:p>
            <w:pPr>
              <w:spacing w:after="0" w:line="129" w:lineRule="exact"/>
              <w:rPr>
                <w:rFonts w:ascii="Arial" w:cs="Arial" w:eastAsia="Arial" w:hAnsi="Arial"/>
                <w:sz w:val="14"/>
                <w:szCs w:val="14"/>
                <w:color w:val="0000EE"/>
              </w:rPr>
            </w:pPr>
            <w:hyperlink r:id="rId121">
              <w:r>
                <w:rPr>
                  <w:rFonts w:ascii="Arial" w:cs="Arial" w:eastAsia="Arial" w:hAnsi="Arial"/>
                  <w:sz w:val="14"/>
                  <w:szCs w:val="14"/>
                  <w:color w:val="0000EE"/>
                </w:rPr>
                <w:t>reference to Exhibit 4.1 to the Registrant’s Form 8-K (File No. 814-00736), filed September 27, 2019).</w:t>
              </w:r>
            </w:hyperlink>
          </w:p>
        </w:tc>
        <w:tc>
          <w:tcPr>
            <w:tcW w:w="18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720" w:type="dxa"/>
            <w:vAlign w:val="bottom"/>
          </w:tcPr>
          <w:p>
            <w:pPr>
              <w:jc w:val="right"/>
              <w:ind w:right="388"/>
              <w:spacing w:after="0"/>
              <w:rPr>
                <w:sz w:val="20"/>
                <w:szCs w:val="20"/>
                <w:color w:val="auto"/>
              </w:rPr>
            </w:pPr>
            <w:r>
              <w:rPr>
                <w:rFonts w:ascii="Arial" w:cs="Arial" w:eastAsia="Arial" w:hAnsi="Arial"/>
                <w:sz w:val="14"/>
                <w:szCs w:val="14"/>
                <w:color w:val="auto"/>
              </w:rPr>
              <w:t>4.6</w:t>
            </w:r>
          </w:p>
        </w:tc>
        <w:tc>
          <w:tcPr>
            <w:tcW w:w="5920" w:type="dxa"/>
            <w:vAlign w:val="bottom"/>
            <w:tcBorders>
              <w:top w:val="single" w:sz="8" w:color="0000EE"/>
            </w:tcBorders>
            <w:gridSpan w:val="10"/>
          </w:tcPr>
          <w:p>
            <w:pPr>
              <w:spacing w:after="0"/>
              <w:rPr>
                <w:rFonts w:ascii="Arial" w:cs="Arial" w:eastAsia="Arial" w:hAnsi="Arial"/>
                <w:sz w:val="14"/>
                <w:szCs w:val="14"/>
                <w:color w:val="0000EE"/>
              </w:rPr>
            </w:pPr>
            <w:hyperlink r:id="rId120">
              <w:r>
                <w:rPr>
                  <w:rFonts w:ascii="Arial" w:cs="Arial" w:eastAsia="Arial" w:hAnsi="Arial"/>
                  <w:sz w:val="14"/>
                  <w:szCs w:val="14"/>
                  <w:color w:val="0000EE"/>
                </w:rPr>
                <w:t>Form of 5.50% Notes due 2024 (included as part of Exhibit 4.5).</w:t>
              </w:r>
            </w:hyperlink>
          </w:p>
        </w:tc>
        <w:tc>
          <w:tcPr>
            <w:tcW w:w="462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340" w:type="dxa"/>
            <w:vAlign w:val="bottom"/>
            <w:gridSpan w:val="4"/>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tcPr>
          <w:p>
            <w:pPr>
              <w:jc w:val="right"/>
              <w:ind w:right="388"/>
              <w:spacing w:after="0"/>
              <w:rPr>
                <w:sz w:val="20"/>
                <w:szCs w:val="20"/>
                <w:color w:val="auto"/>
              </w:rPr>
            </w:pPr>
            <w:r>
              <w:rPr>
                <w:rFonts w:ascii="Arial" w:cs="Arial" w:eastAsia="Arial" w:hAnsi="Arial"/>
                <w:sz w:val="14"/>
                <w:szCs w:val="14"/>
                <w:color w:val="auto"/>
              </w:rPr>
              <w:t>4.7</w:t>
            </w:r>
          </w:p>
        </w:tc>
        <w:tc>
          <w:tcPr>
            <w:tcW w:w="10540" w:type="dxa"/>
            <w:vAlign w:val="bottom"/>
            <w:gridSpan w:val="30"/>
          </w:tcPr>
          <w:p>
            <w:pPr>
              <w:spacing w:after="0"/>
              <w:rPr>
                <w:rFonts w:ascii="Arial" w:cs="Arial" w:eastAsia="Arial" w:hAnsi="Arial"/>
                <w:sz w:val="14"/>
                <w:szCs w:val="14"/>
                <w:color w:val="0000EE"/>
                <w:w w:val="93"/>
              </w:rPr>
            </w:pPr>
            <w:hyperlink r:id="rId122">
              <w:r>
                <w:rPr>
                  <w:rFonts w:ascii="Arial" w:cs="Arial" w:eastAsia="Arial" w:hAnsi="Arial"/>
                  <w:sz w:val="14"/>
                  <w:szCs w:val="14"/>
                  <w:color w:val="0000EE"/>
                  <w:w w:val="93"/>
                </w:rPr>
                <w:t>Fourth Supplemental Indenture, dated as of April 21, 2021, by and between the Company and American Stock Transfer &amp; Trust Company, LLC, as trustee (Incorporated by reference</w:t>
              </w:r>
            </w:hyperlink>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10480" w:type="dxa"/>
            <w:vAlign w:val="bottom"/>
            <w:tcBorders>
              <w:top w:val="single" w:sz="8" w:color="0000EE"/>
            </w:tcBorders>
            <w:gridSpan w:val="29"/>
          </w:tcPr>
          <w:p>
            <w:pPr>
              <w:spacing w:after="0" w:line="129" w:lineRule="exact"/>
              <w:rPr>
                <w:rFonts w:ascii="Arial" w:cs="Arial" w:eastAsia="Arial" w:hAnsi="Arial"/>
                <w:sz w:val="14"/>
                <w:szCs w:val="14"/>
                <w:color w:val="0000EE"/>
              </w:rPr>
            </w:pPr>
            <w:hyperlink r:id="rId122">
              <w:r>
                <w:rPr>
                  <w:rFonts w:ascii="Arial" w:cs="Arial" w:eastAsia="Arial" w:hAnsi="Arial"/>
                  <w:sz w:val="14"/>
                  <w:szCs w:val="14"/>
                  <w:color w:val="0000EE"/>
                </w:rPr>
                <w:t>to Exhibit 4.1 to the Registrant’s Form 8-K (File No. 814-00736), filed April 22, 2021).</w:t>
              </w:r>
            </w:hyperlink>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720" w:type="dxa"/>
            <w:vAlign w:val="bottom"/>
          </w:tcPr>
          <w:p>
            <w:pPr>
              <w:jc w:val="right"/>
              <w:ind w:right="388"/>
              <w:spacing w:after="0"/>
              <w:rPr>
                <w:sz w:val="20"/>
                <w:szCs w:val="20"/>
                <w:color w:val="auto"/>
              </w:rPr>
            </w:pPr>
            <w:r>
              <w:rPr>
                <w:rFonts w:ascii="Arial" w:cs="Arial" w:eastAsia="Arial" w:hAnsi="Arial"/>
                <w:sz w:val="14"/>
                <w:szCs w:val="14"/>
                <w:color w:val="auto"/>
              </w:rPr>
              <w:t>4.8</w:t>
            </w:r>
          </w:p>
        </w:tc>
        <w:tc>
          <w:tcPr>
            <w:tcW w:w="5040" w:type="dxa"/>
            <w:vAlign w:val="bottom"/>
            <w:tcBorders>
              <w:top w:val="single" w:sz="8" w:color="0000EE"/>
            </w:tcBorders>
            <w:gridSpan w:val="8"/>
          </w:tcPr>
          <w:p>
            <w:pPr>
              <w:spacing w:after="0"/>
              <w:rPr>
                <w:rFonts w:ascii="Arial" w:cs="Arial" w:eastAsia="Arial" w:hAnsi="Arial"/>
                <w:sz w:val="14"/>
                <w:szCs w:val="14"/>
                <w:color w:val="0000EE"/>
              </w:rPr>
            </w:pPr>
            <w:hyperlink r:id="rId122">
              <w:r>
                <w:rPr>
                  <w:rFonts w:ascii="Arial" w:cs="Arial" w:eastAsia="Arial" w:hAnsi="Arial"/>
                  <w:sz w:val="14"/>
                  <w:szCs w:val="14"/>
                  <w:color w:val="0000EE"/>
                </w:rPr>
                <w:t>Form of 4.50% Notes due 2026 (included as part of Exhibit 4.7).</w:t>
              </w:r>
            </w:hyperlink>
          </w:p>
        </w:tc>
        <w:tc>
          <w:tcPr>
            <w:tcW w:w="550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340" w:type="dxa"/>
            <w:vAlign w:val="bottom"/>
            <w:gridSpan w:val="4"/>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20" w:type="dxa"/>
            <w:vAlign w:val="bottom"/>
          </w:tcPr>
          <w:p>
            <w:pPr>
              <w:jc w:val="right"/>
              <w:ind w:right="388"/>
              <w:spacing w:after="0"/>
              <w:rPr>
                <w:sz w:val="20"/>
                <w:szCs w:val="20"/>
                <w:color w:val="auto"/>
              </w:rPr>
            </w:pPr>
            <w:r>
              <w:rPr>
                <w:rFonts w:ascii="Arial" w:cs="Arial" w:eastAsia="Arial" w:hAnsi="Arial"/>
                <w:sz w:val="14"/>
                <w:szCs w:val="14"/>
                <w:color w:val="auto"/>
              </w:rPr>
              <w:t>4.9</w:t>
            </w:r>
          </w:p>
        </w:tc>
        <w:tc>
          <w:tcPr>
            <w:tcW w:w="10540" w:type="dxa"/>
            <w:vAlign w:val="bottom"/>
            <w:gridSpan w:val="30"/>
          </w:tcPr>
          <w:p>
            <w:pPr>
              <w:spacing w:after="0"/>
              <w:rPr>
                <w:rFonts w:ascii="Arial" w:cs="Arial" w:eastAsia="Arial" w:hAnsi="Arial"/>
                <w:sz w:val="14"/>
                <w:szCs w:val="14"/>
                <w:color w:val="0000EE"/>
                <w:w w:val="98"/>
              </w:rPr>
            </w:pPr>
            <w:hyperlink r:id="rId123">
              <w:r>
                <w:rPr>
                  <w:rFonts w:ascii="Arial" w:cs="Arial" w:eastAsia="Arial" w:hAnsi="Arial"/>
                  <w:sz w:val="14"/>
                  <w:szCs w:val="14"/>
                  <w:color w:val="0000EE"/>
                  <w:w w:val="98"/>
                </w:rPr>
                <w:t>Fifth Supplemental Indenture, dated as of October 21, 2021, by and between the Company and American Stock Transfer &amp; Trust Company, LLC, as trustee (Incorporated by</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5960" w:type="dxa"/>
            <w:vAlign w:val="bottom"/>
            <w:tcBorders>
              <w:top w:val="single" w:sz="8" w:color="0000EE"/>
              <w:bottom w:val="single" w:sz="8" w:color="0000EE"/>
            </w:tcBorders>
            <w:gridSpan w:val="11"/>
          </w:tcPr>
          <w:p>
            <w:pPr>
              <w:spacing w:after="0" w:line="129" w:lineRule="exact"/>
              <w:rPr>
                <w:rFonts w:ascii="Arial" w:cs="Arial" w:eastAsia="Arial" w:hAnsi="Arial"/>
                <w:sz w:val="14"/>
                <w:szCs w:val="14"/>
                <w:color w:val="0000EE"/>
                <w:w w:val="94"/>
              </w:rPr>
            </w:pPr>
            <w:hyperlink r:id="rId123">
              <w:r>
                <w:rPr>
                  <w:rFonts w:ascii="Arial" w:cs="Arial" w:eastAsia="Arial" w:hAnsi="Arial"/>
                  <w:sz w:val="14"/>
                  <w:szCs w:val="14"/>
                  <w:color w:val="0000EE"/>
                  <w:w w:val="94"/>
                </w:rPr>
                <w:t>reference to Exhibit 4.1 to the Registrant’s Form 8-K (File No. 814-00736), filed on October 21, 2021).</w:t>
              </w:r>
            </w:hyperlink>
          </w:p>
        </w:tc>
        <w:tc>
          <w:tcPr>
            <w:tcW w:w="4000" w:type="dxa"/>
            <w:vAlign w:val="bottom"/>
            <w:tcBorders>
              <w:top w:val="single" w:sz="8" w:color="0000EE"/>
            </w:tcBorders>
            <w:gridSpan w:val="4"/>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0" w:type="dxa"/>
            <w:vAlign w:val="bottom"/>
            <w:gridSpan w:val="4"/>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720" w:type="dxa"/>
            <w:vAlign w:val="bottom"/>
          </w:tcPr>
          <w:p>
            <w:pPr>
              <w:jc w:val="right"/>
              <w:ind w:right="308"/>
              <w:spacing w:after="0"/>
              <w:rPr>
                <w:sz w:val="20"/>
                <w:szCs w:val="20"/>
                <w:color w:val="auto"/>
              </w:rPr>
            </w:pPr>
            <w:r>
              <w:rPr>
                <w:rFonts w:ascii="Arial" w:cs="Arial" w:eastAsia="Arial" w:hAnsi="Arial"/>
                <w:sz w:val="14"/>
                <w:szCs w:val="14"/>
                <w:color w:val="auto"/>
              </w:rPr>
              <w:t>4.10</w:t>
            </w:r>
          </w:p>
        </w:tc>
        <w:tc>
          <w:tcPr>
            <w:tcW w:w="10540" w:type="dxa"/>
            <w:vAlign w:val="bottom"/>
            <w:gridSpan w:val="30"/>
          </w:tcPr>
          <w:p>
            <w:pPr>
              <w:spacing w:after="0"/>
              <w:rPr>
                <w:rFonts w:ascii="Arial" w:cs="Arial" w:eastAsia="Arial" w:hAnsi="Arial"/>
                <w:sz w:val="14"/>
                <w:szCs w:val="14"/>
                <w:color w:val="0000EE"/>
              </w:rPr>
            </w:pPr>
            <w:hyperlink r:id="rId123">
              <w:r>
                <w:rPr>
                  <w:rFonts w:ascii="Arial" w:cs="Arial" w:eastAsia="Arial" w:hAnsi="Arial"/>
                  <w:sz w:val="14"/>
                  <w:szCs w:val="14"/>
                  <w:color w:val="0000EE"/>
                </w:rPr>
                <w:t>Form of 4.50% Notes due 2026 (included as part of Exhibit 4.9).</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340" w:type="dxa"/>
            <w:vAlign w:val="bottom"/>
            <w:gridSpan w:val="4"/>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720" w:type="dxa"/>
            <w:vAlign w:val="bottom"/>
          </w:tcPr>
          <w:p>
            <w:pPr>
              <w:jc w:val="right"/>
              <w:ind w:right="328"/>
              <w:spacing w:after="0"/>
              <w:rPr>
                <w:sz w:val="20"/>
                <w:szCs w:val="20"/>
                <w:color w:val="auto"/>
              </w:rPr>
            </w:pPr>
            <w:r>
              <w:rPr>
                <w:rFonts w:ascii="Arial" w:cs="Arial" w:eastAsia="Arial" w:hAnsi="Arial"/>
                <w:sz w:val="14"/>
                <w:szCs w:val="14"/>
                <w:color w:val="auto"/>
              </w:rPr>
              <w:t>4.11</w:t>
            </w:r>
          </w:p>
        </w:tc>
        <w:tc>
          <w:tcPr>
            <w:tcW w:w="8460" w:type="dxa"/>
            <w:vAlign w:val="bottom"/>
            <w:tcBorders>
              <w:bottom w:val="single" w:sz="8" w:color="0000EE"/>
            </w:tcBorders>
            <w:gridSpan w:val="12"/>
          </w:tcPr>
          <w:p>
            <w:pPr>
              <w:spacing w:after="0"/>
              <w:rPr>
                <w:rFonts w:ascii="Arial" w:cs="Arial" w:eastAsia="Arial" w:hAnsi="Arial"/>
                <w:sz w:val="14"/>
                <w:szCs w:val="14"/>
                <w:color w:val="0000EE"/>
                <w:w w:val="94"/>
              </w:rPr>
            </w:pPr>
            <w:hyperlink r:id="rId124">
              <w:r>
                <w:rPr>
                  <w:rFonts w:ascii="Arial" w:cs="Arial" w:eastAsia="Arial" w:hAnsi="Arial"/>
                  <w:sz w:val="14"/>
                  <w:szCs w:val="14"/>
                  <w:color w:val="0000EE"/>
                  <w:w w:val="94"/>
                </w:rPr>
                <w:t>Description of Securities (Incorporated by reference to Exhibit 4.7 to the Registrant’s Form 10-K (File No. 814-00736), filed November 21, 2019).</w:t>
              </w:r>
            </w:hyperlink>
          </w:p>
        </w:tc>
        <w:tc>
          <w:tcPr>
            <w:tcW w:w="208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20" w:type="dxa"/>
            <w:vAlign w:val="bottom"/>
          </w:tcPr>
          <w:p>
            <w:pPr>
              <w:jc w:val="right"/>
              <w:ind w:right="388"/>
              <w:spacing w:after="0"/>
              <w:rPr>
                <w:sz w:val="20"/>
                <w:szCs w:val="20"/>
                <w:color w:val="auto"/>
              </w:rPr>
            </w:pPr>
            <w:r>
              <w:rPr>
                <w:rFonts w:ascii="Arial" w:cs="Arial" w:eastAsia="Arial" w:hAnsi="Arial"/>
                <w:sz w:val="14"/>
                <w:szCs w:val="14"/>
                <w:color w:val="auto"/>
                <w:w w:val="87"/>
              </w:rPr>
              <w:t>10.1</w:t>
            </w:r>
          </w:p>
        </w:tc>
        <w:tc>
          <w:tcPr>
            <w:tcW w:w="10540" w:type="dxa"/>
            <w:vAlign w:val="bottom"/>
            <w:gridSpan w:val="30"/>
          </w:tcPr>
          <w:p>
            <w:pPr>
              <w:spacing w:after="0"/>
              <w:rPr>
                <w:rFonts w:ascii="Arial" w:cs="Arial" w:eastAsia="Arial" w:hAnsi="Arial"/>
                <w:sz w:val="14"/>
                <w:szCs w:val="14"/>
                <w:color w:val="0000EE"/>
                <w:w w:val="98"/>
              </w:rPr>
            </w:pPr>
            <w:hyperlink r:id="rId125">
              <w:r>
                <w:rPr>
                  <w:rFonts w:ascii="Arial" w:cs="Arial" w:eastAsia="Arial" w:hAnsi="Arial"/>
                  <w:sz w:val="14"/>
                  <w:szCs w:val="14"/>
                  <w:color w:val="0000EE"/>
                  <w:w w:val="98"/>
                </w:rPr>
                <w:t>Form of Administration Agreement between the Registrant and PennantPark Investment Administration LLC (Incorporated by reference to Exhibit 99(k)(1) to the Registrant’s</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0080" w:type="dxa"/>
            <w:vAlign w:val="bottom"/>
            <w:tcBorders>
              <w:top w:val="single" w:sz="8" w:color="0000EE"/>
            </w:tcBorders>
            <w:gridSpan w:val="16"/>
          </w:tcPr>
          <w:p>
            <w:pPr>
              <w:spacing w:after="0" w:line="129" w:lineRule="exact"/>
              <w:rPr>
                <w:rFonts w:ascii="Arial" w:cs="Arial" w:eastAsia="Arial" w:hAnsi="Arial"/>
                <w:sz w:val="14"/>
                <w:szCs w:val="14"/>
                <w:color w:val="0000EE"/>
              </w:rPr>
            </w:pPr>
            <w:hyperlink r:id="rId125">
              <w:r>
                <w:rPr>
                  <w:rFonts w:ascii="Arial" w:cs="Arial" w:eastAsia="Arial" w:hAnsi="Arial"/>
                  <w:sz w:val="14"/>
                  <w:szCs w:val="14"/>
                  <w:color w:val="0000EE"/>
                </w:rPr>
                <w:t>Registration Statement on Form N-2 (File No. 333-150033), filed on April 2, 2008).</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0" w:type="dxa"/>
            <w:vAlign w:val="bottom"/>
            <w:gridSpan w:val="4"/>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460" w:type="dxa"/>
            <w:vAlign w:val="bottom"/>
            <w:gridSpan w:val="5"/>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20" w:type="dxa"/>
            <w:vAlign w:val="bottom"/>
          </w:tcPr>
          <w:p>
            <w:pPr>
              <w:jc w:val="right"/>
              <w:ind w:right="388"/>
              <w:spacing w:after="0"/>
              <w:rPr>
                <w:sz w:val="20"/>
                <w:szCs w:val="20"/>
                <w:color w:val="auto"/>
              </w:rPr>
            </w:pPr>
            <w:r>
              <w:rPr>
                <w:rFonts w:ascii="Arial" w:cs="Arial" w:eastAsia="Arial" w:hAnsi="Arial"/>
                <w:sz w:val="14"/>
                <w:szCs w:val="14"/>
                <w:color w:val="auto"/>
                <w:w w:val="87"/>
              </w:rPr>
              <w:t>10.2</w:t>
            </w:r>
          </w:p>
        </w:tc>
        <w:tc>
          <w:tcPr>
            <w:tcW w:w="10140" w:type="dxa"/>
            <w:vAlign w:val="bottom"/>
            <w:tcBorders>
              <w:bottom w:val="single" w:sz="8" w:color="0000EE"/>
            </w:tcBorders>
            <w:gridSpan w:val="19"/>
          </w:tcPr>
          <w:p>
            <w:pPr>
              <w:spacing w:after="0"/>
              <w:rPr>
                <w:rFonts w:ascii="Arial" w:cs="Arial" w:eastAsia="Arial" w:hAnsi="Arial"/>
                <w:sz w:val="14"/>
                <w:szCs w:val="14"/>
                <w:color w:val="0000EE"/>
                <w:w w:val="94"/>
              </w:rPr>
            </w:pPr>
            <w:hyperlink r:id="rId126">
              <w:r>
                <w:rPr>
                  <w:rFonts w:ascii="Arial" w:cs="Arial" w:eastAsia="Arial" w:hAnsi="Arial"/>
                  <w:sz w:val="14"/>
                  <w:szCs w:val="14"/>
                  <w:color w:val="0000EE"/>
                  <w:w w:val="94"/>
                </w:rPr>
                <w:t>Dividend Reinvestment Plan (Incorporated by reference to Exhibit 99(e) to the Registrant’s Registration Statement on Form N-2 (File No. 333-150033), filed on April 2, 2008).</w:t>
              </w:r>
            </w:hyperlink>
          </w:p>
        </w:tc>
        <w:tc>
          <w:tcPr>
            <w:tcW w:w="4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20" w:type="dxa"/>
            <w:vAlign w:val="bottom"/>
          </w:tcPr>
          <w:p>
            <w:pPr>
              <w:jc w:val="right"/>
              <w:ind w:right="388"/>
              <w:spacing w:after="0"/>
              <w:rPr>
                <w:sz w:val="20"/>
                <w:szCs w:val="20"/>
                <w:color w:val="auto"/>
              </w:rPr>
            </w:pPr>
            <w:r>
              <w:rPr>
                <w:rFonts w:ascii="Arial" w:cs="Arial" w:eastAsia="Arial" w:hAnsi="Arial"/>
                <w:sz w:val="14"/>
                <w:szCs w:val="14"/>
                <w:color w:val="auto"/>
                <w:w w:val="87"/>
              </w:rPr>
              <w:t>10.3</w:t>
            </w:r>
          </w:p>
        </w:tc>
        <w:tc>
          <w:tcPr>
            <w:tcW w:w="10540" w:type="dxa"/>
            <w:vAlign w:val="bottom"/>
            <w:gridSpan w:val="30"/>
          </w:tcPr>
          <w:p>
            <w:pPr>
              <w:spacing w:after="0"/>
              <w:rPr>
                <w:rFonts w:ascii="Arial" w:cs="Arial" w:eastAsia="Arial" w:hAnsi="Arial"/>
                <w:sz w:val="14"/>
                <w:szCs w:val="14"/>
                <w:color w:val="0000EE"/>
                <w:w w:val="93"/>
              </w:rPr>
            </w:pPr>
            <w:hyperlink r:id="rId127">
              <w:r>
                <w:rPr>
                  <w:rFonts w:ascii="Arial" w:cs="Arial" w:eastAsia="Arial" w:hAnsi="Arial"/>
                  <w:sz w:val="14"/>
                  <w:szCs w:val="14"/>
                  <w:color w:val="0000EE"/>
                  <w:w w:val="93"/>
                </w:rPr>
                <w:t>First Omnibus Amendment to Second Amended and Restated Senior Secured Revolving Credit Agreement and Second Amended and Restated Guarantee and Security Agreement,</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960" w:type="dxa"/>
            <w:vAlign w:val="bottom"/>
            <w:gridSpan w:val="7"/>
            <w:shd w:val="clear" w:color="auto" w:fill="0000EE"/>
          </w:tcPr>
          <w:p>
            <w:pPr>
              <w:spacing w:after="0" w:line="20" w:lineRule="exact"/>
              <w:rPr>
                <w:sz w:val="1"/>
                <w:szCs w:val="1"/>
                <w:color w:val="auto"/>
              </w:rPr>
            </w:pPr>
          </w:p>
        </w:tc>
        <w:tc>
          <w:tcPr>
            <w:tcW w:w="3360" w:type="dxa"/>
            <w:vAlign w:val="bottom"/>
            <w:gridSpan w:val="4"/>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40" w:type="dxa"/>
            <w:vAlign w:val="bottom"/>
            <w:gridSpan w:val="6"/>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720" w:type="dxa"/>
            <w:vAlign w:val="bottom"/>
          </w:tcPr>
          <w:p>
            <w:pPr>
              <w:spacing w:after="0"/>
              <w:rPr>
                <w:sz w:val="11"/>
                <w:szCs w:val="11"/>
                <w:color w:val="auto"/>
              </w:rPr>
            </w:pPr>
          </w:p>
        </w:tc>
        <w:tc>
          <w:tcPr>
            <w:tcW w:w="10540" w:type="dxa"/>
            <w:vAlign w:val="bottom"/>
            <w:gridSpan w:val="30"/>
          </w:tcPr>
          <w:p>
            <w:pPr>
              <w:spacing w:after="0" w:line="129" w:lineRule="exact"/>
              <w:rPr>
                <w:rFonts w:ascii="Arial" w:cs="Arial" w:eastAsia="Arial" w:hAnsi="Arial"/>
                <w:sz w:val="14"/>
                <w:szCs w:val="14"/>
                <w:color w:val="0000EE"/>
                <w:w w:val="93"/>
              </w:rPr>
            </w:pPr>
            <w:hyperlink r:id="rId127">
              <w:r>
                <w:rPr>
                  <w:rFonts w:ascii="Arial" w:cs="Arial" w:eastAsia="Arial" w:hAnsi="Arial"/>
                  <w:sz w:val="14"/>
                  <w:szCs w:val="14"/>
                  <w:color w:val="0000EE"/>
                  <w:w w:val="93"/>
                </w:rPr>
                <w:t>dated as of May 25, 2017, among the Registrant, the lenders party thereto and SunTrust Bank, as administrative agent for the lenders (Incorporated by reference to Exhibit 10.1 to the</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0460" w:type="dxa"/>
            <w:vAlign w:val="bottom"/>
            <w:tcBorders>
              <w:top w:val="single" w:sz="8" w:color="0000EE"/>
            </w:tcBorders>
            <w:gridSpan w:val="28"/>
          </w:tcPr>
          <w:p>
            <w:pPr>
              <w:spacing w:after="0" w:line="129" w:lineRule="exact"/>
              <w:rPr>
                <w:rFonts w:ascii="Arial" w:cs="Arial" w:eastAsia="Arial" w:hAnsi="Arial"/>
                <w:sz w:val="14"/>
                <w:szCs w:val="14"/>
                <w:color w:val="0000EE"/>
              </w:rPr>
            </w:pPr>
            <w:hyperlink r:id="rId127">
              <w:r>
                <w:rPr>
                  <w:rFonts w:ascii="Arial" w:cs="Arial" w:eastAsia="Arial" w:hAnsi="Arial"/>
                  <w:sz w:val="14"/>
                  <w:szCs w:val="14"/>
                  <w:color w:val="0000EE"/>
                </w:rPr>
                <w:t>Registrant’s Quarterly Report on Form 10-Q (File No. 814-00736), filed on August 7, 2017).</w:t>
              </w:r>
            </w:hyperlink>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960" w:type="dxa"/>
            <w:vAlign w:val="bottom"/>
            <w:gridSpan w:val="7"/>
            <w:shd w:val="clear" w:color="auto" w:fill="0000EE"/>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20" w:type="dxa"/>
            <w:vAlign w:val="bottom"/>
          </w:tcPr>
          <w:p>
            <w:pPr>
              <w:jc w:val="right"/>
              <w:ind w:right="388"/>
              <w:spacing w:after="0"/>
              <w:rPr>
                <w:sz w:val="20"/>
                <w:szCs w:val="20"/>
                <w:color w:val="auto"/>
              </w:rPr>
            </w:pPr>
            <w:r>
              <w:rPr>
                <w:rFonts w:ascii="Arial" w:cs="Arial" w:eastAsia="Arial" w:hAnsi="Arial"/>
                <w:sz w:val="14"/>
                <w:szCs w:val="14"/>
                <w:color w:val="auto"/>
                <w:w w:val="87"/>
              </w:rPr>
              <w:t>10.4</w:t>
            </w:r>
          </w:p>
        </w:tc>
        <w:tc>
          <w:tcPr>
            <w:tcW w:w="10540" w:type="dxa"/>
            <w:vAlign w:val="bottom"/>
            <w:gridSpan w:val="30"/>
          </w:tcPr>
          <w:p>
            <w:pPr>
              <w:spacing w:after="0"/>
              <w:rPr>
                <w:rFonts w:ascii="Arial" w:cs="Arial" w:eastAsia="Arial" w:hAnsi="Arial"/>
                <w:sz w:val="14"/>
                <w:szCs w:val="14"/>
                <w:color w:val="0000EE"/>
                <w:w w:val="96"/>
              </w:rPr>
            </w:pPr>
            <w:hyperlink r:id="rId128">
              <w:r>
                <w:rPr>
                  <w:rFonts w:ascii="Arial" w:cs="Arial" w:eastAsia="Arial" w:hAnsi="Arial"/>
                  <w:sz w:val="14"/>
                  <w:szCs w:val="14"/>
                  <w:color w:val="0000EE"/>
                  <w:w w:val="96"/>
                </w:rPr>
                <w:t>Indemnification Agreement, dated as of November 15, 2016, between PennantPark Investment Corporation and each of the directors and officers listed on Schedule A attached</w:t>
              </w:r>
            </w:hyperlink>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10100" w:type="dxa"/>
            <w:vAlign w:val="bottom"/>
            <w:tcBorders>
              <w:top w:val="single" w:sz="8" w:color="0000EE"/>
            </w:tcBorders>
            <w:gridSpan w:val="17"/>
          </w:tcPr>
          <w:p>
            <w:pPr>
              <w:spacing w:after="0" w:line="129" w:lineRule="exact"/>
              <w:rPr>
                <w:rFonts w:ascii="Arial" w:cs="Arial" w:eastAsia="Arial" w:hAnsi="Arial"/>
                <w:sz w:val="14"/>
                <w:szCs w:val="14"/>
                <w:color w:val="0000EE"/>
              </w:rPr>
            </w:pPr>
            <w:hyperlink r:id="rId128">
              <w:r>
                <w:rPr>
                  <w:rFonts w:ascii="Arial" w:cs="Arial" w:eastAsia="Arial" w:hAnsi="Arial"/>
                  <w:sz w:val="14"/>
                  <w:szCs w:val="14"/>
                  <w:color w:val="0000EE"/>
                </w:rPr>
                <w:t>thereto (Incorporated by reference to Exhibit 10.5 to the Registrant’s Annual Report on Form 10-K (File No. 814-00736) filed on November 21, 2016).</w:t>
              </w:r>
            </w:hyperlink>
          </w:p>
        </w:tc>
        <w:tc>
          <w:tcPr>
            <w:tcW w:w="300" w:type="dxa"/>
            <w:vAlign w:val="bottom"/>
            <w:gridSpan w:val="9"/>
          </w:tcPr>
          <w:p>
            <w:pPr>
              <w:spacing w:after="0"/>
              <w:rPr>
                <w:sz w:val="11"/>
                <w:szCs w:val="11"/>
                <w:color w:val="auto"/>
              </w:rPr>
            </w:pPr>
          </w:p>
        </w:tc>
        <w:tc>
          <w:tcPr>
            <w:tcW w:w="14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320" w:type="dxa"/>
            <w:vAlign w:val="bottom"/>
            <w:gridSpan w:val="11"/>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gridSpan w:val="1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20" w:type="dxa"/>
            <w:vAlign w:val="bottom"/>
          </w:tcPr>
          <w:p>
            <w:pPr>
              <w:jc w:val="right"/>
              <w:ind w:right="388"/>
              <w:spacing w:after="0"/>
              <w:rPr>
                <w:sz w:val="20"/>
                <w:szCs w:val="20"/>
                <w:color w:val="auto"/>
              </w:rPr>
            </w:pPr>
            <w:r>
              <w:rPr>
                <w:rFonts w:ascii="Arial" w:cs="Arial" w:eastAsia="Arial" w:hAnsi="Arial"/>
                <w:sz w:val="14"/>
                <w:szCs w:val="14"/>
                <w:color w:val="auto"/>
                <w:w w:val="87"/>
              </w:rPr>
              <w:t>10.5</w:t>
            </w:r>
          </w:p>
        </w:tc>
        <w:tc>
          <w:tcPr>
            <w:tcW w:w="10540" w:type="dxa"/>
            <w:vAlign w:val="bottom"/>
            <w:gridSpan w:val="30"/>
          </w:tcPr>
          <w:p>
            <w:pPr>
              <w:spacing w:after="0"/>
              <w:rPr>
                <w:rFonts w:ascii="Arial" w:cs="Arial" w:eastAsia="Arial" w:hAnsi="Arial"/>
                <w:sz w:val="14"/>
                <w:szCs w:val="14"/>
                <w:color w:val="0000EE"/>
                <w:w w:val="98"/>
              </w:rPr>
            </w:pPr>
            <w:hyperlink r:id="rId129">
              <w:r>
                <w:rPr>
                  <w:rFonts w:ascii="Arial" w:cs="Arial" w:eastAsia="Arial" w:hAnsi="Arial"/>
                  <w:sz w:val="14"/>
                  <w:szCs w:val="14"/>
                  <w:color w:val="0000EE"/>
                  <w:w w:val="98"/>
                </w:rPr>
                <w:t>Third Amended and Restated Investment Advisory Management Agreement, dated as of April 12, 2019, between the Registrant and PennantPark Investment Advisers, LLC</w:t>
              </w:r>
            </w:hyperlink>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9940" w:type="dxa"/>
            <w:vAlign w:val="bottom"/>
            <w:tcBorders>
              <w:top w:val="single" w:sz="8" w:color="0000EE"/>
            </w:tcBorders>
            <w:gridSpan w:val="14"/>
          </w:tcPr>
          <w:p>
            <w:pPr>
              <w:spacing w:after="0" w:line="129" w:lineRule="exact"/>
              <w:rPr>
                <w:rFonts w:ascii="Arial" w:cs="Arial" w:eastAsia="Arial" w:hAnsi="Arial"/>
                <w:sz w:val="14"/>
                <w:szCs w:val="14"/>
                <w:color w:val="0000EE"/>
                <w:w w:val="95"/>
              </w:rPr>
            </w:pPr>
            <w:hyperlink r:id="rId129">
              <w:r>
                <w:rPr>
                  <w:rFonts w:ascii="Arial" w:cs="Arial" w:eastAsia="Arial" w:hAnsi="Arial"/>
                  <w:sz w:val="14"/>
                  <w:szCs w:val="14"/>
                  <w:color w:val="0000EE"/>
                  <w:w w:val="95"/>
                </w:rPr>
                <w:t>(Incorporated by reference to Exhibit (g)(3) to the Registrant’s Pre-Effective Amendment No. 1 to the Registration Statement on Form N-2 (File No. 333-230014), filed on</w:t>
              </w:r>
            </w:hyperlink>
          </w:p>
        </w:tc>
        <w:tc>
          <w:tcPr>
            <w:tcW w:w="600" w:type="dxa"/>
            <w:vAlign w:val="bottom"/>
            <w:gridSpan w:val="16"/>
          </w:tcPr>
          <w:p>
            <w:pPr>
              <w:spacing w:after="0" w:line="129" w:lineRule="exact"/>
              <w:rPr>
                <w:rFonts w:ascii="Arial" w:cs="Arial" w:eastAsia="Arial" w:hAnsi="Arial"/>
                <w:sz w:val="14"/>
                <w:szCs w:val="14"/>
                <w:color w:val="0000EE"/>
              </w:rPr>
            </w:pPr>
            <w:hyperlink r:id="rId129">
              <w:r>
                <w:rPr>
                  <w:rFonts w:ascii="Arial" w:cs="Arial" w:eastAsia="Arial" w:hAnsi="Arial"/>
                  <w:sz w:val="14"/>
                  <w:szCs w:val="14"/>
                  <w:color w:val="0000EE"/>
                </w:rPr>
                <w:t>April 12,</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380" w:type="dxa"/>
            <w:vAlign w:val="bottom"/>
            <w:tcBorders>
              <w:top w:val="single" w:sz="8" w:color="0000EE"/>
              <w:bottom w:val="single" w:sz="8" w:color="0000EE"/>
            </w:tcBorders>
            <w:gridSpan w:val="2"/>
          </w:tcPr>
          <w:p>
            <w:pPr>
              <w:spacing w:after="0" w:line="129" w:lineRule="exact"/>
              <w:rPr>
                <w:rFonts w:ascii="Arial" w:cs="Arial" w:eastAsia="Arial" w:hAnsi="Arial"/>
                <w:sz w:val="14"/>
                <w:szCs w:val="14"/>
                <w:color w:val="0000EE"/>
                <w:w w:val="90"/>
              </w:rPr>
            </w:pPr>
            <w:hyperlink r:id="rId129">
              <w:r>
                <w:rPr>
                  <w:rFonts w:ascii="Arial" w:cs="Arial" w:eastAsia="Arial" w:hAnsi="Arial"/>
                  <w:sz w:val="14"/>
                  <w:szCs w:val="14"/>
                  <w:color w:val="0000EE"/>
                  <w:w w:val="90"/>
                </w:rPr>
                <w:t>2019).</w:t>
              </w:r>
            </w:hyperlink>
          </w:p>
        </w:tc>
        <w:tc>
          <w:tcPr>
            <w:tcW w:w="50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800" w:type="dxa"/>
            <w:vAlign w:val="bottom"/>
            <w:tcBorders>
              <w:top w:val="single" w:sz="8" w:color="0000EE"/>
            </w:tcBorders>
          </w:tcPr>
          <w:p>
            <w:pPr>
              <w:spacing w:after="0"/>
              <w:rPr>
                <w:sz w:val="11"/>
                <w:szCs w:val="11"/>
                <w:color w:val="auto"/>
              </w:rPr>
            </w:pPr>
          </w:p>
        </w:tc>
        <w:tc>
          <w:tcPr>
            <w:tcW w:w="1840" w:type="dxa"/>
            <w:vAlign w:val="bottom"/>
            <w:tcBorders>
              <w:top w:val="single" w:sz="8" w:color="0000EE"/>
            </w:tcBorders>
          </w:tcPr>
          <w:p>
            <w:pPr>
              <w:spacing w:after="0"/>
              <w:rPr>
                <w:sz w:val="11"/>
                <w:szCs w:val="11"/>
                <w:color w:val="auto"/>
              </w:rPr>
            </w:pPr>
          </w:p>
        </w:tc>
        <w:tc>
          <w:tcPr>
            <w:tcW w:w="112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50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2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3"/>
        </w:trPr>
        <w:tc>
          <w:tcPr>
            <w:tcW w:w="720" w:type="dxa"/>
            <w:vAlign w:val="bottom"/>
          </w:tcPr>
          <w:p>
            <w:pPr>
              <w:spacing w:after="0"/>
              <w:rPr>
                <w:sz w:val="24"/>
                <w:szCs w:val="24"/>
                <w:color w:val="auto"/>
              </w:rPr>
            </w:pPr>
          </w:p>
        </w:tc>
        <w:tc>
          <w:tcPr>
            <w:tcW w:w="5040" w:type="dxa"/>
            <w:vAlign w:val="bottom"/>
            <w:gridSpan w:val="8"/>
          </w:tcPr>
          <w:p>
            <w:pPr>
              <w:ind w:left="4840"/>
              <w:spacing w:after="0"/>
              <w:rPr>
                <w:sz w:val="20"/>
                <w:szCs w:val="20"/>
                <w:color w:val="auto"/>
              </w:rPr>
            </w:pPr>
            <w:r>
              <w:rPr>
                <w:rFonts w:ascii="Arial" w:cs="Arial" w:eastAsia="Arial" w:hAnsi="Arial"/>
                <w:sz w:val="14"/>
                <w:szCs w:val="14"/>
                <w:color w:val="auto"/>
              </w:rPr>
              <w:t>89</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7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5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65" w:right="319" w:bottom="1440" w:gutter="0" w:footer="0" w:header="0"/>
        </w:sectPr>
      </w:pPr>
    </w:p>
    <w:bookmarkStart w:id="89" w:name="page90"/>
    <w:bookmarkEnd w:id="89"/>
    <w:p>
      <w:pPr>
        <w:ind w:left="720" w:right="260" w:hanging="714"/>
        <w:spacing w:after="0" w:line="233" w:lineRule="auto"/>
        <w:tabs>
          <w:tab w:leader="none" w:pos="700" w:val="left"/>
        </w:tabs>
        <w:rPr>
          <w:rFonts w:ascii="Arial" w:cs="Arial" w:eastAsia="Arial" w:hAnsi="Arial"/>
          <w:sz w:val="14"/>
          <w:szCs w:val="14"/>
          <w:u w:val="single" w:color="auto"/>
          <w:color w:val="0000EE"/>
        </w:rPr>
      </w:pPr>
      <w:r>
        <w:rPr>
          <w:rFonts w:ascii="Arial" w:cs="Arial" w:eastAsia="Arial" w:hAnsi="Arial"/>
          <w:sz w:val="14"/>
          <w:szCs w:val="14"/>
          <w:color w:val="auto"/>
        </w:rPr>
        <w:t>10.6</w:t>
      </w:r>
      <w:r>
        <w:rPr>
          <w:sz w:val="20"/>
          <w:szCs w:val="20"/>
          <w:color w:val="auto"/>
        </w:rPr>
        <w:tab/>
      </w:r>
      <w:hyperlink r:id="rId132">
        <w:r>
          <w:rPr>
            <w:rFonts w:ascii="Arial" w:cs="Arial" w:eastAsia="Arial" w:hAnsi="Arial"/>
            <w:sz w:val="14"/>
            <w:szCs w:val="14"/>
            <w:u w:val="single" w:color="auto"/>
            <w:color w:val="0000EE"/>
          </w:rPr>
          <w:t>Second Amendment to Second Amended and Restated Senior Secured Revolving Credit Agreement, dated as of September 4, 2019, by and among PennantPark Investment</w:t>
        </w:r>
      </w:hyperlink>
      <w:r>
        <w:rPr>
          <w:rFonts w:ascii="Arial" w:cs="Arial" w:eastAsia="Arial" w:hAnsi="Arial"/>
          <w:sz w:val="14"/>
          <w:szCs w:val="14"/>
          <w:u w:val="single" w:color="auto"/>
          <w:color w:val="0000EE"/>
        </w:rPr>
        <w:t xml:space="preserve"> </w:t>
      </w:r>
      <w:hyperlink r:id="rId132">
        <w:r>
          <w:rPr>
            <w:rFonts w:ascii="Arial" w:cs="Arial" w:eastAsia="Arial" w:hAnsi="Arial"/>
            <w:sz w:val="14"/>
            <w:szCs w:val="14"/>
            <w:u w:val="single" w:color="auto"/>
            <w:color w:val="0000EE"/>
          </w:rPr>
          <w:t>Corporation, as borrower, the lenders party thereto, SunTrust Bank, as administrative agent and collateral agent, and solely with respect to Section 4.9, PNNT CI (GALLS) Prime</w:t>
        </w:r>
      </w:hyperlink>
      <w:r>
        <w:rPr>
          <w:rFonts w:ascii="Arial" w:cs="Arial" w:eastAsia="Arial" w:hAnsi="Arial"/>
          <w:sz w:val="14"/>
          <w:szCs w:val="14"/>
          <w:u w:val="single" w:color="auto"/>
          <w:color w:val="0000EE"/>
        </w:rPr>
        <w:t xml:space="preserve"> </w:t>
      </w:r>
      <w:hyperlink r:id="rId132">
        <w:r>
          <w:rPr>
            <w:rFonts w:ascii="Arial" w:cs="Arial" w:eastAsia="Arial" w:hAnsi="Arial"/>
            <w:sz w:val="14"/>
            <w:szCs w:val="14"/>
            <w:u w:val="single" w:color="auto"/>
            <w:color w:val="0000EE"/>
          </w:rPr>
          <w:t>Investment Holdings, LLC, PNNT Investment Holdings, LLC, PNNT New Gulf Resources, LLC, PNNT ecoserve, LLC and PNNT Cascade Environmental Holdings, LLC</w:t>
        </w:r>
      </w:hyperlink>
      <w:r>
        <w:rPr>
          <w:rFonts w:ascii="Arial" w:cs="Arial" w:eastAsia="Arial" w:hAnsi="Arial"/>
          <w:sz w:val="14"/>
          <w:szCs w:val="14"/>
          <w:u w:val="single" w:color="auto"/>
          <w:color w:val="0000EE"/>
        </w:rPr>
        <w:t xml:space="preserve"> </w:t>
      </w:r>
      <w:hyperlink r:id="rId132">
        <w:r>
          <w:rPr>
            <w:rFonts w:ascii="Arial" w:cs="Arial" w:eastAsia="Arial" w:hAnsi="Arial"/>
            <w:sz w:val="14"/>
            <w:szCs w:val="14"/>
            <w:u w:val="single" w:color="auto"/>
            <w:color w:val="0000EE"/>
          </w:rPr>
          <w:t>(Incorporated by reference to Exhibit 10.1 to the Registrant’s Form 8-K (File No. 814-00736), filed on September 4, 2019).</w:t>
        </w:r>
      </w:hyperlink>
    </w:p>
    <w:p>
      <w:pPr>
        <w:spacing w:after="0" w:line="117" w:lineRule="exact"/>
        <w:rPr>
          <w:rFonts w:ascii="Arial" w:cs="Arial" w:eastAsia="Arial" w:hAnsi="Arial"/>
          <w:sz w:val="14"/>
          <w:szCs w:val="14"/>
          <w:u w:val="single" w:color="auto"/>
          <w:color w:val="0000EE"/>
        </w:rPr>
      </w:pPr>
    </w:p>
    <w:p>
      <w:pPr>
        <w:ind w:left="720" w:right="100" w:hanging="714"/>
        <w:spacing w:after="0" w:line="238" w:lineRule="auto"/>
        <w:tabs>
          <w:tab w:leader="none" w:pos="700" w:val="left"/>
        </w:tabs>
        <w:rPr>
          <w:rFonts w:ascii="Arial" w:cs="Arial" w:eastAsia="Arial" w:hAnsi="Arial"/>
          <w:sz w:val="14"/>
          <w:szCs w:val="14"/>
          <w:u w:val="single" w:color="auto"/>
          <w:color w:val="0000EE"/>
        </w:rPr>
      </w:pPr>
      <w:r>
        <w:rPr>
          <w:rFonts w:ascii="Arial" w:cs="Arial" w:eastAsia="Arial" w:hAnsi="Arial"/>
          <w:sz w:val="14"/>
          <w:szCs w:val="14"/>
          <w:color w:val="auto"/>
        </w:rPr>
        <w:t>10.7</w:t>
      </w:r>
      <w:r>
        <w:rPr>
          <w:sz w:val="20"/>
          <w:szCs w:val="20"/>
          <w:color w:val="auto"/>
        </w:rPr>
        <w:tab/>
      </w:r>
      <w:hyperlink r:id="rId133">
        <w:r>
          <w:rPr>
            <w:rFonts w:ascii="Arial" w:cs="Arial" w:eastAsia="Arial" w:hAnsi="Arial"/>
            <w:sz w:val="14"/>
            <w:szCs w:val="14"/>
            <w:u w:val="single" w:color="auto"/>
            <w:color w:val="0000EE"/>
          </w:rPr>
          <w:t>Amended and Restated Limited Liability Company Agreement of PennantPark Senior Loan Fund, LLC, dated as of July 31, 2020, by and among PennantPark Investment</w:t>
        </w:r>
      </w:hyperlink>
      <w:r>
        <w:rPr>
          <w:rFonts w:ascii="Arial" w:cs="Arial" w:eastAsia="Arial" w:hAnsi="Arial"/>
          <w:sz w:val="14"/>
          <w:szCs w:val="14"/>
          <w:u w:val="single" w:color="auto"/>
          <w:color w:val="0000EE"/>
        </w:rPr>
        <w:t xml:space="preserve"> </w:t>
      </w:r>
      <w:hyperlink r:id="rId133">
        <w:r>
          <w:rPr>
            <w:rFonts w:ascii="Arial" w:cs="Arial" w:eastAsia="Arial" w:hAnsi="Arial"/>
            <w:sz w:val="14"/>
            <w:szCs w:val="14"/>
            <w:u w:val="single" w:color="auto"/>
            <w:color w:val="0000EE"/>
          </w:rPr>
          <w:t>Corporation, Pantheon Private Debt Program SCSp SICAV – RAIF In Respect Of Its Compartment Pantheon Senior Debt Secondaries II (USD) and Solutio Premium Private Debt I</w:t>
        </w:r>
      </w:hyperlink>
      <w:r>
        <w:rPr>
          <w:rFonts w:ascii="Arial" w:cs="Arial" w:eastAsia="Arial" w:hAnsi="Arial"/>
          <w:sz w:val="14"/>
          <w:szCs w:val="14"/>
          <w:u w:val="single" w:color="auto"/>
          <w:color w:val="0000EE"/>
        </w:rPr>
        <w:t xml:space="preserve"> </w:t>
      </w:r>
      <w:hyperlink r:id="rId133">
        <w:r>
          <w:rPr>
            <w:rFonts w:ascii="Arial" w:cs="Arial" w:eastAsia="Arial" w:hAnsi="Arial"/>
            <w:sz w:val="14"/>
            <w:szCs w:val="14"/>
            <w:u w:val="single" w:color="auto"/>
            <w:color w:val="0000EE"/>
          </w:rPr>
          <w:t>SCSp (Incorporated by reference to Exhibit 10.1 to the Registrant’s Form 8-K (File No. 814-00736), filed on August 4, 2020).</w:t>
        </w:r>
      </w:hyperlink>
    </w:p>
    <w:p>
      <w:pPr>
        <w:spacing w:after="0" w:line="115" w:lineRule="exact"/>
        <w:rPr>
          <w:rFonts w:ascii="Arial" w:cs="Arial" w:eastAsia="Arial" w:hAnsi="Arial"/>
          <w:sz w:val="14"/>
          <w:szCs w:val="14"/>
          <w:u w:val="single" w:color="auto"/>
          <w:color w:val="0000EE"/>
        </w:rPr>
      </w:pPr>
    </w:p>
    <w:p>
      <w:pPr>
        <w:ind w:left="720" w:right="120" w:hanging="714"/>
        <w:spacing w:after="0" w:line="231" w:lineRule="auto"/>
        <w:tabs>
          <w:tab w:leader="none" w:pos="700" w:val="left"/>
        </w:tabs>
        <w:rPr>
          <w:rFonts w:ascii="Arial" w:cs="Arial" w:eastAsia="Arial" w:hAnsi="Arial"/>
          <w:sz w:val="14"/>
          <w:szCs w:val="14"/>
          <w:u w:val="single" w:color="auto"/>
          <w:color w:val="0000EE"/>
        </w:rPr>
      </w:pPr>
      <w:r>
        <w:rPr>
          <w:rFonts w:ascii="Arial" w:cs="Arial" w:eastAsia="Arial" w:hAnsi="Arial"/>
          <w:sz w:val="14"/>
          <w:szCs w:val="14"/>
          <w:color w:val="auto"/>
        </w:rPr>
        <w:t>10.8</w:t>
      </w:r>
      <w:r>
        <w:rPr>
          <w:sz w:val="20"/>
          <w:szCs w:val="20"/>
          <w:color w:val="auto"/>
        </w:rPr>
        <w:tab/>
      </w:r>
      <w:hyperlink r:id="rId134">
        <w:r>
          <w:rPr>
            <w:rFonts w:ascii="Arial" w:cs="Arial" w:eastAsia="Arial" w:hAnsi="Arial"/>
            <w:sz w:val="14"/>
            <w:szCs w:val="14"/>
            <w:u w:val="single" w:color="auto"/>
            <w:color w:val="0000EE"/>
          </w:rPr>
          <w:t>First Amendment to the Amended and Restated Limited Liability Company Agreement of PennantPark Senior Loan Fund, LLC, dated as of October 31, 2020, by and among</w:t>
        </w:r>
      </w:hyperlink>
      <w:r>
        <w:rPr>
          <w:rFonts w:ascii="Arial" w:cs="Arial" w:eastAsia="Arial" w:hAnsi="Arial"/>
          <w:sz w:val="14"/>
          <w:szCs w:val="14"/>
          <w:u w:val="single" w:color="auto"/>
          <w:color w:val="0000EE"/>
        </w:rPr>
        <w:t xml:space="preserve"> </w:t>
      </w:r>
      <w:hyperlink r:id="rId134">
        <w:r>
          <w:rPr>
            <w:rFonts w:ascii="Arial" w:cs="Arial" w:eastAsia="Arial" w:hAnsi="Arial"/>
            <w:sz w:val="14"/>
            <w:szCs w:val="14"/>
            <w:u w:val="single" w:color="auto"/>
            <w:color w:val="0000EE"/>
          </w:rPr>
          <w:t>PennantPark Investment Corporation, Pantheon Private Debt Program SCSp SICAV – RAIF In Respect Of Its Compartment Pantheon Senior Debt Secondaries II (USD), Pantheon</w:t>
        </w:r>
      </w:hyperlink>
      <w:r>
        <w:rPr>
          <w:rFonts w:ascii="Arial" w:cs="Arial" w:eastAsia="Arial" w:hAnsi="Arial"/>
          <w:sz w:val="14"/>
          <w:szCs w:val="14"/>
          <w:u w:val="single" w:color="auto"/>
          <w:color w:val="0000EE"/>
        </w:rPr>
        <w:t xml:space="preserve"> </w:t>
      </w:r>
      <w:hyperlink r:id="rId134">
        <w:r>
          <w:rPr>
            <w:rFonts w:ascii="Arial" w:cs="Arial" w:eastAsia="Arial" w:hAnsi="Arial"/>
            <w:sz w:val="14"/>
            <w:szCs w:val="14"/>
            <w:u w:val="single" w:color="auto"/>
            <w:color w:val="0000EE"/>
          </w:rPr>
          <w:t>Private Debt Program SCSp SICAV-RAIF In Respect Of Its Compartment Pantheon Credit Opportunities II (USD), Pantheon Private Debt Program SCSp SICAV-RAIF In Respect</w:t>
        </w:r>
      </w:hyperlink>
      <w:r>
        <w:rPr>
          <w:rFonts w:ascii="Arial" w:cs="Arial" w:eastAsia="Arial" w:hAnsi="Arial"/>
          <w:sz w:val="14"/>
          <w:szCs w:val="14"/>
          <w:u w:val="single" w:color="auto"/>
          <w:color w:val="0000EE"/>
        </w:rPr>
        <w:t xml:space="preserve"> </w:t>
      </w:r>
      <w:hyperlink r:id="rId134">
        <w:r>
          <w:rPr>
            <w:rFonts w:ascii="Arial" w:cs="Arial" w:eastAsia="Arial" w:hAnsi="Arial"/>
            <w:sz w:val="14"/>
            <w:szCs w:val="14"/>
            <w:u w:val="single" w:color="auto"/>
            <w:color w:val="0000EE"/>
          </w:rPr>
          <w:t>Of Its Compartment Tubera Credit 2020 and Solutio Premium Private Debt I SCSp (Incorporated by reference to Exhibit 10.12 to the Registrant’s Form 10-K (File No. 814-00736),</w:t>
        </w:r>
      </w:hyperlink>
      <w:r>
        <w:rPr>
          <w:rFonts w:ascii="Arial" w:cs="Arial" w:eastAsia="Arial" w:hAnsi="Arial"/>
          <w:sz w:val="14"/>
          <w:szCs w:val="14"/>
          <w:u w:val="single" w:color="auto"/>
          <w:color w:val="0000EE"/>
        </w:rPr>
        <w:t xml:space="preserve"> </w:t>
      </w:r>
      <w:hyperlink r:id="rId134">
        <w:r>
          <w:rPr>
            <w:rFonts w:ascii="Arial" w:cs="Arial" w:eastAsia="Arial" w:hAnsi="Arial"/>
            <w:sz w:val="14"/>
            <w:szCs w:val="14"/>
            <w:u w:val="single" w:color="auto"/>
            <w:color w:val="0000EE"/>
          </w:rPr>
          <w:t>filed on November 19, 2020).</w:t>
        </w:r>
      </w:hyperlink>
    </w:p>
    <w:p>
      <w:pPr>
        <w:spacing w:after="0" w:line="116" w:lineRule="exact"/>
        <w:rPr>
          <w:rFonts w:ascii="Arial" w:cs="Arial" w:eastAsia="Arial" w:hAnsi="Arial"/>
          <w:sz w:val="14"/>
          <w:szCs w:val="14"/>
          <w:u w:val="single" w:color="auto"/>
          <w:color w:val="0000EE"/>
        </w:rPr>
      </w:pPr>
    </w:p>
    <w:p>
      <w:pPr>
        <w:ind w:left="720" w:hanging="714"/>
        <w:spacing w:after="0" w:line="233" w:lineRule="auto"/>
        <w:tabs>
          <w:tab w:leader="none" w:pos="700" w:val="left"/>
        </w:tabs>
        <w:rPr>
          <w:rFonts w:ascii="Arial" w:cs="Arial" w:eastAsia="Arial" w:hAnsi="Arial"/>
          <w:sz w:val="14"/>
          <w:szCs w:val="14"/>
          <w:u w:val="single" w:color="auto"/>
          <w:color w:val="0000EE"/>
        </w:rPr>
      </w:pPr>
      <w:r>
        <w:rPr>
          <w:rFonts w:ascii="Arial" w:cs="Arial" w:eastAsia="Arial" w:hAnsi="Arial"/>
          <w:sz w:val="14"/>
          <w:szCs w:val="14"/>
          <w:color w:val="auto"/>
        </w:rPr>
        <w:t>10.9</w:t>
      </w:r>
      <w:r>
        <w:rPr>
          <w:sz w:val="20"/>
          <w:szCs w:val="20"/>
          <w:color w:val="auto"/>
        </w:rPr>
        <w:tab/>
      </w:r>
      <w:hyperlink r:id="rId135">
        <w:r>
          <w:rPr>
            <w:rFonts w:ascii="Arial" w:cs="Arial" w:eastAsia="Arial" w:hAnsi="Arial"/>
            <w:sz w:val="14"/>
            <w:szCs w:val="14"/>
            <w:u w:val="single" w:color="auto"/>
            <w:color w:val="0000EE"/>
          </w:rPr>
          <w:t>First Omnibus Amendment, dated as of July 31, 2020, by and among PennantPark Investment Funding I, LLC, as borrower, PennantPark Senior Loan Fund, LLC, as equityholder of</w:t>
        </w:r>
      </w:hyperlink>
      <w:r>
        <w:rPr>
          <w:rFonts w:ascii="Arial" w:cs="Arial" w:eastAsia="Arial" w:hAnsi="Arial"/>
          <w:sz w:val="14"/>
          <w:szCs w:val="14"/>
          <w:u w:val="single" w:color="auto"/>
          <w:color w:val="0000EE"/>
        </w:rPr>
        <w:t xml:space="preserve"> </w:t>
      </w:r>
      <w:hyperlink r:id="rId135">
        <w:r>
          <w:rPr>
            <w:rFonts w:ascii="Arial" w:cs="Arial" w:eastAsia="Arial" w:hAnsi="Arial"/>
            <w:sz w:val="14"/>
            <w:szCs w:val="14"/>
            <w:u w:val="single" w:color="auto"/>
            <w:color w:val="0000EE"/>
          </w:rPr>
          <w:t>the borrower, PennantPark Investment Corporation, PennantPark Investment Advisers, LLC, as servicer, and The Bank of New York Mellon Trust Company, National Association, as</w:t>
        </w:r>
      </w:hyperlink>
      <w:r>
        <w:rPr>
          <w:rFonts w:ascii="Arial" w:cs="Arial" w:eastAsia="Arial" w:hAnsi="Arial"/>
          <w:sz w:val="14"/>
          <w:szCs w:val="14"/>
          <w:u w:val="single" w:color="auto"/>
          <w:color w:val="0000EE"/>
        </w:rPr>
        <w:t xml:space="preserve"> </w:t>
      </w:r>
      <w:hyperlink r:id="rId135">
        <w:r>
          <w:rPr>
            <w:rFonts w:ascii="Arial" w:cs="Arial" w:eastAsia="Arial" w:hAnsi="Arial"/>
            <w:sz w:val="14"/>
            <w:szCs w:val="14"/>
            <w:u w:val="single" w:color="auto"/>
            <w:color w:val="0000EE"/>
          </w:rPr>
          <w:t>collateral agent, Sterling National Bank, as lender and BNP Paribas, as administrative agent and as lender (Incorporated by reference to Exhibit 10.2 to the Registrant’s Form 8-K</w:t>
        </w:r>
      </w:hyperlink>
      <w:r>
        <w:rPr>
          <w:rFonts w:ascii="Arial" w:cs="Arial" w:eastAsia="Arial" w:hAnsi="Arial"/>
          <w:sz w:val="14"/>
          <w:szCs w:val="14"/>
          <w:u w:val="single" w:color="auto"/>
          <w:color w:val="0000EE"/>
        </w:rPr>
        <w:t xml:space="preserve"> </w:t>
      </w:r>
      <w:hyperlink r:id="rId135">
        <w:r>
          <w:rPr>
            <w:rFonts w:ascii="Arial" w:cs="Arial" w:eastAsia="Arial" w:hAnsi="Arial"/>
            <w:sz w:val="14"/>
            <w:szCs w:val="14"/>
            <w:u w:val="single" w:color="auto"/>
            <w:color w:val="0000EE"/>
          </w:rPr>
          <w:t>(File No. 814-00736), filed on August 4, 2020).</w:t>
        </w:r>
      </w:hyperlink>
    </w:p>
    <w:p>
      <w:pPr>
        <w:spacing w:after="0" w:line="117" w:lineRule="exact"/>
        <w:rPr>
          <w:rFonts w:ascii="Arial" w:cs="Arial" w:eastAsia="Arial" w:hAnsi="Arial"/>
          <w:sz w:val="14"/>
          <w:szCs w:val="14"/>
          <w:u w:val="single" w:color="auto"/>
          <w:color w:val="0000EE"/>
        </w:rPr>
      </w:pPr>
    </w:p>
    <w:p>
      <w:pPr>
        <w:spacing w:after="0"/>
        <w:tabs>
          <w:tab w:leader="none" w:pos="700" w:val="left"/>
        </w:tabs>
        <w:rPr>
          <w:rFonts w:ascii="Arial" w:cs="Arial" w:eastAsia="Arial" w:hAnsi="Arial"/>
          <w:sz w:val="13"/>
          <w:szCs w:val="13"/>
          <w:u w:val="single" w:color="auto"/>
          <w:color w:val="0000EE"/>
        </w:rPr>
      </w:pPr>
      <w:r>
        <w:rPr>
          <w:rFonts w:ascii="Arial" w:cs="Arial" w:eastAsia="Arial" w:hAnsi="Arial"/>
          <w:sz w:val="14"/>
          <w:szCs w:val="14"/>
          <w:color w:val="auto"/>
        </w:rPr>
        <w:t>14.1*</w:t>
      </w:r>
      <w:r>
        <w:rPr>
          <w:sz w:val="20"/>
          <w:szCs w:val="20"/>
          <w:color w:val="auto"/>
        </w:rPr>
        <w:tab/>
      </w:r>
      <w:hyperlink w:anchor="page92">
        <w:r>
          <w:rPr>
            <w:rFonts w:ascii="Arial" w:cs="Arial" w:eastAsia="Arial" w:hAnsi="Arial"/>
            <w:sz w:val="13"/>
            <w:szCs w:val="13"/>
            <w:u w:val="single" w:color="auto"/>
            <w:color w:val="0000EE"/>
          </w:rPr>
          <w:t>Joint Code of Ethics of the Registrant.</w:t>
        </w:r>
      </w:hyperlink>
    </w:p>
    <w:p>
      <w:pPr>
        <w:spacing w:after="0" w:line="136" w:lineRule="exact"/>
        <w:rPr>
          <w:rFonts w:ascii="Arial" w:cs="Arial" w:eastAsia="Arial" w:hAnsi="Arial"/>
          <w:sz w:val="14"/>
          <w:szCs w:val="14"/>
          <w:u w:val="single" w:color="auto"/>
          <w:color w:val="0000EE"/>
        </w:rPr>
      </w:pPr>
    </w:p>
    <w:p>
      <w:pPr>
        <w:spacing w:after="0"/>
        <w:tabs>
          <w:tab w:leader="none" w:pos="700" w:val="left"/>
        </w:tabs>
        <w:rPr>
          <w:rFonts w:ascii="Arial" w:cs="Arial" w:eastAsia="Arial" w:hAnsi="Arial"/>
          <w:sz w:val="13"/>
          <w:szCs w:val="13"/>
          <w:u w:val="single" w:color="auto"/>
          <w:color w:val="0000EE"/>
        </w:rPr>
      </w:pPr>
      <w:r>
        <w:rPr>
          <w:rFonts w:ascii="Arial" w:cs="Arial" w:eastAsia="Arial" w:hAnsi="Arial"/>
          <w:sz w:val="14"/>
          <w:szCs w:val="14"/>
          <w:color w:val="auto"/>
        </w:rPr>
        <w:t>21.1*</w:t>
      </w:r>
      <w:r>
        <w:rPr>
          <w:sz w:val="20"/>
          <w:szCs w:val="20"/>
          <w:color w:val="auto"/>
        </w:rPr>
        <w:tab/>
      </w:r>
      <w:hyperlink w:anchor="page97">
        <w:r>
          <w:rPr>
            <w:rFonts w:ascii="Arial" w:cs="Arial" w:eastAsia="Arial" w:hAnsi="Arial"/>
            <w:sz w:val="13"/>
            <w:szCs w:val="13"/>
            <w:u w:val="single" w:color="auto"/>
            <w:color w:val="0000EE"/>
          </w:rPr>
          <w:t>Subsidiaries of the Registrant.</w:t>
        </w:r>
      </w:hyperlink>
    </w:p>
    <w:p>
      <w:pPr>
        <w:spacing w:after="0" w:line="136" w:lineRule="exact"/>
        <w:rPr>
          <w:rFonts w:ascii="Arial" w:cs="Arial" w:eastAsia="Arial" w:hAnsi="Arial"/>
          <w:sz w:val="14"/>
          <w:szCs w:val="14"/>
          <w:u w:val="single" w:color="auto"/>
          <w:color w:val="0000EE"/>
        </w:rPr>
      </w:pPr>
    </w:p>
    <w:p>
      <w:pPr>
        <w:spacing w:after="0"/>
        <w:tabs>
          <w:tab w:leader="none" w:pos="700" w:val="left"/>
        </w:tabs>
        <w:rPr>
          <w:rFonts w:ascii="Arial" w:cs="Arial" w:eastAsia="Arial" w:hAnsi="Arial"/>
          <w:sz w:val="13"/>
          <w:szCs w:val="13"/>
          <w:u w:val="single" w:color="auto"/>
          <w:color w:val="0000EE"/>
        </w:rPr>
      </w:pPr>
      <w:r>
        <w:rPr>
          <w:rFonts w:ascii="Arial" w:cs="Arial" w:eastAsia="Arial" w:hAnsi="Arial"/>
          <w:sz w:val="14"/>
          <w:szCs w:val="14"/>
          <w:color w:val="auto"/>
        </w:rPr>
        <w:t>23.1*</w:t>
      </w:r>
      <w:r>
        <w:rPr>
          <w:sz w:val="20"/>
          <w:szCs w:val="20"/>
          <w:color w:val="auto"/>
        </w:rPr>
        <w:tab/>
      </w:r>
      <w:hyperlink w:anchor="page98">
        <w:r>
          <w:rPr>
            <w:rFonts w:ascii="Arial" w:cs="Arial" w:eastAsia="Arial" w:hAnsi="Arial"/>
            <w:sz w:val="13"/>
            <w:szCs w:val="13"/>
            <w:u w:val="single" w:color="auto"/>
            <w:color w:val="0000EE"/>
          </w:rPr>
          <w:t>Consent of RSM US LLP.</w:t>
        </w:r>
      </w:hyperlink>
    </w:p>
    <w:p>
      <w:pPr>
        <w:spacing w:after="0" w:line="136" w:lineRule="exact"/>
        <w:rPr>
          <w:rFonts w:ascii="Arial" w:cs="Arial" w:eastAsia="Arial" w:hAnsi="Arial"/>
          <w:sz w:val="14"/>
          <w:szCs w:val="14"/>
          <w:u w:val="single" w:color="auto"/>
          <w:color w:val="0000EE"/>
        </w:rPr>
      </w:pPr>
    </w:p>
    <w:p>
      <w:pPr>
        <w:spacing w:after="0"/>
        <w:tabs>
          <w:tab w:leader="none" w:pos="700" w:val="left"/>
        </w:tabs>
        <w:rPr>
          <w:rFonts w:ascii="Arial" w:cs="Arial" w:eastAsia="Arial" w:hAnsi="Arial"/>
          <w:sz w:val="13"/>
          <w:szCs w:val="13"/>
          <w:u w:val="single" w:color="auto"/>
          <w:color w:val="0000EE"/>
        </w:rPr>
      </w:pPr>
      <w:r>
        <w:rPr>
          <w:rFonts w:ascii="Arial" w:cs="Arial" w:eastAsia="Arial" w:hAnsi="Arial"/>
          <w:sz w:val="14"/>
          <w:szCs w:val="14"/>
          <w:color w:val="auto"/>
        </w:rPr>
        <w:t>23.2*</w:t>
      </w:r>
      <w:r>
        <w:rPr>
          <w:sz w:val="20"/>
          <w:szCs w:val="20"/>
          <w:color w:val="auto"/>
        </w:rPr>
        <w:tab/>
      </w:r>
      <w:hyperlink w:anchor="page99">
        <w:r>
          <w:rPr>
            <w:rFonts w:ascii="Arial" w:cs="Arial" w:eastAsia="Arial" w:hAnsi="Arial"/>
            <w:sz w:val="13"/>
            <w:szCs w:val="13"/>
            <w:u w:val="single" w:color="auto"/>
            <w:color w:val="0000EE"/>
          </w:rPr>
          <w:t>Consent of BDO USA, LLP.</w:t>
        </w:r>
      </w:hyperlink>
    </w:p>
    <w:p>
      <w:pPr>
        <w:spacing w:after="0" w:line="136" w:lineRule="exact"/>
        <w:rPr>
          <w:rFonts w:ascii="Arial" w:cs="Arial" w:eastAsia="Arial" w:hAnsi="Arial"/>
          <w:sz w:val="14"/>
          <w:szCs w:val="14"/>
          <w:u w:val="single" w:color="auto"/>
          <w:color w:val="0000EE"/>
        </w:rPr>
      </w:pPr>
    </w:p>
    <w:p>
      <w:pPr>
        <w:spacing w:after="0"/>
        <w:tabs>
          <w:tab w:leader="none" w:pos="700" w:val="left"/>
        </w:tabs>
        <w:rPr>
          <w:rFonts w:ascii="Arial" w:cs="Arial" w:eastAsia="Arial" w:hAnsi="Arial"/>
          <w:sz w:val="13"/>
          <w:szCs w:val="13"/>
          <w:u w:val="single" w:color="auto"/>
          <w:color w:val="0000EE"/>
        </w:rPr>
      </w:pPr>
      <w:r>
        <w:rPr>
          <w:rFonts w:ascii="Arial" w:cs="Arial" w:eastAsia="Arial" w:hAnsi="Arial"/>
          <w:sz w:val="14"/>
          <w:szCs w:val="14"/>
          <w:color w:val="auto"/>
        </w:rPr>
        <w:t>31.1*</w:t>
      </w:r>
      <w:r>
        <w:rPr>
          <w:sz w:val="20"/>
          <w:szCs w:val="20"/>
          <w:color w:val="auto"/>
        </w:rPr>
        <w:tab/>
      </w:r>
      <w:hyperlink w:anchor="page100">
        <w:r>
          <w:rPr>
            <w:rFonts w:ascii="Arial" w:cs="Arial" w:eastAsia="Arial" w:hAnsi="Arial"/>
            <w:sz w:val="13"/>
            <w:szCs w:val="13"/>
            <w:u w:val="single" w:color="auto"/>
            <w:color w:val="0000EE"/>
          </w:rPr>
          <w:t>Certification of Chief Executive Officer pursuant to Rule 13a-14 of the Securities Exchange Act of 1934, as amended.</w:t>
        </w:r>
      </w:hyperlink>
    </w:p>
    <w:p>
      <w:pPr>
        <w:spacing w:after="0" w:line="136" w:lineRule="exact"/>
        <w:rPr>
          <w:rFonts w:ascii="Arial" w:cs="Arial" w:eastAsia="Arial" w:hAnsi="Arial"/>
          <w:sz w:val="14"/>
          <w:szCs w:val="14"/>
          <w:u w:val="single" w:color="auto"/>
          <w:color w:val="0000EE"/>
        </w:rPr>
      </w:pPr>
    </w:p>
    <w:p>
      <w:pPr>
        <w:spacing w:after="0"/>
        <w:tabs>
          <w:tab w:leader="none" w:pos="700" w:val="left"/>
        </w:tabs>
        <w:rPr>
          <w:rFonts w:ascii="Arial" w:cs="Arial" w:eastAsia="Arial" w:hAnsi="Arial"/>
          <w:sz w:val="13"/>
          <w:szCs w:val="13"/>
          <w:u w:val="single" w:color="auto"/>
          <w:color w:val="0000EE"/>
        </w:rPr>
      </w:pPr>
      <w:r>
        <w:rPr>
          <w:rFonts w:ascii="Arial" w:cs="Arial" w:eastAsia="Arial" w:hAnsi="Arial"/>
          <w:sz w:val="14"/>
          <w:szCs w:val="14"/>
          <w:color w:val="auto"/>
        </w:rPr>
        <w:t>31.2*</w:t>
      </w:r>
      <w:r>
        <w:rPr>
          <w:sz w:val="20"/>
          <w:szCs w:val="20"/>
          <w:color w:val="auto"/>
        </w:rPr>
        <w:tab/>
      </w:r>
      <w:hyperlink w:anchor="page101">
        <w:r>
          <w:rPr>
            <w:rFonts w:ascii="Arial" w:cs="Arial" w:eastAsia="Arial" w:hAnsi="Arial"/>
            <w:sz w:val="13"/>
            <w:szCs w:val="13"/>
            <w:u w:val="single" w:color="auto"/>
            <w:color w:val="0000EE"/>
          </w:rPr>
          <w:t>Certification of Chief Financial Officer pursuant to Rule 13a-14 of the Securities Exchange Act of 1934, as amended.</w:t>
        </w:r>
      </w:hyperlink>
    </w:p>
    <w:p>
      <w:pPr>
        <w:spacing w:after="0" w:line="136" w:lineRule="exact"/>
        <w:rPr>
          <w:rFonts w:ascii="Arial" w:cs="Arial" w:eastAsia="Arial" w:hAnsi="Arial"/>
          <w:sz w:val="14"/>
          <w:szCs w:val="14"/>
          <w:u w:val="single" w:color="auto"/>
          <w:color w:val="0000EE"/>
        </w:rPr>
      </w:pPr>
    </w:p>
    <w:p>
      <w:pPr>
        <w:spacing w:after="0"/>
        <w:tabs>
          <w:tab w:leader="none" w:pos="700" w:val="left"/>
        </w:tabs>
        <w:rPr>
          <w:rFonts w:ascii="Arial" w:cs="Arial" w:eastAsia="Arial" w:hAnsi="Arial"/>
          <w:sz w:val="13"/>
          <w:szCs w:val="13"/>
          <w:u w:val="single" w:color="auto"/>
          <w:color w:val="0000EE"/>
        </w:rPr>
      </w:pPr>
      <w:r>
        <w:rPr>
          <w:rFonts w:ascii="Arial" w:cs="Arial" w:eastAsia="Arial" w:hAnsi="Arial"/>
          <w:sz w:val="14"/>
          <w:szCs w:val="14"/>
          <w:color w:val="auto"/>
        </w:rPr>
        <w:t>32.1*</w:t>
      </w:r>
      <w:r>
        <w:rPr>
          <w:sz w:val="20"/>
          <w:szCs w:val="20"/>
          <w:color w:val="auto"/>
        </w:rPr>
        <w:tab/>
      </w:r>
      <w:hyperlink w:anchor="page102">
        <w:r>
          <w:rPr>
            <w:rFonts w:ascii="Arial" w:cs="Arial" w:eastAsia="Arial" w:hAnsi="Arial"/>
            <w:sz w:val="13"/>
            <w:szCs w:val="13"/>
            <w:u w:val="single" w:color="auto"/>
            <w:color w:val="0000EE"/>
          </w:rPr>
          <w:t>Certification of Chief Executive Officer pursuant to section 906 of the Sarbanes-Oxley Act of 2002.</w:t>
        </w:r>
      </w:hyperlink>
    </w:p>
    <w:p>
      <w:pPr>
        <w:spacing w:after="0" w:line="136" w:lineRule="exact"/>
        <w:rPr>
          <w:rFonts w:ascii="Arial" w:cs="Arial" w:eastAsia="Arial" w:hAnsi="Arial"/>
          <w:sz w:val="14"/>
          <w:szCs w:val="14"/>
          <w:u w:val="single" w:color="auto"/>
          <w:color w:val="0000EE"/>
        </w:rPr>
      </w:pPr>
    </w:p>
    <w:p>
      <w:pPr>
        <w:spacing w:after="0"/>
        <w:tabs>
          <w:tab w:leader="none" w:pos="700" w:val="left"/>
        </w:tabs>
        <w:rPr>
          <w:rFonts w:ascii="Arial" w:cs="Arial" w:eastAsia="Arial" w:hAnsi="Arial"/>
          <w:sz w:val="13"/>
          <w:szCs w:val="13"/>
          <w:u w:val="single" w:color="auto"/>
          <w:color w:val="0000EE"/>
        </w:rPr>
      </w:pPr>
      <w:r>
        <w:rPr>
          <w:rFonts w:ascii="Arial" w:cs="Arial" w:eastAsia="Arial" w:hAnsi="Arial"/>
          <w:sz w:val="14"/>
          <w:szCs w:val="14"/>
          <w:color w:val="auto"/>
        </w:rPr>
        <w:t>32.2*</w:t>
      </w:r>
      <w:r>
        <w:rPr>
          <w:sz w:val="20"/>
          <w:szCs w:val="20"/>
          <w:color w:val="auto"/>
        </w:rPr>
        <w:tab/>
      </w:r>
      <w:hyperlink w:anchor="page103">
        <w:r>
          <w:rPr>
            <w:rFonts w:ascii="Arial" w:cs="Arial" w:eastAsia="Arial" w:hAnsi="Arial"/>
            <w:sz w:val="13"/>
            <w:szCs w:val="13"/>
            <w:u w:val="single" w:color="auto"/>
            <w:color w:val="0000EE"/>
          </w:rPr>
          <w:t>Certification of Chief Financial Officer pursuant to section 906 of the Sarbanes-Oxley Act of 2002.</w:t>
        </w:r>
      </w:hyperlink>
    </w:p>
    <w:p>
      <w:pPr>
        <w:spacing w:after="0" w:line="136" w:lineRule="exact"/>
        <w:rPr>
          <w:rFonts w:ascii="Arial" w:cs="Arial" w:eastAsia="Arial" w:hAnsi="Arial"/>
          <w:sz w:val="14"/>
          <w:szCs w:val="14"/>
          <w:u w:val="single" w:color="auto"/>
          <w:color w:val="0000EE"/>
        </w:rPr>
      </w:pPr>
    </w:p>
    <w:p>
      <w:pPr>
        <w:spacing w:after="0"/>
        <w:tabs>
          <w:tab w:leader="none" w:pos="700" w:val="left"/>
        </w:tabs>
        <w:rPr>
          <w:rFonts w:ascii="Arial" w:cs="Arial" w:eastAsia="Arial" w:hAnsi="Arial"/>
          <w:sz w:val="13"/>
          <w:szCs w:val="13"/>
          <w:u w:val="single" w:color="auto"/>
          <w:color w:val="0000EE"/>
        </w:rPr>
      </w:pPr>
      <w:r>
        <w:rPr>
          <w:rFonts w:ascii="Arial" w:cs="Arial" w:eastAsia="Arial" w:hAnsi="Arial"/>
          <w:sz w:val="14"/>
          <w:szCs w:val="14"/>
          <w:color w:val="auto"/>
        </w:rPr>
        <w:t>99.1</w:t>
      </w:r>
      <w:r>
        <w:rPr>
          <w:sz w:val="20"/>
          <w:szCs w:val="20"/>
          <w:color w:val="auto"/>
        </w:rPr>
        <w:tab/>
      </w:r>
      <w:hyperlink r:id="rId136">
        <w:r>
          <w:rPr>
            <w:rFonts w:ascii="Arial" w:cs="Arial" w:eastAsia="Arial" w:hAnsi="Arial"/>
            <w:sz w:val="13"/>
            <w:szCs w:val="13"/>
            <w:u w:val="single" w:color="auto"/>
            <w:color w:val="0000EE"/>
          </w:rPr>
          <w:t>Privacy Policy of the Registrant (Incorporated by reference to Exhibit 99.1 to the Registrant’s Annual Report on Form 10-K (File No. 814-00736), filed on November 16, 2011).</w:t>
        </w:r>
      </w:hyperlink>
    </w:p>
    <w:p>
      <w:pPr>
        <w:spacing w:after="0" w:line="136" w:lineRule="exact"/>
        <w:rPr>
          <w:rFonts w:ascii="Arial" w:cs="Arial" w:eastAsia="Arial" w:hAnsi="Arial"/>
          <w:sz w:val="14"/>
          <w:szCs w:val="14"/>
          <w:u w:val="single" w:color="auto"/>
          <w:color w:val="0000EE"/>
        </w:rPr>
      </w:pPr>
    </w:p>
    <w:p>
      <w:pPr>
        <w:spacing w:after="0"/>
        <w:tabs>
          <w:tab w:leader="none" w:pos="700" w:val="left"/>
        </w:tabs>
        <w:rPr>
          <w:rFonts w:ascii="Arial" w:cs="Arial" w:eastAsia="Arial" w:hAnsi="Arial"/>
          <w:sz w:val="13"/>
          <w:szCs w:val="13"/>
          <w:u w:val="single" w:color="auto"/>
          <w:color w:val="0000EE"/>
        </w:rPr>
      </w:pPr>
      <w:r>
        <w:rPr>
          <w:rFonts w:ascii="Arial" w:cs="Arial" w:eastAsia="Arial" w:hAnsi="Arial"/>
          <w:sz w:val="14"/>
          <w:szCs w:val="14"/>
          <w:color w:val="auto"/>
        </w:rPr>
        <w:t>99.2*</w:t>
      </w:r>
      <w:r>
        <w:rPr>
          <w:sz w:val="20"/>
          <w:szCs w:val="20"/>
          <w:color w:val="auto"/>
        </w:rPr>
        <w:tab/>
      </w:r>
      <w:hyperlink w:anchor="page104">
        <w:r>
          <w:rPr>
            <w:rFonts w:ascii="Arial" w:cs="Arial" w:eastAsia="Arial" w:hAnsi="Arial"/>
            <w:sz w:val="13"/>
            <w:szCs w:val="13"/>
            <w:u w:val="single" w:color="auto"/>
            <w:color w:val="0000EE"/>
          </w:rPr>
          <w:t>Audited Consolidated Financial Statements of RAM Energy Holdings LLC and Subsidiaries for the Year Ended September 30, 2021.</w:t>
        </w:r>
      </w:hyperlink>
    </w:p>
    <w:p>
      <w:pPr>
        <w:spacing w:after="0" w:line="136" w:lineRule="exact"/>
        <w:rPr>
          <w:rFonts w:ascii="Arial" w:cs="Arial" w:eastAsia="Arial" w:hAnsi="Arial"/>
          <w:sz w:val="14"/>
          <w:szCs w:val="14"/>
          <w:u w:val="single" w:color="auto"/>
          <w:color w:val="0000EE"/>
        </w:rPr>
      </w:pPr>
    </w:p>
    <w:p>
      <w:pPr>
        <w:spacing w:after="0"/>
        <w:tabs>
          <w:tab w:leader="none" w:pos="700" w:val="left"/>
        </w:tabs>
        <w:rPr>
          <w:rFonts w:ascii="Arial" w:cs="Arial" w:eastAsia="Arial" w:hAnsi="Arial"/>
          <w:sz w:val="13"/>
          <w:szCs w:val="13"/>
          <w:u w:val="single" w:color="auto"/>
          <w:color w:val="0000EE"/>
        </w:rPr>
      </w:pPr>
      <w:r>
        <w:rPr>
          <w:rFonts w:ascii="Arial" w:cs="Arial" w:eastAsia="Arial" w:hAnsi="Arial"/>
          <w:sz w:val="14"/>
          <w:szCs w:val="14"/>
          <w:color w:val="auto"/>
        </w:rPr>
        <w:t>99.3*</w:t>
      </w:r>
      <w:r>
        <w:rPr>
          <w:sz w:val="20"/>
          <w:szCs w:val="20"/>
          <w:color w:val="auto"/>
        </w:rPr>
        <w:tab/>
      </w:r>
      <w:hyperlink w:anchor="page125">
        <w:r>
          <w:rPr>
            <w:rFonts w:ascii="Arial" w:cs="Arial" w:eastAsia="Arial" w:hAnsi="Arial"/>
            <w:sz w:val="13"/>
            <w:szCs w:val="13"/>
            <w:u w:val="single" w:color="auto"/>
            <w:color w:val="0000EE"/>
          </w:rPr>
          <w:t>Audited Consolidated Financial Statements of RAM Energy Holdings LLC and Subsidiaries for the Year Ended September 30, 2020.</w:t>
        </w:r>
      </w:hyperlink>
    </w:p>
    <w:p>
      <w:pPr>
        <w:spacing w:after="0" w:line="136" w:lineRule="exact"/>
        <w:rPr>
          <w:rFonts w:ascii="Arial" w:cs="Arial" w:eastAsia="Arial" w:hAnsi="Arial"/>
          <w:sz w:val="14"/>
          <w:szCs w:val="14"/>
          <w:u w:val="single" w:color="auto"/>
          <w:color w:val="0000EE"/>
        </w:rPr>
      </w:pPr>
    </w:p>
    <w:p>
      <w:pPr>
        <w:spacing w:after="0"/>
        <w:tabs>
          <w:tab w:leader="none" w:pos="700" w:val="left"/>
        </w:tabs>
        <w:rPr>
          <w:rFonts w:ascii="Arial" w:cs="Arial" w:eastAsia="Arial" w:hAnsi="Arial"/>
          <w:sz w:val="13"/>
          <w:szCs w:val="13"/>
          <w:u w:val="single" w:color="auto"/>
          <w:color w:val="0000EE"/>
        </w:rPr>
      </w:pPr>
      <w:r>
        <w:rPr>
          <w:rFonts w:ascii="Arial" w:cs="Arial" w:eastAsia="Arial" w:hAnsi="Arial"/>
          <w:sz w:val="14"/>
          <w:szCs w:val="14"/>
          <w:color w:val="auto"/>
        </w:rPr>
        <w:t>99.4*</w:t>
      </w:r>
      <w:r>
        <w:rPr>
          <w:sz w:val="20"/>
          <w:szCs w:val="20"/>
          <w:color w:val="auto"/>
        </w:rPr>
        <w:tab/>
      </w:r>
      <w:hyperlink w:anchor="page147">
        <w:r>
          <w:rPr>
            <w:rFonts w:ascii="Arial" w:cs="Arial" w:eastAsia="Arial" w:hAnsi="Arial"/>
            <w:sz w:val="13"/>
            <w:szCs w:val="13"/>
            <w:u w:val="single" w:color="auto"/>
            <w:color w:val="0000EE"/>
          </w:rPr>
          <w:t>Audited Consolidated Financial Statements of RAM Energy Holdings LLC and Subsidiaries for the Year Ended September 30, 2019.</w:t>
        </w:r>
      </w:hyperlink>
    </w:p>
    <w:p>
      <w:pPr>
        <w:spacing w:after="0" w:line="136" w:lineRule="exact"/>
        <w:rPr>
          <w:rFonts w:ascii="Arial" w:cs="Arial" w:eastAsia="Arial" w:hAnsi="Arial"/>
          <w:sz w:val="14"/>
          <w:szCs w:val="14"/>
          <w:u w:val="single" w:color="auto"/>
          <w:color w:val="0000EE"/>
        </w:rPr>
      </w:pPr>
    </w:p>
    <w:p>
      <w:pPr>
        <w:spacing w:after="0"/>
        <w:tabs>
          <w:tab w:leader="none" w:pos="700" w:val="left"/>
        </w:tabs>
        <w:rPr>
          <w:rFonts w:ascii="Arial" w:cs="Arial" w:eastAsia="Arial" w:hAnsi="Arial"/>
          <w:sz w:val="13"/>
          <w:szCs w:val="13"/>
          <w:u w:val="single" w:color="auto"/>
          <w:color w:val="0000EE"/>
        </w:rPr>
      </w:pPr>
      <w:r>
        <w:rPr>
          <w:rFonts w:ascii="Arial" w:cs="Arial" w:eastAsia="Arial" w:hAnsi="Arial"/>
          <w:sz w:val="14"/>
          <w:szCs w:val="14"/>
          <w:color w:val="auto"/>
        </w:rPr>
        <w:t>99.5*</w:t>
      </w:r>
      <w:r>
        <w:rPr>
          <w:sz w:val="20"/>
          <w:szCs w:val="20"/>
          <w:color w:val="auto"/>
        </w:rPr>
        <w:tab/>
      </w:r>
      <w:hyperlink w:anchor="page166">
        <w:r>
          <w:rPr>
            <w:rFonts w:ascii="Arial" w:cs="Arial" w:eastAsia="Arial" w:hAnsi="Arial"/>
            <w:sz w:val="13"/>
            <w:szCs w:val="13"/>
            <w:u w:val="single" w:color="auto"/>
            <w:color w:val="0000EE"/>
          </w:rPr>
          <w:t>Report of RSM US LLP on Senior Securities Table.</w:t>
        </w:r>
      </w:hyperlink>
    </w:p>
    <w:p>
      <w:pPr>
        <w:spacing w:after="0" w:line="20" w:lineRule="exact"/>
        <w:rPr>
          <w:rFonts w:ascii="Arial" w:cs="Arial" w:eastAsia="Arial" w:hAnsi="Arial"/>
          <w:sz w:val="14"/>
          <w:szCs w:val="14"/>
          <w:u w:val="single" w:color="auto"/>
          <w:color w:val="0000EE"/>
        </w:rPr>
      </w:pPr>
      <w:r>
        <w:rPr>
          <w:rFonts w:ascii="Arial" w:cs="Arial" w:eastAsia="Arial" w:hAnsi="Arial"/>
          <w:sz w:val="14"/>
          <w:szCs w:val="14"/>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3455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7">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57" w:lineRule="exact"/>
        <w:rPr>
          <w:rFonts w:ascii="Arial" w:cs="Arial" w:eastAsia="Arial" w:hAnsi="Arial"/>
          <w:sz w:val="14"/>
          <w:szCs w:val="14"/>
          <w:u w:val="single" w:color="auto"/>
          <w:color w:val="0000EE"/>
        </w:rPr>
      </w:pPr>
    </w:p>
    <w:p>
      <w:pPr>
        <w:ind w:left="380" w:hanging="372"/>
        <w:spacing w:after="0"/>
        <w:tabs>
          <w:tab w:leader="none" w:pos="3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04" w:lineRule="exact"/>
        <w:rPr>
          <w:rFonts w:ascii="Arial" w:cs="Arial" w:eastAsia="Arial" w:hAnsi="Arial"/>
          <w:sz w:val="14"/>
          <w:szCs w:val="14"/>
          <w:u w:val="single" w:color="auto"/>
          <w:color w:val="0000EE"/>
        </w:rPr>
      </w:pPr>
    </w:p>
    <w:p>
      <w:pPr>
        <w:jc w:val="center"/>
        <w:ind w:right="-39"/>
        <w:spacing w:after="0"/>
        <w:rPr>
          <w:sz w:val="20"/>
          <w:szCs w:val="20"/>
          <w:color w:val="auto"/>
        </w:rPr>
      </w:pPr>
      <w:r>
        <w:rPr>
          <w:rFonts w:ascii="Arial" w:cs="Arial" w:eastAsia="Arial" w:hAnsi="Arial"/>
          <w:sz w:val="14"/>
          <w:szCs w:val="14"/>
          <w:color w:val="auto"/>
        </w:rPr>
        <w:t>90</w:t>
      </w:r>
    </w:p>
    <w:p>
      <w:pPr>
        <w:spacing w:after="0" w:line="20" w:lineRule="exact"/>
        <w:rPr>
          <w:rFonts w:ascii="Arial" w:cs="Arial" w:eastAsia="Arial" w:hAnsi="Arial"/>
          <w:sz w:val="14"/>
          <w:szCs w:val="14"/>
          <w:u w:val="single" w:color="auto"/>
          <w:color w:val="0000EE"/>
        </w:rPr>
      </w:pPr>
      <w:r>
        <w:rPr>
          <w:rFonts w:ascii="Arial" w:cs="Arial" w:eastAsia="Arial" w:hAnsi="Arial"/>
          <w:sz w:val="14"/>
          <w:szCs w:val="14"/>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90" w:name="page91"/>
    <w:bookmarkEnd w:id="90"/>
    <w:p>
      <w:pPr>
        <w:jc w:val="center"/>
        <w:spacing w:after="0"/>
        <w:rPr>
          <w:sz w:val="20"/>
          <w:szCs w:val="20"/>
          <w:color w:val="auto"/>
        </w:rPr>
      </w:pPr>
      <w:r>
        <w:rPr>
          <w:rFonts w:ascii="Arial" w:cs="Arial" w:eastAsia="Arial" w:hAnsi="Arial"/>
          <w:sz w:val="14"/>
          <w:szCs w:val="14"/>
          <w:b w:val="1"/>
          <w:bCs w:val="1"/>
          <w:color w:val="auto"/>
        </w:rPr>
        <w:t>SIGNATURES</w:t>
      </w:r>
    </w:p>
    <w:p>
      <w:pPr>
        <w:spacing w:after="0" w:line="140" w:lineRule="exact"/>
        <w:rPr>
          <w:sz w:val="20"/>
          <w:szCs w:val="20"/>
          <w:color w:val="auto"/>
        </w:rPr>
      </w:pPr>
    </w:p>
    <w:p>
      <w:pPr>
        <w:ind w:right="500" w:firstLine="438"/>
        <w:spacing w:after="0" w:line="253"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 on November 17, 2021.</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40" w:type="dxa"/>
            <w:vAlign w:val="bottom"/>
          </w:tcPr>
          <w:p>
            <w:pPr>
              <w:spacing w:after="0"/>
              <w:rPr>
                <w:sz w:val="20"/>
                <w:szCs w:val="20"/>
                <w:color w:val="auto"/>
              </w:rPr>
            </w:pPr>
            <w:r>
              <w:rPr>
                <w:rFonts w:ascii="Arial" w:cs="Arial" w:eastAsia="Arial" w:hAnsi="Arial"/>
                <w:sz w:val="14"/>
                <w:szCs w:val="14"/>
                <w:color w:val="auto"/>
              </w:rPr>
              <w:t>By:</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ARTHUR H. PENN</w:t>
            </w:r>
          </w:p>
        </w:tc>
      </w:tr>
      <w:tr>
        <w:trPr>
          <w:trHeight w:val="119"/>
        </w:trPr>
        <w:tc>
          <w:tcPr>
            <w:tcW w:w="740" w:type="dxa"/>
            <w:vAlign w:val="bottom"/>
          </w:tcPr>
          <w:p>
            <w:pPr>
              <w:spacing w:after="0" w:line="119" w:lineRule="exact"/>
              <w:rPr>
                <w:sz w:val="20"/>
                <w:szCs w:val="20"/>
                <w:color w:val="auto"/>
              </w:rPr>
            </w:pPr>
            <w:r>
              <w:rPr>
                <w:rFonts w:ascii="Arial" w:cs="Arial" w:eastAsia="Arial" w:hAnsi="Arial"/>
                <w:sz w:val="13"/>
                <w:szCs w:val="13"/>
                <w:color w:val="auto"/>
              </w:rPr>
              <w:t>Name:</w:t>
            </w:r>
          </w:p>
        </w:tc>
        <w:tc>
          <w:tcPr>
            <w:tcW w:w="3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Arthur H. Penn</w:t>
            </w:r>
          </w:p>
        </w:tc>
      </w:tr>
      <w:tr>
        <w:trPr>
          <w:trHeight w:val="148"/>
        </w:trPr>
        <w:tc>
          <w:tcPr>
            <w:tcW w:w="740" w:type="dxa"/>
            <w:vAlign w:val="bottom"/>
          </w:tcPr>
          <w:p>
            <w:pPr>
              <w:spacing w:after="0" w:line="149" w:lineRule="exact"/>
              <w:rPr>
                <w:sz w:val="20"/>
                <w:szCs w:val="20"/>
                <w:color w:val="auto"/>
              </w:rPr>
            </w:pPr>
            <w:r>
              <w:rPr>
                <w:rFonts w:ascii="Arial" w:cs="Arial" w:eastAsia="Arial" w:hAnsi="Arial"/>
                <w:sz w:val="14"/>
                <w:szCs w:val="14"/>
                <w:color w:val="auto"/>
              </w:rPr>
              <w:t>Title:</w:t>
            </w:r>
          </w:p>
        </w:tc>
        <w:tc>
          <w:tcPr>
            <w:tcW w:w="3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Chief Executive Officer and Chairman of the Board of</w:t>
            </w:r>
          </w:p>
        </w:tc>
      </w:tr>
      <w:tr>
        <w:trPr>
          <w:trHeight w:val="186"/>
        </w:trPr>
        <w:tc>
          <w:tcPr>
            <w:tcW w:w="740" w:type="dxa"/>
            <w:vAlign w:val="bottom"/>
          </w:tcPr>
          <w:p>
            <w:pPr>
              <w:spacing w:after="0"/>
              <w:rPr>
                <w:sz w:val="16"/>
                <w:szCs w:val="16"/>
                <w:color w:val="auto"/>
              </w:rPr>
            </w:pPr>
          </w:p>
        </w:tc>
        <w:tc>
          <w:tcPr>
            <w:tcW w:w="3740" w:type="dxa"/>
            <w:vAlign w:val="bottom"/>
          </w:tcPr>
          <w:p>
            <w:pPr>
              <w:jc w:val="center"/>
              <w:spacing w:after="0"/>
              <w:rPr>
                <w:sz w:val="20"/>
                <w:szCs w:val="20"/>
                <w:color w:val="auto"/>
              </w:rPr>
            </w:pPr>
            <w:r>
              <w:rPr>
                <w:rFonts w:ascii="Arial" w:cs="Arial" w:eastAsia="Arial" w:hAnsi="Arial"/>
                <w:sz w:val="14"/>
                <w:szCs w:val="14"/>
                <w:b w:val="1"/>
                <w:bCs w:val="1"/>
                <w:color w:val="auto"/>
                <w:w w:val="94"/>
              </w:rPr>
              <w:t>Directors</w:t>
            </w:r>
          </w:p>
        </w:tc>
      </w:tr>
    </w:tbl>
    <w:p>
      <w:pPr>
        <w:spacing w:after="0" w:line="101"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 w:type="dxa"/>
            <w:vAlign w:val="bottom"/>
          </w:tcPr>
          <w:p>
            <w:pPr>
              <w:spacing w:after="0"/>
              <w:rPr>
                <w:sz w:val="14"/>
                <w:szCs w:val="14"/>
                <w:color w:val="auto"/>
              </w:rPr>
            </w:pPr>
          </w:p>
        </w:tc>
        <w:tc>
          <w:tcPr>
            <w:tcW w:w="2940" w:type="dxa"/>
            <w:vAlign w:val="bottom"/>
          </w:tcPr>
          <w:p>
            <w:pPr>
              <w:ind w:left="106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4"/>
                <w:szCs w:val="14"/>
                <w:color w:val="auto"/>
              </w:rPr>
            </w:pPr>
          </w:p>
        </w:tc>
        <w:tc>
          <w:tcPr>
            <w:tcW w:w="5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Title</w:t>
            </w:r>
          </w:p>
        </w:tc>
        <w:tc>
          <w:tcPr>
            <w:tcW w:w="28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142"/>
        </w:trPr>
        <w:tc>
          <w:tcPr>
            <w:tcW w:w="2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/s/</w:t>
            </w:r>
          </w:p>
        </w:tc>
        <w:tc>
          <w:tcPr>
            <w:tcW w:w="29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color w:val="auto"/>
              </w:rPr>
              <w:t>ARTHUR H. PENN</w:t>
            </w:r>
          </w:p>
        </w:tc>
        <w:tc>
          <w:tcPr>
            <w:tcW w:w="120" w:type="dxa"/>
            <w:vAlign w:val="bottom"/>
          </w:tcPr>
          <w:p>
            <w:pPr>
              <w:spacing w:after="0"/>
              <w:rPr>
                <w:sz w:val="12"/>
                <w:szCs w:val="12"/>
                <w:color w:val="auto"/>
              </w:rPr>
            </w:pPr>
          </w:p>
        </w:tc>
        <w:tc>
          <w:tcPr>
            <w:tcW w:w="5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Chief Executive Officer and Chairman of the Board of Directors</w:t>
            </w:r>
          </w:p>
        </w:tc>
        <w:tc>
          <w:tcPr>
            <w:tcW w:w="120" w:type="dxa"/>
            <w:vAlign w:val="bottom"/>
          </w:tcPr>
          <w:p>
            <w:pPr>
              <w:spacing w:after="0"/>
              <w:rPr>
                <w:sz w:val="12"/>
                <w:szCs w:val="12"/>
                <w:color w:val="auto"/>
              </w:rPr>
            </w:pPr>
          </w:p>
        </w:tc>
        <w:tc>
          <w:tcPr>
            <w:tcW w:w="2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November 17, 2021</w:t>
            </w:r>
          </w:p>
        </w:tc>
      </w:tr>
      <w:tr>
        <w:trPr>
          <w:trHeight w:val="180"/>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Arthur H. Penn</w:t>
            </w:r>
          </w:p>
        </w:tc>
        <w:tc>
          <w:tcPr>
            <w:tcW w:w="120" w:type="dxa"/>
            <w:vAlign w:val="bottom"/>
          </w:tcPr>
          <w:p>
            <w:pPr>
              <w:spacing w:after="0"/>
              <w:rPr>
                <w:sz w:val="15"/>
                <w:szCs w:val="15"/>
                <w:color w:val="auto"/>
              </w:rPr>
            </w:pPr>
          </w:p>
        </w:tc>
        <w:tc>
          <w:tcPr>
            <w:tcW w:w="51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(Principal Executive Officer)</w:t>
            </w:r>
          </w:p>
        </w:tc>
        <w:tc>
          <w:tcPr>
            <w:tcW w:w="2800" w:type="dxa"/>
            <w:vAlign w:val="bottom"/>
          </w:tcPr>
          <w:p>
            <w:pPr>
              <w:spacing w:after="0"/>
              <w:rPr>
                <w:sz w:val="15"/>
                <w:szCs w:val="15"/>
                <w:color w:val="auto"/>
              </w:rPr>
            </w:pPr>
          </w:p>
        </w:tc>
      </w:tr>
      <w:tr>
        <w:trPr>
          <w:trHeight w:val="232"/>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29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RICHARD CHEUNG</w:t>
            </w:r>
          </w:p>
        </w:tc>
        <w:tc>
          <w:tcPr>
            <w:tcW w:w="120" w:type="dxa"/>
            <w:vAlign w:val="bottom"/>
          </w:tcPr>
          <w:p>
            <w:pPr>
              <w:spacing w:after="0"/>
              <w:rPr>
                <w:sz w:val="20"/>
                <w:szCs w:val="20"/>
                <w:color w:val="auto"/>
              </w:rPr>
            </w:pPr>
          </w:p>
        </w:tc>
        <w:tc>
          <w:tcPr>
            <w:tcW w:w="51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Chief Financial Officer and Treasurer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17, 2021</w:t>
            </w:r>
          </w:p>
        </w:tc>
      </w:tr>
      <w:tr>
        <w:trPr>
          <w:trHeight w:val="180"/>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Richard Cheung</w:t>
            </w:r>
          </w:p>
        </w:tc>
        <w:tc>
          <w:tcPr>
            <w:tcW w:w="120" w:type="dxa"/>
            <w:vAlign w:val="bottom"/>
          </w:tcPr>
          <w:p>
            <w:pPr>
              <w:spacing w:after="0"/>
              <w:rPr>
                <w:sz w:val="15"/>
                <w:szCs w:val="15"/>
                <w:color w:val="auto"/>
              </w:rPr>
            </w:pPr>
          </w:p>
        </w:tc>
        <w:tc>
          <w:tcPr>
            <w:tcW w:w="516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(Principal Financial and Accounting Officer)</w:t>
            </w:r>
          </w:p>
        </w:tc>
        <w:tc>
          <w:tcPr>
            <w:tcW w:w="2800" w:type="dxa"/>
            <w:vAlign w:val="bottom"/>
          </w:tcPr>
          <w:p>
            <w:pPr>
              <w:spacing w:after="0"/>
              <w:rPr>
                <w:sz w:val="15"/>
                <w:szCs w:val="15"/>
                <w:color w:val="auto"/>
              </w:rPr>
            </w:pPr>
          </w:p>
        </w:tc>
      </w:tr>
      <w:tr>
        <w:trPr>
          <w:trHeight w:val="232"/>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29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ADAM K. BERNSTEIN</w:t>
            </w:r>
          </w:p>
        </w:tc>
        <w:tc>
          <w:tcPr>
            <w:tcW w:w="120" w:type="dxa"/>
            <w:vAlign w:val="bottom"/>
          </w:tcPr>
          <w:p>
            <w:pPr>
              <w:spacing w:after="0"/>
              <w:rPr>
                <w:sz w:val="20"/>
                <w:szCs w:val="20"/>
                <w:color w:val="auto"/>
              </w:rPr>
            </w:pPr>
          </w:p>
        </w:tc>
        <w:tc>
          <w:tcPr>
            <w:tcW w:w="51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17, 2021</w:t>
            </w:r>
          </w:p>
        </w:tc>
      </w:tr>
      <w:tr>
        <w:trPr>
          <w:trHeight w:val="180"/>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Adam K. Bernstein</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232"/>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29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JEFFREY FLUG</w:t>
            </w:r>
          </w:p>
        </w:tc>
        <w:tc>
          <w:tcPr>
            <w:tcW w:w="120" w:type="dxa"/>
            <w:vAlign w:val="bottom"/>
          </w:tcPr>
          <w:p>
            <w:pPr>
              <w:spacing w:after="0"/>
              <w:rPr>
                <w:sz w:val="20"/>
                <w:szCs w:val="20"/>
                <w:color w:val="auto"/>
              </w:rPr>
            </w:pPr>
          </w:p>
        </w:tc>
        <w:tc>
          <w:tcPr>
            <w:tcW w:w="51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17, 2021</w:t>
            </w:r>
          </w:p>
        </w:tc>
      </w:tr>
      <w:tr>
        <w:trPr>
          <w:trHeight w:val="180"/>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Jeffrey Flug</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232"/>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29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MARSHALL BROZOST</w:t>
            </w:r>
          </w:p>
        </w:tc>
        <w:tc>
          <w:tcPr>
            <w:tcW w:w="120" w:type="dxa"/>
            <w:vAlign w:val="bottom"/>
          </w:tcPr>
          <w:p>
            <w:pPr>
              <w:spacing w:after="0"/>
              <w:rPr>
                <w:sz w:val="20"/>
                <w:szCs w:val="20"/>
                <w:color w:val="auto"/>
              </w:rPr>
            </w:pPr>
          </w:p>
        </w:tc>
        <w:tc>
          <w:tcPr>
            <w:tcW w:w="51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17, 2021</w:t>
            </w:r>
          </w:p>
        </w:tc>
      </w:tr>
      <w:tr>
        <w:trPr>
          <w:trHeight w:val="180"/>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Marshall Brozost</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232"/>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29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SAMUEL L. KATZ</w:t>
            </w:r>
          </w:p>
        </w:tc>
        <w:tc>
          <w:tcPr>
            <w:tcW w:w="120" w:type="dxa"/>
            <w:vAlign w:val="bottom"/>
          </w:tcPr>
          <w:p>
            <w:pPr>
              <w:spacing w:after="0"/>
              <w:rPr>
                <w:sz w:val="20"/>
                <w:szCs w:val="20"/>
                <w:color w:val="auto"/>
              </w:rPr>
            </w:pPr>
          </w:p>
        </w:tc>
        <w:tc>
          <w:tcPr>
            <w:tcW w:w="51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17, 2021</w:t>
            </w:r>
          </w:p>
        </w:tc>
      </w:tr>
      <w:tr>
        <w:trPr>
          <w:trHeight w:val="180"/>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Samuel L. Katz</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490"/>
        </w:trPr>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160" w:type="dxa"/>
            <w:vAlign w:val="bottom"/>
            <w:gridSpan w:val="2"/>
          </w:tcPr>
          <w:p>
            <w:pPr>
              <w:jc w:val="right"/>
              <w:ind w:right="2548"/>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ectPr>
          <w:pgSz w:w="11900" w:h="16838" w:orient="portrait"/>
          <w:cols w:equalWidth="0" w:num="1">
            <w:col w:w="11240"/>
          </w:cols>
          <w:pgMar w:left="320" w:top="306"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4"/>
          <w:szCs w:val="14"/>
          <w:b w:val="1"/>
          <w:bCs w:val="1"/>
          <w:color w:val="auto"/>
        </w:rPr>
        <w:t>EXHIBIT 14.1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JOINT CODE OF ETHICS</w:t>
      </w:r>
    </w:p>
    <w:p>
      <w:pPr>
        <w:jc w:val="center"/>
        <w:spacing w:after="0" w:line="226" w:lineRule="auto"/>
        <w:rPr>
          <w:sz w:val="20"/>
          <w:szCs w:val="20"/>
          <w:color w:val="auto"/>
        </w:rPr>
      </w:pPr>
      <w:r>
        <w:rPr>
          <w:rFonts w:ascii="Arial" w:cs="Arial" w:eastAsia="Arial" w:hAnsi="Arial"/>
          <w:sz w:val="14"/>
          <w:szCs w:val="14"/>
          <w:b w:val="1"/>
          <w:bCs w:val="1"/>
          <w:color w:val="auto"/>
        </w:rPr>
        <w:t>FOR</w:t>
      </w:r>
    </w:p>
    <w:p>
      <w:pPr>
        <w:jc w:val="center"/>
        <w:spacing w:after="0" w:line="221" w:lineRule="auto"/>
        <w:rPr>
          <w:sz w:val="20"/>
          <w:szCs w:val="20"/>
          <w:color w:val="auto"/>
        </w:rPr>
      </w:pPr>
      <w:r>
        <w:rPr>
          <w:rFonts w:ascii="Arial" w:cs="Arial" w:eastAsia="Arial" w:hAnsi="Arial"/>
          <w:sz w:val="14"/>
          <w:szCs w:val="14"/>
          <w:b w:val="1"/>
          <w:bCs w:val="1"/>
          <w:color w:val="auto"/>
        </w:rPr>
        <w:t>PENNANTPARK INVESTMENT CORPORATION</w:t>
      </w:r>
    </w:p>
    <w:p>
      <w:pPr>
        <w:jc w:val="center"/>
        <w:spacing w:after="0" w:line="222" w:lineRule="auto"/>
        <w:rPr>
          <w:sz w:val="20"/>
          <w:szCs w:val="20"/>
          <w:color w:val="auto"/>
        </w:rPr>
      </w:pPr>
      <w:r>
        <w:rPr>
          <w:rFonts w:ascii="Arial" w:cs="Arial" w:eastAsia="Arial" w:hAnsi="Arial"/>
          <w:sz w:val="14"/>
          <w:szCs w:val="14"/>
          <w:b w:val="1"/>
          <w:bCs w:val="1"/>
          <w:color w:val="auto"/>
        </w:rPr>
        <w:t>PENNANTPARK FLOATING RATE CAPITAL LTD.</w:t>
      </w:r>
    </w:p>
    <w:p>
      <w:pPr>
        <w:jc w:val="center"/>
        <w:spacing w:after="0"/>
        <w:rPr>
          <w:sz w:val="20"/>
          <w:szCs w:val="20"/>
          <w:color w:val="auto"/>
        </w:rPr>
      </w:pPr>
      <w:r>
        <w:rPr>
          <w:rFonts w:ascii="Arial" w:cs="Arial" w:eastAsia="Arial" w:hAnsi="Arial"/>
          <w:sz w:val="14"/>
          <w:szCs w:val="14"/>
          <w:b w:val="1"/>
          <w:bCs w:val="1"/>
          <w:color w:val="auto"/>
        </w:rPr>
        <w:t>PENNANTPARK INVESTMENT ADVISERS, LLC</w:t>
      </w:r>
    </w:p>
    <w:p>
      <w:pPr>
        <w:spacing w:after="0" w:line="336"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Section I</w:t>
      </w:r>
      <w:r>
        <w:rPr>
          <w:sz w:val="20"/>
          <w:szCs w:val="20"/>
          <w:color w:val="auto"/>
        </w:rPr>
        <w:tab/>
      </w:r>
      <w:r>
        <w:rPr>
          <w:rFonts w:ascii="Arial" w:cs="Arial" w:eastAsia="Arial" w:hAnsi="Arial"/>
          <w:sz w:val="13"/>
          <w:szCs w:val="13"/>
          <w:b w:val="1"/>
          <w:bCs w:val="1"/>
          <w:color w:val="auto"/>
        </w:rPr>
        <w:t>of General Fiduciary Principles</w:t>
      </w:r>
    </w:p>
    <w:p>
      <w:pPr>
        <w:spacing w:after="0" w:line="100" w:lineRule="exact"/>
        <w:rPr>
          <w:sz w:val="20"/>
          <w:szCs w:val="20"/>
          <w:color w:val="auto"/>
        </w:rPr>
      </w:pPr>
    </w:p>
    <w:p>
      <w:pPr>
        <w:jc w:val="both"/>
        <w:ind w:firstLine="729"/>
        <w:spacing w:after="0" w:line="228" w:lineRule="auto"/>
        <w:rPr>
          <w:sz w:val="20"/>
          <w:szCs w:val="20"/>
          <w:color w:val="auto"/>
        </w:rPr>
      </w:pPr>
      <w:r>
        <w:rPr>
          <w:rFonts w:ascii="Arial" w:cs="Arial" w:eastAsia="Arial" w:hAnsi="Arial"/>
          <w:sz w:val="14"/>
          <w:szCs w:val="14"/>
          <w:color w:val="auto"/>
        </w:rPr>
        <w:t>This Joint Code of Ethics (the “Code”) has been adopted by each of PennantPark Investment Corporation, PennantPark Floating Rate Capital, Ltd. (each individually, the “Corporation”), and PennantPark Investment Advisers, LLC, the Corporations’ investment adviser (the “Adviser”), in compliance with Rule 17j-1 under the Investment Company Act of 1940 (the “Act”) and Section 204A of the Investment Advisers Act of 1940 (the “Advisers Act”). The purpose of the Code is to establish standards and procedures for the detection and prevention of activities by which persons having knowledge of the investments and investment intentions of the Corporations may abuse their fiduciary duty to the Corporations, and otherwise to deal with the types of conflict of interest situations to which Rule 17j-1 is addressed. As it relates to Section 204A of the Advisers Act, the purpose of this Code is to establish procedures that, taking into consideration the nature of the Adviser’s business, are reasonably designed to prevent misuse of material non-public information in violation of the federal securities laws by persons associated with the Adviser.</w:t>
      </w:r>
    </w:p>
    <w:p>
      <w:pPr>
        <w:spacing w:after="0" w:line="77" w:lineRule="exact"/>
        <w:rPr>
          <w:sz w:val="20"/>
          <w:szCs w:val="20"/>
          <w:color w:val="auto"/>
        </w:rPr>
      </w:pPr>
    </w:p>
    <w:p>
      <w:pPr>
        <w:jc w:val="both"/>
        <w:ind w:firstLine="729"/>
        <w:spacing w:after="0" w:line="251" w:lineRule="auto"/>
        <w:rPr>
          <w:sz w:val="20"/>
          <w:szCs w:val="20"/>
          <w:color w:val="auto"/>
        </w:rPr>
      </w:pPr>
      <w:r>
        <w:rPr>
          <w:rFonts w:ascii="Arial" w:cs="Arial" w:eastAsia="Arial" w:hAnsi="Arial"/>
          <w:sz w:val="13"/>
          <w:szCs w:val="13"/>
          <w:color w:val="auto"/>
        </w:rPr>
        <w:t>The Code is based on the principle that the directors and officers of the Corporations, and the managers, partners, officers and employees of the Adviser, who provide services to the Corporations, owe a fiduciary duty to the Corporations to conduct their personal securities transactions in a manner that does not interfere with the Corporations’ transactions or otherwise take unfair advantage of their relationship with the Corporations. All directors, managers, partners, officers and employees of the Corporations, and the Adviser (“Covered Personnel”) are expected to adhere to this general principle as well as to comply with all of the specific provisions of this Code that are applicable to them. Any Covered Personnel who is affiliated with another entity that is a registered investment adviser is, in addition, expected to comply with the provisions of the code of ethics that has been adopted by such other investment adviser.</w:t>
      </w:r>
    </w:p>
    <w:p>
      <w:pPr>
        <w:spacing w:after="0" w:line="69" w:lineRule="exact"/>
        <w:rPr>
          <w:sz w:val="20"/>
          <w:szCs w:val="20"/>
          <w:color w:val="auto"/>
        </w:rPr>
      </w:pPr>
    </w:p>
    <w:p>
      <w:pPr>
        <w:jc w:val="both"/>
        <w:ind w:firstLine="729"/>
        <w:spacing w:after="0" w:line="238" w:lineRule="auto"/>
        <w:rPr>
          <w:sz w:val="20"/>
          <w:szCs w:val="20"/>
          <w:color w:val="auto"/>
        </w:rPr>
      </w:pPr>
      <w:r>
        <w:rPr>
          <w:rFonts w:ascii="Arial" w:cs="Arial" w:eastAsia="Arial" w:hAnsi="Arial"/>
          <w:sz w:val="14"/>
          <w:szCs w:val="14"/>
          <w:color w:val="auto"/>
        </w:rPr>
        <w:t>Technical compliance with the Code will not automatically insulate any Covered Personnel from scrutiny of transactions that show a pattern of compromise or abuse of the individual’s fiduciary duty to the Corporation. Accordingly, all Covered Personnel must seek to avoid any actual or potential conflicts between their personal interests and the interests of the Corporation and its shareholders. In sum, all Covered Personnel shall place the interests of the Corporation before their own personal interests.</w:t>
      </w:r>
    </w:p>
    <w:p>
      <w:pPr>
        <w:spacing w:after="0" w:line="75" w:lineRule="exact"/>
        <w:rPr>
          <w:sz w:val="20"/>
          <w:szCs w:val="20"/>
          <w:color w:val="auto"/>
        </w:rPr>
      </w:pPr>
    </w:p>
    <w:p>
      <w:pPr>
        <w:ind w:left="740"/>
        <w:spacing w:after="0"/>
        <w:rPr>
          <w:sz w:val="20"/>
          <w:szCs w:val="20"/>
          <w:color w:val="auto"/>
        </w:rPr>
      </w:pPr>
      <w:r>
        <w:rPr>
          <w:rFonts w:ascii="Arial" w:cs="Arial" w:eastAsia="Arial" w:hAnsi="Arial"/>
          <w:sz w:val="14"/>
          <w:szCs w:val="14"/>
          <w:color w:val="auto"/>
        </w:rPr>
        <w:t>All Covered Personnel must read and retain this Code.</w:t>
      </w:r>
    </w:p>
    <w:p>
      <w:pPr>
        <w:spacing w:after="0" w:line="348" w:lineRule="exact"/>
        <w:rPr>
          <w:sz w:val="20"/>
          <w:szCs w:val="20"/>
          <w:color w:val="auto"/>
        </w:rPr>
      </w:pPr>
    </w:p>
    <w:p>
      <w:pPr>
        <w:spacing w:after="0"/>
        <w:tabs>
          <w:tab w:leader="none" w:pos="1240" w:val="left"/>
        </w:tabs>
        <w:rPr>
          <w:sz w:val="20"/>
          <w:szCs w:val="20"/>
          <w:color w:val="auto"/>
        </w:rPr>
      </w:pPr>
      <w:r>
        <w:rPr>
          <w:rFonts w:ascii="Arial" w:cs="Arial" w:eastAsia="Arial" w:hAnsi="Arial"/>
          <w:sz w:val="14"/>
          <w:szCs w:val="14"/>
          <w:b w:val="1"/>
          <w:bCs w:val="1"/>
          <w:color w:val="auto"/>
        </w:rPr>
        <w:t>Section II</w:t>
      </w:r>
      <w:r>
        <w:rPr>
          <w:sz w:val="20"/>
          <w:szCs w:val="20"/>
          <w:color w:val="auto"/>
        </w:rPr>
        <w:tab/>
      </w:r>
      <w:r>
        <w:rPr>
          <w:rFonts w:ascii="Arial" w:cs="Arial" w:eastAsia="Arial" w:hAnsi="Arial"/>
          <w:sz w:val="12"/>
          <w:szCs w:val="12"/>
          <w:b w:val="1"/>
          <w:bCs w:val="1"/>
          <w:color w:val="auto"/>
        </w:rPr>
        <w:t>Definitions</w:t>
      </w:r>
    </w:p>
    <w:p>
      <w:pPr>
        <w:spacing w:after="0" w:line="100" w:lineRule="exact"/>
        <w:rPr>
          <w:sz w:val="20"/>
          <w:szCs w:val="20"/>
          <w:color w:val="auto"/>
        </w:rPr>
      </w:pPr>
    </w:p>
    <w:p>
      <w:pPr>
        <w:ind w:left="820" w:hanging="448"/>
        <w:spacing w:after="0"/>
        <w:tabs>
          <w:tab w:leader="none" w:pos="8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“Access Person” means any director, officer, general partner or Advisory Person (as defined below) of the Corporations or the Adviser.</w:t>
      </w:r>
    </w:p>
    <w:p>
      <w:pPr>
        <w:spacing w:after="0" w:line="190" w:lineRule="exact"/>
        <w:rPr>
          <w:rFonts w:ascii="Arial" w:cs="Arial" w:eastAsia="Arial" w:hAnsi="Arial"/>
          <w:sz w:val="14"/>
          <w:szCs w:val="14"/>
          <w:color w:val="auto"/>
        </w:rPr>
      </w:pPr>
    </w:p>
    <w:p>
      <w:pPr>
        <w:jc w:val="both"/>
        <w:ind w:left="820" w:hanging="448"/>
        <w:spacing w:after="0" w:line="231" w:lineRule="auto"/>
        <w:tabs>
          <w:tab w:leader="none" w:pos="8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An “Advisory Person” of the Corporation or the Adviser means: (i) any employee of the Corporation or the Adviser, or any company in a Control (as defined below) relationship to the Corporation or the Adviser, who in connection with his or her regular functions or duties makes, participates in, or obtains information regarding the purchase or sale of any Covered Security (as defined below) by the Corporation, or whose functions relate to the making of any recommendation with respect to such purchases or sales; and (ii) any natural person in a Control relationship to the Corporation or the Adviser, who obtains information concerning recommendations made to the Corporation with regard to the purchase or sale of any Covered Security by the Corporation.</w:t>
      </w:r>
    </w:p>
    <w:p>
      <w:pPr>
        <w:spacing w:after="0" w:line="75" w:lineRule="exact"/>
        <w:rPr>
          <w:rFonts w:ascii="Arial" w:cs="Arial" w:eastAsia="Arial" w:hAnsi="Arial"/>
          <w:sz w:val="14"/>
          <w:szCs w:val="14"/>
          <w:color w:val="auto"/>
        </w:rPr>
      </w:pPr>
    </w:p>
    <w:p>
      <w:pPr>
        <w:ind w:left="820" w:hanging="448"/>
        <w:spacing w:after="0" w:line="253" w:lineRule="auto"/>
        <w:tabs>
          <w:tab w:leader="none" w:pos="8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“Beneficial Ownership” is interpreted in the same manner as it would be under Rule 16a-1(a)(2) under the Securities Exchange Act of 1934 (the “1934 Act”) in determining whether a person is a beneficial owner of a security for purposes of Section 16 of the 1934 Act and the rules and regulations thereunder.</w:t>
      </w:r>
    </w:p>
    <w:p>
      <w:pPr>
        <w:spacing w:after="0" w:line="65" w:lineRule="exact"/>
        <w:rPr>
          <w:rFonts w:ascii="Arial" w:cs="Arial" w:eastAsia="Arial" w:hAnsi="Arial"/>
          <w:sz w:val="14"/>
          <w:szCs w:val="14"/>
          <w:color w:val="auto"/>
        </w:rPr>
      </w:pPr>
    </w:p>
    <w:p>
      <w:pPr>
        <w:ind w:left="820" w:hanging="448"/>
        <w:spacing w:after="0" w:line="253" w:lineRule="auto"/>
        <w:tabs>
          <w:tab w:leader="none" w:pos="8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“Chief Compliance Officer” means the Chief Compliance Officer of the Corporation (who also may serve as the compliance officer of the Adviser and/or one or more affiliates of the Adviser).</w:t>
      </w:r>
    </w:p>
    <w:p>
      <w:pPr>
        <w:spacing w:after="0" w:line="65" w:lineRule="exact"/>
        <w:rPr>
          <w:rFonts w:ascii="Arial" w:cs="Arial" w:eastAsia="Arial" w:hAnsi="Arial"/>
          <w:sz w:val="14"/>
          <w:szCs w:val="14"/>
          <w:color w:val="auto"/>
        </w:rPr>
      </w:pPr>
    </w:p>
    <w:p>
      <w:pPr>
        <w:ind w:left="820" w:hanging="448"/>
        <w:spacing w:after="0"/>
        <w:tabs>
          <w:tab w:leader="none" w:pos="8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“Control” shall have the same meaning as that set forth in Section 2(a)(9) of the Act.</w:t>
      </w:r>
    </w:p>
    <w:p>
      <w:pPr>
        <w:spacing w:after="0" w:line="190" w:lineRule="exact"/>
        <w:rPr>
          <w:rFonts w:ascii="Arial" w:cs="Arial" w:eastAsia="Arial" w:hAnsi="Arial"/>
          <w:sz w:val="14"/>
          <w:szCs w:val="14"/>
          <w:color w:val="auto"/>
        </w:rPr>
      </w:pPr>
    </w:p>
    <w:p>
      <w:pPr>
        <w:jc w:val="both"/>
        <w:ind w:left="820" w:hanging="448"/>
        <w:spacing w:after="0" w:line="242" w:lineRule="auto"/>
        <w:tabs>
          <w:tab w:leader="none" w:pos="820" w:val="left"/>
        </w:tabs>
        <w:numPr>
          <w:ilvl w:val="0"/>
          <w:numId w:val="96"/>
        </w:numPr>
        <w:rPr>
          <w:rFonts w:ascii="Arial" w:cs="Arial" w:eastAsia="Arial" w:hAnsi="Arial"/>
          <w:sz w:val="13"/>
          <w:szCs w:val="13"/>
          <w:color w:val="auto"/>
        </w:rPr>
      </w:pPr>
      <w:r>
        <w:rPr>
          <w:rFonts w:ascii="Arial" w:cs="Arial" w:eastAsia="Arial" w:hAnsi="Arial"/>
          <w:sz w:val="13"/>
          <w:szCs w:val="13"/>
          <w:color w:val="auto"/>
        </w:rPr>
        <w:t>“Covered Security” means a security as defined in Section 2(a)(36) of the Act, which includes: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 Except that “Covered Security” does not include: (i) direct obligations of the Government of the United States; (ii) bankers’ acceptances, bank certificates of deposit, commercial paper and high quality short-term debt instruments, including repurchase agreements; and (iii) shares issued by open-end investment companies registered under the Act. References to a Covered Security in this Code (e.g.,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“Derivatives”). Therefore, except as otherwise specifically provided by this Code: (i) any prohibition or requirement of this Code applicable to the purchase or sale of a Covered Security shall also be applicable to the purchase or sale of a Derivative relating to that Covered Security; and (ii) any prohibition or requirement of this Code applicable to the purchase or sale of a Derivative shall also be applicable to the purchase or sale of a Covered Security relating to that Derivative.</w:t>
      </w:r>
    </w:p>
    <w:p>
      <w:pPr>
        <w:spacing w:after="0" w:line="78" w:lineRule="exact"/>
        <w:rPr>
          <w:rFonts w:ascii="Arial" w:cs="Arial" w:eastAsia="Arial" w:hAnsi="Arial"/>
          <w:sz w:val="13"/>
          <w:szCs w:val="13"/>
          <w:color w:val="auto"/>
        </w:rPr>
      </w:pPr>
    </w:p>
    <w:p>
      <w:pPr>
        <w:ind w:left="820" w:hanging="448"/>
        <w:spacing w:after="0"/>
        <w:tabs>
          <w:tab w:leader="none" w:pos="8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“Independent Director” means a director of the Corporation who is not an “interested person” of the Corporation within the meaning of Section 2(a)(19) of the Act.</w:t>
      </w:r>
    </w:p>
    <w:p>
      <w:pPr>
        <w:spacing w:after="0" w:line="190" w:lineRule="exact"/>
        <w:rPr>
          <w:rFonts w:ascii="Arial" w:cs="Arial" w:eastAsia="Arial" w:hAnsi="Arial"/>
          <w:sz w:val="14"/>
          <w:szCs w:val="14"/>
          <w:color w:val="auto"/>
        </w:rPr>
      </w:pPr>
    </w:p>
    <w:p>
      <w:pPr>
        <w:ind w:left="820" w:hanging="448"/>
        <w:spacing w:after="0" w:line="253" w:lineRule="auto"/>
        <w:tabs>
          <w:tab w:leader="none" w:pos="8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“Initial Public Offering” means an offering of securities registered under the Securities Act of 1933 (the “1933 Act”), the issuer of which, immediately before the registration, was not subject to the reporting requirements of Sections 13 or 15(d) of the 1934 Act.</w:t>
      </w:r>
    </w:p>
    <w:p>
      <w:pPr>
        <w:spacing w:after="0" w:line="65" w:lineRule="exact"/>
        <w:rPr>
          <w:rFonts w:ascii="Arial" w:cs="Arial" w:eastAsia="Arial" w:hAnsi="Arial"/>
          <w:sz w:val="14"/>
          <w:szCs w:val="14"/>
          <w:color w:val="auto"/>
        </w:rPr>
      </w:pPr>
    </w:p>
    <w:p>
      <w:pPr>
        <w:ind w:left="820" w:hanging="448"/>
        <w:spacing w:after="0" w:line="253" w:lineRule="auto"/>
        <w:tabs>
          <w:tab w:leader="none" w:pos="8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“Limited Offering” means an offering that is exempt from registration under the 1933 Act pursuant to Section 4(2) or Section 4(6) thereof or pursuant to Rule 504, Rule 505, or Rule 506 thereunder.</w:t>
      </w:r>
    </w:p>
    <w:p>
      <w:pPr>
        <w:spacing w:after="0" w:line="65" w:lineRule="exact"/>
        <w:rPr>
          <w:rFonts w:ascii="Arial" w:cs="Arial" w:eastAsia="Arial" w:hAnsi="Arial"/>
          <w:sz w:val="14"/>
          <w:szCs w:val="14"/>
          <w:color w:val="auto"/>
        </w:rPr>
      </w:pPr>
    </w:p>
    <w:p>
      <w:pPr>
        <w:ind w:left="820" w:hanging="448"/>
        <w:spacing w:after="0" w:line="253" w:lineRule="auto"/>
        <w:tabs>
          <w:tab w:leader="none" w:pos="8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“Restricted List” means the “Pipeline” report of potential investments combined with the current holdings of the clients. PennantPark Access Persons are restricted from trading any security on the Restricted List.</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92" w:name="page93"/>
    <w:bookmarkEnd w:id="92"/>
    <w:p>
      <w:pPr>
        <w:jc w:val="both"/>
        <w:ind w:left="820" w:hanging="448"/>
        <w:spacing w:after="0" w:line="238" w:lineRule="auto"/>
        <w:tabs>
          <w:tab w:leader="none" w:pos="8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“Security Held or to be Acquired” by the Corporation means: (i) any Covered Security which, within the most recent 15 days: (A) is or has been held by the Corporation; or (B) is being or has been considered by the Corporation or the Adviser for purchase by the Corporation; and (ii) any option to purchase or sell, and any security convertible into or exchangeable for, a Covered Security described in Section II (K)(i).</w:t>
      </w:r>
    </w:p>
    <w:p>
      <w:pPr>
        <w:spacing w:after="0" w:line="74" w:lineRule="exact"/>
        <w:rPr>
          <w:rFonts w:ascii="Arial" w:cs="Arial" w:eastAsia="Arial" w:hAnsi="Arial"/>
          <w:sz w:val="14"/>
          <w:szCs w:val="14"/>
          <w:color w:val="auto"/>
        </w:rPr>
      </w:pPr>
    </w:p>
    <w:p>
      <w:pPr>
        <w:ind w:left="820" w:hanging="448"/>
        <w:spacing w:after="0"/>
        <w:tabs>
          <w:tab w:leader="none" w:pos="8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“17j-1 Organization” means the Corporation or the Adviser, as the context requires.</w:t>
      </w:r>
    </w:p>
    <w:p>
      <w:pPr>
        <w:spacing w:after="0" w:line="200" w:lineRule="exact"/>
        <w:rPr>
          <w:sz w:val="20"/>
          <w:szCs w:val="20"/>
          <w:color w:val="auto"/>
        </w:rPr>
      </w:pPr>
    </w:p>
    <w:p>
      <w:pPr>
        <w:spacing w:after="0" w:line="243" w:lineRule="exact"/>
        <w:rPr>
          <w:sz w:val="20"/>
          <w:szCs w:val="20"/>
          <w:color w:val="auto"/>
        </w:rPr>
      </w:pPr>
    </w:p>
    <w:p>
      <w:pPr>
        <w:spacing w:after="0"/>
        <w:tabs>
          <w:tab w:leader="none" w:pos="1280" w:val="left"/>
        </w:tabs>
        <w:rPr>
          <w:sz w:val="20"/>
          <w:szCs w:val="20"/>
          <w:color w:val="auto"/>
        </w:rPr>
      </w:pPr>
      <w:r>
        <w:rPr>
          <w:rFonts w:ascii="Arial" w:cs="Arial" w:eastAsia="Arial" w:hAnsi="Arial"/>
          <w:sz w:val="14"/>
          <w:szCs w:val="14"/>
          <w:b w:val="1"/>
          <w:bCs w:val="1"/>
          <w:color w:val="auto"/>
        </w:rPr>
        <w:t>Section III</w:t>
      </w:r>
      <w:r>
        <w:rPr>
          <w:sz w:val="20"/>
          <w:szCs w:val="20"/>
          <w:color w:val="auto"/>
        </w:rPr>
        <w:tab/>
      </w:r>
      <w:r>
        <w:rPr>
          <w:rFonts w:ascii="Arial" w:cs="Arial" w:eastAsia="Arial" w:hAnsi="Arial"/>
          <w:sz w:val="13"/>
          <w:szCs w:val="13"/>
          <w:b w:val="1"/>
          <w:bCs w:val="1"/>
          <w:color w:val="auto"/>
        </w:rPr>
        <w:t>Objective and General Prohibitions</w:t>
      </w:r>
    </w:p>
    <w:p>
      <w:pPr>
        <w:spacing w:after="0" w:line="100" w:lineRule="exact"/>
        <w:rPr>
          <w:sz w:val="20"/>
          <w:szCs w:val="20"/>
          <w:color w:val="auto"/>
        </w:rPr>
      </w:pPr>
    </w:p>
    <w:p>
      <w:pPr>
        <w:jc w:val="both"/>
        <w:ind w:firstLine="729"/>
        <w:spacing w:after="0" w:line="238" w:lineRule="auto"/>
        <w:rPr>
          <w:sz w:val="20"/>
          <w:szCs w:val="20"/>
          <w:color w:val="auto"/>
        </w:rPr>
      </w:pPr>
      <w:r>
        <w:rPr>
          <w:rFonts w:ascii="Arial" w:cs="Arial" w:eastAsia="Arial" w:hAnsi="Arial"/>
          <w:sz w:val="14"/>
          <w:szCs w:val="14"/>
          <w:color w:val="auto"/>
        </w:rPr>
        <w:t>Covered Personnel may not engage in any investment transaction under circumstances in which the Covered Personnel benefits from or interferes with the purchase or sale of investments by the Corporation. In addition, Covered Personnel may not use information concerning the investments or investment intentions of the Corporation, or their ability to influence such investment intentions, for personal gain or in a manner detrimental to the interests of the Corporation.</w:t>
      </w:r>
    </w:p>
    <w:p>
      <w:pPr>
        <w:spacing w:after="0" w:line="75" w:lineRule="exact"/>
        <w:rPr>
          <w:sz w:val="20"/>
          <w:szCs w:val="20"/>
          <w:color w:val="auto"/>
        </w:rPr>
      </w:pPr>
    </w:p>
    <w:p>
      <w:pPr>
        <w:jc w:val="both"/>
        <w:ind w:firstLine="729"/>
        <w:spacing w:after="0" w:line="264" w:lineRule="auto"/>
        <w:rPr>
          <w:sz w:val="20"/>
          <w:szCs w:val="20"/>
          <w:color w:val="auto"/>
        </w:rPr>
      </w:pPr>
      <w:r>
        <w:rPr>
          <w:rFonts w:ascii="Arial" w:cs="Arial" w:eastAsia="Arial" w:hAnsi="Arial"/>
          <w:sz w:val="13"/>
          <w:szCs w:val="13"/>
          <w:color w:val="auto"/>
        </w:rPr>
        <w:t>Covered Personnel may not engage in conduct that is deceitful, fraudulent or manipulative, or that involves false or misleading statements, in connection with the purchase or sale of investments by the Corporation. In this regard, Covered Personnel should recognize that Rule 17j-1 makes it unlawful for any affiliated person of the Corporation, or any affiliated person of an investment adviser for the Corporation, in connection with the purchase or sale, directly or indirectly, by the person of a Security Held or to be Acquired by the Corporation to:</w:t>
      </w:r>
    </w:p>
    <w:p>
      <w:pPr>
        <w:spacing w:after="0" w:line="60" w:lineRule="exact"/>
        <w:rPr>
          <w:sz w:val="20"/>
          <w:szCs w:val="20"/>
          <w:color w:val="auto"/>
        </w:rPr>
      </w:pPr>
    </w:p>
    <w:p>
      <w:pPr>
        <w:ind w:left="1080" w:hanging="357"/>
        <w:spacing w:after="0"/>
        <w:tabs>
          <w:tab w:leader="none" w:pos="10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employ any device, scheme or artifice to defraud the Corporation;</w:t>
      </w:r>
    </w:p>
    <w:p>
      <w:pPr>
        <w:spacing w:after="0" w:line="190" w:lineRule="exact"/>
        <w:rPr>
          <w:rFonts w:ascii="Arial" w:cs="Arial" w:eastAsia="Arial" w:hAnsi="Arial"/>
          <w:sz w:val="14"/>
          <w:szCs w:val="14"/>
          <w:color w:val="auto"/>
        </w:rPr>
      </w:pPr>
    </w:p>
    <w:p>
      <w:pPr>
        <w:ind w:left="1080" w:hanging="357"/>
        <w:spacing w:after="0" w:line="253" w:lineRule="auto"/>
        <w:tabs>
          <w:tab w:leader="none" w:pos="10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make any untrue statement of a material fact to the Corporation or omit to state to the Corporation a material fact necessary in order to make the statements made, in light of the circumstances under which they are made, not misleading;</w:t>
      </w:r>
    </w:p>
    <w:p>
      <w:pPr>
        <w:spacing w:after="0" w:line="65" w:lineRule="exact"/>
        <w:rPr>
          <w:rFonts w:ascii="Arial" w:cs="Arial" w:eastAsia="Arial" w:hAnsi="Arial"/>
          <w:sz w:val="14"/>
          <w:szCs w:val="14"/>
          <w:color w:val="auto"/>
        </w:rPr>
      </w:pPr>
    </w:p>
    <w:p>
      <w:pPr>
        <w:ind w:left="1260" w:hanging="537"/>
        <w:spacing w:after="0"/>
        <w:tabs>
          <w:tab w:leader="none" w:pos="1260" w:val="left"/>
        </w:tabs>
        <w:numPr>
          <w:ilvl w:val="0"/>
          <w:numId w:val="98"/>
        </w:numPr>
        <w:rPr>
          <w:rFonts w:ascii="Arial" w:cs="Arial" w:eastAsia="Arial" w:hAnsi="Arial"/>
          <w:sz w:val="14"/>
          <w:szCs w:val="14"/>
          <w:color w:val="auto"/>
        </w:rPr>
      </w:pPr>
      <w:r>
        <w:rPr>
          <w:rFonts w:ascii="Arial" w:cs="Arial" w:eastAsia="Arial" w:hAnsi="Arial"/>
          <w:sz w:val="14"/>
          <w:szCs w:val="14"/>
          <w:color w:val="auto"/>
        </w:rPr>
        <w:t>engage in any act, practice or course of business that operates or would operate as a fraud or deceit upon the Corporation; or</w:t>
      </w:r>
    </w:p>
    <w:p>
      <w:pPr>
        <w:spacing w:after="0" w:line="190" w:lineRule="exact"/>
        <w:rPr>
          <w:rFonts w:ascii="Arial" w:cs="Arial" w:eastAsia="Arial" w:hAnsi="Arial"/>
          <w:sz w:val="14"/>
          <w:szCs w:val="14"/>
          <w:color w:val="auto"/>
        </w:rPr>
      </w:pPr>
    </w:p>
    <w:p>
      <w:pPr>
        <w:ind w:left="1260" w:hanging="537"/>
        <w:spacing w:after="0"/>
        <w:tabs>
          <w:tab w:leader="none" w:pos="1260" w:val="left"/>
        </w:tabs>
        <w:numPr>
          <w:ilvl w:val="0"/>
          <w:numId w:val="98"/>
        </w:numPr>
        <w:rPr>
          <w:rFonts w:ascii="Arial" w:cs="Arial" w:eastAsia="Arial" w:hAnsi="Arial"/>
          <w:sz w:val="14"/>
          <w:szCs w:val="14"/>
          <w:color w:val="auto"/>
        </w:rPr>
      </w:pPr>
      <w:r>
        <w:rPr>
          <w:rFonts w:ascii="Arial" w:cs="Arial" w:eastAsia="Arial" w:hAnsi="Arial"/>
          <w:sz w:val="14"/>
          <w:szCs w:val="14"/>
          <w:color w:val="auto"/>
        </w:rPr>
        <w:t>engage in any manipulative practice with respect to the Corporation.</w:t>
      </w:r>
    </w:p>
    <w:p>
      <w:pPr>
        <w:spacing w:after="0" w:line="190" w:lineRule="exact"/>
        <w:rPr>
          <w:sz w:val="20"/>
          <w:szCs w:val="20"/>
          <w:color w:val="auto"/>
        </w:rPr>
      </w:pPr>
    </w:p>
    <w:p>
      <w:pPr>
        <w:jc w:val="both"/>
        <w:ind w:firstLine="729"/>
        <w:spacing w:after="0" w:line="253" w:lineRule="auto"/>
        <w:rPr>
          <w:sz w:val="20"/>
          <w:szCs w:val="20"/>
          <w:color w:val="auto"/>
        </w:rPr>
      </w:pPr>
      <w:r>
        <w:rPr>
          <w:rFonts w:ascii="Arial" w:cs="Arial" w:eastAsia="Arial" w:hAnsi="Arial"/>
          <w:sz w:val="14"/>
          <w:szCs w:val="14"/>
          <w:color w:val="auto"/>
        </w:rPr>
        <w:t>Covered Personnel should also recognize that a violation of this Code or of Rule 17j-1 may result in the imposition of: (1) sanctions as provided by Section VIII below; or (2) administrative, civil and, in certain cases, criminal fines, sanctions or penalties.</w:t>
      </w:r>
    </w:p>
    <w:p>
      <w:pPr>
        <w:spacing w:after="0" w:line="62" w:lineRule="exact"/>
        <w:rPr>
          <w:sz w:val="20"/>
          <w:szCs w:val="20"/>
          <w:color w:val="auto"/>
        </w:rPr>
      </w:pPr>
    </w:p>
    <w:p>
      <w:pPr>
        <w:spacing w:after="0"/>
        <w:tabs>
          <w:tab w:leader="none" w:pos="1280" w:val="left"/>
        </w:tabs>
        <w:rPr>
          <w:sz w:val="20"/>
          <w:szCs w:val="20"/>
          <w:color w:val="auto"/>
        </w:rPr>
      </w:pPr>
      <w:r>
        <w:rPr>
          <w:rFonts w:ascii="Arial" w:cs="Arial" w:eastAsia="Arial" w:hAnsi="Arial"/>
          <w:sz w:val="14"/>
          <w:szCs w:val="14"/>
          <w:b w:val="1"/>
          <w:bCs w:val="1"/>
          <w:color w:val="auto"/>
        </w:rPr>
        <w:t>Section IV</w:t>
      </w:r>
      <w:r>
        <w:rPr>
          <w:sz w:val="20"/>
          <w:szCs w:val="20"/>
          <w:color w:val="auto"/>
        </w:rPr>
        <w:tab/>
      </w:r>
      <w:r>
        <w:rPr>
          <w:rFonts w:ascii="Arial" w:cs="Arial" w:eastAsia="Arial" w:hAnsi="Arial"/>
          <w:sz w:val="12"/>
          <w:szCs w:val="12"/>
          <w:b w:val="1"/>
          <w:bCs w:val="1"/>
          <w:color w:val="auto"/>
        </w:rPr>
        <w:t>Pre-Clearance of Personal Account Transactions; Window Period to Trade PennantPark shares</w:t>
      </w:r>
    </w:p>
    <w:p>
      <w:pPr>
        <w:spacing w:after="0" w:line="100" w:lineRule="exact"/>
        <w:rPr>
          <w:sz w:val="20"/>
          <w:szCs w:val="20"/>
          <w:color w:val="auto"/>
        </w:rPr>
      </w:pPr>
    </w:p>
    <w:p>
      <w:pPr>
        <w:jc w:val="both"/>
        <w:ind w:firstLine="729"/>
        <w:spacing w:after="0" w:line="255" w:lineRule="auto"/>
        <w:rPr>
          <w:sz w:val="20"/>
          <w:szCs w:val="20"/>
          <w:color w:val="auto"/>
        </w:rPr>
      </w:pPr>
      <w:r>
        <w:rPr>
          <w:rFonts w:ascii="Arial" w:cs="Arial" w:eastAsia="Arial" w:hAnsi="Arial"/>
          <w:sz w:val="13"/>
          <w:szCs w:val="13"/>
          <w:color w:val="auto"/>
        </w:rPr>
        <w:t>Except as noted below, all Access Persons must obtain the prior written approval of the Managing Member (or such person as the Managing Member may designate) (“Approving Officer”) before engaging in any transaction in his or her Personal Account. The Approving Officer may approve the transaction if he concludes that the transaction would comply with the provisions of this Code of Ethics and is not likely to have any adverse economic impact on clients. A request for preclearance must be made by email, with a copy to the Compliance Officer, in advance of the contemplated transaction. No particular form is required, but the email must include sufficient detail for the Approving Officer to decide if a trade is permissible.</w:t>
      </w:r>
    </w:p>
    <w:p>
      <w:pPr>
        <w:spacing w:after="0" w:line="67" w:lineRule="exact"/>
        <w:rPr>
          <w:sz w:val="20"/>
          <w:szCs w:val="20"/>
          <w:color w:val="auto"/>
        </w:rPr>
      </w:pPr>
    </w:p>
    <w:p>
      <w:pPr>
        <w:ind w:left="740"/>
        <w:spacing w:after="0"/>
        <w:rPr>
          <w:sz w:val="20"/>
          <w:szCs w:val="20"/>
          <w:color w:val="auto"/>
        </w:rPr>
      </w:pPr>
      <w:r>
        <w:rPr>
          <w:rFonts w:ascii="Arial" w:cs="Arial" w:eastAsia="Arial" w:hAnsi="Arial"/>
          <w:sz w:val="14"/>
          <w:szCs w:val="14"/>
          <w:color w:val="auto"/>
        </w:rPr>
        <w:t>Any approval given under this paragraph will be provided by email and will remain in effect for 72 hours.</w:t>
      </w:r>
    </w:p>
    <w:p>
      <w:pPr>
        <w:spacing w:after="0" w:line="96" w:lineRule="exact"/>
        <w:rPr>
          <w:sz w:val="20"/>
          <w:szCs w:val="20"/>
          <w:color w:val="auto"/>
        </w:rPr>
      </w:pPr>
    </w:p>
    <w:p>
      <w:pPr>
        <w:ind w:left="740"/>
        <w:spacing w:after="0"/>
        <w:rPr>
          <w:sz w:val="20"/>
          <w:szCs w:val="20"/>
          <w:color w:val="auto"/>
        </w:rPr>
      </w:pPr>
      <w:r>
        <w:rPr>
          <w:rFonts w:ascii="Arial" w:cs="Arial" w:eastAsia="Arial" w:hAnsi="Arial"/>
          <w:sz w:val="14"/>
          <w:szCs w:val="14"/>
          <w:u w:val="single" w:color="auto"/>
          <w:color w:val="auto"/>
        </w:rPr>
        <w:t>Exceptions to the Pre-Clearance Requirement Policy,</w:t>
      </w:r>
    </w:p>
    <w:p>
      <w:pPr>
        <w:spacing w:after="0" w:line="96" w:lineRule="exact"/>
        <w:rPr>
          <w:sz w:val="20"/>
          <w:szCs w:val="20"/>
          <w:color w:val="auto"/>
        </w:rPr>
      </w:pPr>
    </w:p>
    <w:p>
      <w:pPr>
        <w:jc w:val="both"/>
        <w:ind w:firstLine="729"/>
        <w:spacing w:after="0" w:line="247" w:lineRule="auto"/>
        <w:rPr>
          <w:sz w:val="20"/>
          <w:szCs w:val="20"/>
          <w:color w:val="auto"/>
        </w:rPr>
      </w:pPr>
      <w:r>
        <w:rPr>
          <w:rFonts w:ascii="Arial" w:cs="Arial" w:eastAsia="Arial" w:hAnsi="Arial"/>
          <w:sz w:val="13"/>
          <w:szCs w:val="13"/>
          <w:color w:val="auto"/>
        </w:rPr>
        <w:t>Access Persons will be allowed to trade securities of the Corporations during a “window period” that may be announced following the release of Corporations’ earnings release. If the window is opened for trading, it will begin no earlier than the second business day after a Corporation publicly releases quarterly or annual financial results and extends no later than (i) 30 calendar days after the release of results (29 calendar days in all) or (ii) in the case of PennantPark Floating Rate Capital, Ltd.’s and the Adviser’s decision to sell such Corporation’s equity securities, the end of the quarterly period during which such financial results of such Corporation have been publicly released. Note that the ability of an officer, director or other Access Person to engage in transactions in the securities of a Corporation during a window period is not automatic or absolute because no trades may be made even during a window period by an individual who possesses material, nonpublic information. Further, the window period may not open in a particular quarter, and it may be closed prior to (i) the expiration of 30 days or (ii) to the extent provided above in the case of PennantPark Floating Rate Capital, Ltd., the applicable quarter end, in each case as events require.</w:t>
      </w:r>
    </w:p>
    <w:p>
      <w:pPr>
        <w:spacing w:after="0" w:line="71" w:lineRule="exact"/>
        <w:rPr>
          <w:sz w:val="20"/>
          <w:szCs w:val="20"/>
          <w:color w:val="auto"/>
        </w:rPr>
      </w:pPr>
    </w:p>
    <w:p>
      <w:pPr>
        <w:ind w:right="20" w:firstLine="729"/>
        <w:spacing w:after="0" w:line="253" w:lineRule="auto"/>
        <w:rPr>
          <w:sz w:val="20"/>
          <w:szCs w:val="20"/>
          <w:color w:val="auto"/>
        </w:rPr>
      </w:pPr>
      <w:r>
        <w:rPr>
          <w:rFonts w:ascii="Arial" w:cs="Arial" w:eastAsia="Arial" w:hAnsi="Arial"/>
          <w:sz w:val="14"/>
          <w:szCs w:val="14"/>
          <w:color w:val="auto"/>
        </w:rPr>
        <w:t>Additionally, Independent Directors are not required to seek preapproval for any transactions other than those which would trigger reporting requirements as set forth in Section VI (C) of this Code below.</w:t>
      </w:r>
    </w:p>
    <w:p>
      <w:pPr>
        <w:spacing w:after="0" w:line="318" w:lineRule="exact"/>
        <w:rPr>
          <w:sz w:val="20"/>
          <w:szCs w:val="20"/>
          <w:color w:val="auto"/>
        </w:rPr>
      </w:pPr>
    </w:p>
    <w:p>
      <w:pPr>
        <w:spacing w:after="0"/>
        <w:tabs>
          <w:tab w:leader="none" w:pos="1220" w:val="left"/>
        </w:tabs>
        <w:rPr>
          <w:sz w:val="20"/>
          <w:szCs w:val="20"/>
          <w:color w:val="auto"/>
        </w:rPr>
      </w:pPr>
      <w:r>
        <w:rPr>
          <w:rFonts w:ascii="Arial" w:cs="Arial" w:eastAsia="Arial" w:hAnsi="Arial"/>
          <w:sz w:val="14"/>
          <w:szCs w:val="14"/>
          <w:b w:val="1"/>
          <w:bCs w:val="1"/>
          <w:color w:val="auto"/>
        </w:rPr>
        <w:t>Section V</w:t>
      </w:r>
      <w:r>
        <w:rPr>
          <w:sz w:val="20"/>
          <w:szCs w:val="20"/>
          <w:color w:val="auto"/>
        </w:rPr>
        <w:tab/>
      </w:r>
      <w:r>
        <w:rPr>
          <w:rFonts w:ascii="Arial" w:cs="Arial" w:eastAsia="Arial" w:hAnsi="Arial"/>
          <w:sz w:val="12"/>
          <w:szCs w:val="12"/>
          <w:b w:val="1"/>
          <w:bCs w:val="1"/>
          <w:color w:val="auto"/>
        </w:rPr>
        <w:t>Prohibited Transactions</w:t>
      </w:r>
    </w:p>
    <w:p>
      <w:pPr>
        <w:spacing w:after="0" w:line="100" w:lineRule="exact"/>
        <w:rPr>
          <w:sz w:val="20"/>
          <w:szCs w:val="20"/>
          <w:color w:val="auto"/>
        </w:rPr>
      </w:pPr>
    </w:p>
    <w:p>
      <w:pPr>
        <w:jc w:val="both"/>
        <w:ind w:left="820" w:hanging="448"/>
        <w:spacing w:after="0" w:line="231" w:lineRule="auto"/>
        <w:tabs>
          <w:tab w:leader="none" w:pos="8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An Access Person may not purchase or otherwise acquire direct or indirect Beneficial Ownership of any Covered Security on the Restricted List, and may not sell or otherwise dispose of any Covered Security on the Restricted List in which he or she has direct or indirect Beneficial Ownership, if he or she knows or should know at the time of entering into the transaction that: (1) the Corporation has purchased or sold the Covered Security within the last 15 calendar days, or is purchasing or selling or intends to purchase or sell the Covered Security in the next 15 calendar days; or (2) the Adviser has within the last 15 calendar days considered purchasing or selling the Covered Security for the Corporation or within the next 15 calendar days intend to consider purchasing or selling the Covered Security for the Corporation.</w:t>
      </w:r>
    </w:p>
    <w:p>
      <w:pPr>
        <w:spacing w:after="0" w:line="75" w:lineRule="exact"/>
        <w:rPr>
          <w:rFonts w:ascii="Arial" w:cs="Arial" w:eastAsia="Arial" w:hAnsi="Arial"/>
          <w:sz w:val="14"/>
          <w:szCs w:val="14"/>
          <w:color w:val="auto"/>
        </w:rPr>
      </w:pPr>
    </w:p>
    <w:p>
      <w:pPr>
        <w:jc w:val="both"/>
        <w:ind w:left="820" w:hanging="448"/>
        <w:spacing w:after="0" w:line="238" w:lineRule="auto"/>
        <w:tabs>
          <w:tab w:leader="none" w:pos="8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Every Advisory Person of the Corporation or the Adviser must obtain approval from the Corporation or the Adviser, as the case may be, before directly or indirectly acquiring Beneficial Ownership in any securities in an Initial Public Offering or in a Limited Offering. Such approval must be obtained from the Chief Compliance Officer, unless he is the person seeking such approval, in which case it must be obtained from the President of the 17j-1 Organization.</w:t>
      </w:r>
    </w:p>
    <w:p>
      <w:pPr>
        <w:spacing w:after="0" w:line="74" w:lineRule="exact"/>
        <w:rPr>
          <w:rFonts w:ascii="Arial" w:cs="Arial" w:eastAsia="Arial" w:hAnsi="Arial"/>
          <w:sz w:val="14"/>
          <w:szCs w:val="14"/>
          <w:color w:val="auto"/>
        </w:rPr>
      </w:pPr>
    </w:p>
    <w:p>
      <w:pPr>
        <w:jc w:val="both"/>
        <w:ind w:left="820" w:hanging="448"/>
        <w:spacing w:after="0" w:line="233" w:lineRule="auto"/>
        <w:tabs>
          <w:tab w:leader="none" w:pos="8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No Access Person shall recommend any transaction in any Covered Securities by the Corporation without having disclosed to the Chief Compliance Officer his or her interest, if any, in such Covered Securities or the issuer thereof, including: the Access Person’s Beneficial Ownership of any Covered Securities of such issuer; any contemplated transaction by the Access Person in such Covered Securities; any position the Access Person has with such issuer; and any present or proposed business relationship between such issuer and the Access Person (or a party which the Access Person has a significant interest).</w:t>
      </w:r>
    </w:p>
    <w:p>
      <w:pPr>
        <w:spacing w:after="0" w:line="329" w:lineRule="exact"/>
        <w:rPr>
          <w:sz w:val="20"/>
          <w:szCs w:val="20"/>
          <w:color w:val="auto"/>
        </w:rPr>
      </w:pPr>
    </w:p>
    <w:p>
      <w:pPr>
        <w:spacing w:after="0"/>
        <w:tabs>
          <w:tab w:leader="none" w:pos="1280" w:val="left"/>
        </w:tabs>
        <w:rPr>
          <w:sz w:val="20"/>
          <w:szCs w:val="20"/>
          <w:color w:val="auto"/>
        </w:rPr>
      </w:pPr>
      <w:r>
        <w:rPr>
          <w:rFonts w:ascii="Arial" w:cs="Arial" w:eastAsia="Arial" w:hAnsi="Arial"/>
          <w:sz w:val="14"/>
          <w:szCs w:val="14"/>
          <w:b w:val="1"/>
          <w:bCs w:val="1"/>
          <w:color w:val="auto"/>
        </w:rPr>
        <w:t>Section VI</w:t>
      </w:r>
      <w:r>
        <w:rPr>
          <w:sz w:val="20"/>
          <w:szCs w:val="20"/>
          <w:color w:val="auto"/>
        </w:rPr>
        <w:tab/>
      </w:r>
      <w:r>
        <w:rPr>
          <w:rFonts w:ascii="Arial" w:cs="Arial" w:eastAsia="Arial" w:hAnsi="Arial"/>
          <w:sz w:val="12"/>
          <w:szCs w:val="12"/>
          <w:b w:val="1"/>
          <w:bCs w:val="1"/>
          <w:color w:val="auto"/>
        </w:rPr>
        <w:t>Reports by Access Persons</w:t>
      </w:r>
    </w:p>
    <w:p>
      <w:pPr>
        <w:spacing w:after="0" w:line="100" w:lineRule="exact"/>
        <w:rPr>
          <w:sz w:val="20"/>
          <w:szCs w:val="20"/>
          <w:color w:val="auto"/>
        </w:rPr>
      </w:pPr>
    </w:p>
    <w:p>
      <w:pPr>
        <w:ind w:left="820" w:hanging="448"/>
        <w:spacing w:after="0"/>
        <w:tabs>
          <w:tab w:leader="none" w:pos="8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Personal Securities Holdings Reports.</w:t>
      </w:r>
    </w:p>
    <w:p>
      <w:pPr>
        <w:spacing w:after="0" w:line="190" w:lineRule="exact"/>
        <w:rPr>
          <w:sz w:val="20"/>
          <w:szCs w:val="20"/>
          <w:color w:val="auto"/>
        </w:rPr>
      </w:pPr>
    </w:p>
    <w:p>
      <w:pPr>
        <w:ind w:firstLine="729"/>
        <w:spacing w:after="0" w:line="253" w:lineRule="auto"/>
        <w:rPr>
          <w:sz w:val="20"/>
          <w:szCs w:val="20"/>
          <w:color w:val="auto"/>
        </w:rPr>
      </w:pPr>
      <w:r>
        <w:rPr>
          <w:rFonts w:ascii="Arial" w:cs="Arial" w:eastAsia="Arial" w:hAnsi="Arial"/>
          <w:sz w:val="14"/>
          <w:szCs w:val="14"/>
          <w:color w:val="auto"/>
        </w:rPr>
        <w:t>All Access Persons shall within 10 days of the date on which they become Access Persons, and thereafter, within 30 days after the end of each calendar year, disclose the title, number of shares and principal amount of all Covered Securities in which they have a Beneficial Ownership as of the date the person became an Access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93" w:name="page94"/>
    <w:bookmarkEnd w:id="93"/>
    <w:p>
      <w:pPr>
        <w:jc w:val="both"/>
        <w:spacing w:after="0" w:line="233" w:lineRule="auto"/>
        <w:rPr>
          <w:sz w:val="20"/>
          <w:szCs w:val="20"/>
          <w:color w:val="auto"/>
        </w:rPr>
      </w:pPr>
      <w:r>
        <w:rPr>
          <w:rFonts w:ascii="Arial" w:cs="Arial" w:eastAsia="Arial" w:hAnsi="Arial"/>
          <w:sz w:val="14"/>
          <w:szCs w:val="14"/>
          <w:color w:val="auto"/>
        </w:rPr>
        <w:t>Person, in the case of such person’s initial report, and as of the last day of the year, as to annual reports. A form of such report, which is hereinafter called a “Personal Securities Holdings Report,” is attached as Schedule A. Each Personal Securities Holdings Report must also disclose the name of any broker, dealer or bank with whom the Access Person maintained an account in which any securities were held for the direct or indirect benefit of the Access Person as of the date the person became an Access Person or as of the last day of the year, as the case may be. Each Personal Securities Holdings Report shall state the date it is being submitted.</w:t>
      </w:r>
    </w:p>
    <w:p>
      <w:pPr>
        <w:spacing w:after="0" w:line="77" w:lineRule="exact"/>
        <w:rPr>
          <w:sz w:val="20"/>
          <w:szCs w:val="20"/>
          <w:color w:val="auto"/>
        </w:rPr>
      </w:pPr>
    </w:p>
    <w:p>
      <w:pPr>
        <w:ind w:left="820" w:hanging="448"/>
        <w:spacing w:after="0"/>
        <w:tabs>
          <w:tab w:leader="none" w:pos="82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Quarterly Transaction Reports.</w:t>
      </w:r>
    </w:p>
    <w:p>
      <w:pPr>
        <w:spacing w:after="0" w:line="190" w:lineRule="exact"/>
        <w:rPr>
          <w:sz w:val="20"/>
          <w:szCs w:val="20"/>
          <w:color w:val="auto"/>
        </w:rPr>
      </w:pPr>
    </w:p>
    <w:p>
      <w:pPr>
        <w:ind w:firstLine="729"/>
        <w:spacing w:after="0" w:line="290" w:lineRule="auto"/>
        <w:rPr>
          <w:sz w:val="20"/>
          <w:szCs w:val="20"/>
          <w:color w:val="auto"/>
        </w:rPr>
      </w:pPr>
      <w:r>
        <w:rPr>
          <w:rFonts w:ascii="Arial" w:cs="Arial" w:eastAsia="Arial" w:hAnsi="Arial"/>
          <w:sz w:val="13"/>
          <w:szCs w:val="13"/>
          <w:color w:val="auto"/>
        </w:rPr>
        <w:t>Within 30 days after the end of each calendar quarter, each Access Person shall make a written report to the Chief Compliance Officer of all transactions occurring in the quarter in a Covered Security in which he or she had any Beneficial Ownership. A form of such report, which is hereinafter called a “Quarterly Securities Transaction Report,” is attached as Schedule B.</w:t>
      </w:r>
    </w:p>
    <w:p>
      <w:pPr>
        <w:spacing w:after="0" w:line="44" w:lineRule="exact"/>
        <w:rPr>
          <w:sz w:val="20"/>
          <w:szCs w:val="20"/>
          <w:color w:val="auto"/>
        </w:rPr>
      </w:pPr>
    </w:p>
    <w:p>
      <w:pPr>
        <w:ind w:firstLine="729"/>
        <w:spacing w:after="0" w:line="253" w:lineRule="auto"/>
        <w:rPr>
          <w:sz w:val="20"/>
          <w:szCs w:val="20"/>
          <w:color w:val="auto"/>
        </w:rPr>
      </w:pPr>
      <w:r>
        <w:rPr>
          <w:rFonts w:ascii="Arial" w:cs="Arial" w:eastAsia="Arial" w:hAnsi="Arial"/>
          <w:sz w:val="14"/>
          <w:szCs w:val="14"/>
          <w:color w:val="auto"/>
        </w:rPr>
        <w:t>A Quarterly Securities Transaction Report shall be in the form of Schedule B or such other form approved by the Chief Compliance Officer and must contain the following information with respect to each reportable transaction:</w:t>
      </w:r>
    </w:p>
    <w:p>
      <w:pPr>
        <w:spacing w:after="0" w:line="66" w:lineRule="exact"/>
        <w:rPr>
          <w:sz w:val="20"/>
          <w:szCs w:val="20"/>
          <w:color w:val="auto"/>
        </w:rPr>
      </w:pPr>
    </w:p>
    <w:p>
      <w:pPr>
        <w:ind w:left="1560" w:hanging="823"/>
        <w:spacing w:after="0"/>
        <w:tabs>
          <w:tab w:leader="none" w:pos="1560" w:val="left"/>
        </w:tabs>
        <w:numPr>
          <w:ilvl w:val="2"/>
          <w:numId w:val="102"/>
        </w:numPr>
        <w:rPr>
          <w:rFonts w:ascii="Arial" w:cs="Arial" w:eastAsia="Arial" w:hAnsi="Arial"/>
          <w:sz w:val="14"/>
          <w:szCs w:val="14"/>
          <w:color w:val="auto"/>
        </w:rPr>
      </w:pPr>
      <w:r>
        <w:rPr>
          <w:rFonts w:ascii="Arial" w:cs="Arial" w:eastAsia="Arial" w:hAnsi="Arial"/>
          <w:sz w:val="14"/>
          <w:szCs w:val="14"/>
          <w:color w:val="auto"/>
        </w:rPr>
        <w:t>Date and nature of the transaction (purchase, sale or any other type of acquisition or disposition);</w:t>
      </w:r>
    </w:p>
    <w:p>
      <w:pPr>
        <w:spacing w:after="0" w:line="95" w:lineRule="exact"/>
        <w:rPr>
          <w:rFonts w:ascii="Arial" w:cs="Arial" w:eastAsia="Arial" w:hAnsi="Arial"/>
          <w:sz w:val="14"/>
          <w:szCs w:val="14"/>
          <w:color w:val="auto"/>
        </w:rPr>
      </w:pPr>
    </w:p>
    <w:p>
      <w:pPr>
        <w:ind w:left="1000" w:right="20" w:hanging="277"/>
        <w:spacing w:after="0" w:line="253" w:lineRule="auto"/>
        <w:tabs>
          <w:tab w:leader="none" w:pos="1000" w:val="left"/>
        </w:tabs>
        <w:numPr>
          <w:ilvl w:val="1"/>
          <w:numId w:val="103"/>
        </w:numPr>
        <w:rPr>
          <w:rFonts w:ascii="Arial" w:cs="Arial" w:eastAsia="Arial" w:hAnsi="Arial"/>
          <w:sz w:val="14"/>
          <w:szCs w:val="14"/>
          <w:color w:val="auto"/>
        </w:rPr>
      </w:pPr>
      <w:r>
        <w:rPr>
          <w:rFonts w:ascii="Arial" w:cs="Arial" w:eastAsia="Arial" w:hAnsi="Arial"/>
          <w:sz w:val="14"/>
          <w:szCs w:val="14"/>
          <w:color w:val="auto"/>
        </w:rPr>
        <w:t>Title, interest rate and maturity date (if applicable), number of shares and principal amount of each Covered Security involved and the price of the Covered Security at which the transaction was effected;</w:t>
      </w:r>
    </w:p>
    <w:p>
      <w:pPr>
        <w:spacing w:after="0" w:line="65" w:lineRule="exact"/>
        <w:rPr>
          <w:rFonts w:ascii="Arial" w:cs="Arial" w:eastAsia="Arial" w:hAnsi="Arial"/>
          <w:sz w:val="14"/>
          <w:szCs w:val="14"/>
          <w:color w:val="auto"/>
        </w:rPr>
      </w:pPr>
    </w:p>
    <w:p>
      <w:pPr>
        <w:ind w:left="1560" w:hanging="823"/>
        <w:spacing w:after="0"/>
        <w:tabs>
          <w:tab w:leader="none" w:pos="1560" w:val="left"/>
        </w:tabs>
        <w:numPr>
          <w:ilvl w:val="2"/>
          <w:numId w:val="103"/>
        </w:numPr>
        <w:rPr>
          <w:rFonts w:ascii="Arial" w:cs="Arial" w:eastAsia="Arial" w:hAnsi="Arial"/>
          <w:sz w:val="14"/>
          <w:szCs w:val="14"/>
          <w:color w:val="auto"/>
        </w:rPr>
      </w:pPr>
      <w:r>
        <w:rPr>
          <w:rFonts w:ascii="Arial" w:cs="Arial" w:eastAsia="Arial" w:hAnsi="Arial"/>
          <w:sz w:val="14"/>
          <w:szCs w:val="14"/>
          <w:color w:val="auto"/>
        </w:rPr>
        <w:t>Name of the broker, dealer or bank with or through whom the transaction was effected; and</w:t>
      </w:r>
    </w:p>
    <w:p>
      <w:pPr>
        <w:spacing w:after="0" w:line="95" w:lineRule="exact"/>
        <w:rPr>
          <w:rFonts w:ascii="Arial" w:cs="Arial" w:eastAsia="Arial" w:hAnsi="Arial"/>
          <w:sz w:val="14"/>
          <w:szCs w:val="14"/>
          <w:color w:val="auto"/>
        </w:rPr>
      </w:pPr>
    </w:p>
    <w:p>
      <w:pPr>
        <w:ind w:left="1560" w:hanging="823"/>
        <w:spacing w:after="0"/>
        <w:tabs>
          <w:tab w:leader="none" w:pos="1560" w:val="left"/>
        </w:tabs>
        <w:numPr>
          <w:ilvl w:val="2"/>
          <w:numId w:val="103"/>
        </w:numPr>
        <w:rPr>
          <w:rFonts w:ascii="Arial" w:cs="Arial" w:eastAsia="Arial" w:hAnsi="Arial"/>
          <w:sz w:val="14"/>
          <w:szCs w:val="14"/>
          <w:color w:val="auto"/>
        </w:rPr>
      </w:pPr>
      <w:r>
        <w:rPr>
          <w:rFonts w:ascii="Arial" w:cs="Arial" w:eastAsia="Arial" w:hAnsi="Arial"/>
          <w:sz w:val="14"/>
          <w:szCs w:val="14"/>
          <w:color w:val="auto"/>
        </w:rPr>
        <w:t>The date the report is submitted by the Access Person.</w:t>
      </w:r>
    </w:p>
    <w:p>
      <w:pPr>
        <w:spacing w:after="0" w:line="95" w:lineRule="exact"/>
        <w:rPr>
          <w:rFonts w:ascii="Arial" w:cs="Arial" w:eastAsia="Arial" w:hAnsi="Arial"/>
          <w:sz w:val="14"/>
          <w:szCs w:val="14"/>
          <w:color w:val="auto"/>
        </w:rPr>
      </w:pPr>
    </w:p>
    <w:p>
      <w:pPr>
        <w:ind w:left="820" w:hanging="448"/>
        <w:spacing w:after="0"/>
        <w:tabs>
          <w:tab w:leader="none" w:pos="82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Independent Directors.</w:t>
      </w:r>
    </w:p>
    <w:p>
      <w:pPr>
        <w:spacing w:after="0" w:line="190" w:lineRule="exact"/>
        <w:rPr>
          <w:sz w:val="20"/>
          <w:szCs w:val="20"/>
          <w:color w:val="auto"/>
        </w:rPr>
      </w:pPr>
    </w:p>
    <w:p>
      <w:pPr>
        <w:jc w:val="both"/>
        <w:ind w:firstLine="729"/>
        <w:spacing w:after="0" w:line="231" w:lineRule="auto"/>
        <w:rPr>
          <w:sz w:val="20"/>
          <w:szCs w:val="20"/>
          <w:color w:val="auto"/>
        </w:rPr>
      </w:pPr>
      <w:r>
        <w:rPr>
          <w:rFonts w:ascii="Arial" w:cs="Arial" w:eastAsia="Arial" w:hAnsi="Arial"/>
          <w:sz w:val="14"/>
          <w:szCs w:val="14"/>
          <w:color w:val="auto"/>
        </w:rPr>
        <w:t>Notwithstanding the reporting requirements set forth in this Section V, an Independent Director who would be required to make a report under this Section V solely by reason of being a director of the Corporation is not required to file a Personal Securities Holding Report upon becoming a director of the Corporation or an annual Personal Securities Holding Report. Such an Independent Director also need not file a Quarterly Securities Transaction Report unless such director knew or, in the ordinary course of fulfilling his or her official duties as a director of the Corporation, should have known that during the 15-day period immediately preceding or after the date of the transaction in a Covered Security by the director such Covered Security is or was purchased or sold by the Corporation or the Corporation or the Adviser considered purchasing or selling such Covered Security.</w:t>
      </w:r>
    </w:p>
    <w:p>
      <w:pPr>
        <w:spacing w:after="0" w:line="76" w:lineRule="exact"/>
        <w:rPr>
          <w:sz w:val="20"/>
          <w:szCs w:val="20"/>
          <w:color w:val="auto"/>
        </w:rPr>
      </w:pPr>
    </w:p>
    <w:p>
      <w:pPr>
        <w:ind w:left="820" w:hanging="448"/>
        <w:spacing w:after="0"/>
        <w:tabs>
          <w:tab w:leader="none" w:pos="82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Access Persons of the Adviser.</w:t>
      </w:r>
    </w:p>
    <w:p>
      <w:pPr>
        <w:spacing w:after="0" w:line="190" w:lineRule="exact"/>
        <w:rPr>
          <w:sz w:val="20"/>
          <w:szCs w:val="20"/>
          <w:color w:val="auto"/>
        </w:rPr>
      </w:pPr>
    </w:p>
    <w:p>
      <w:pPr>
        <w:ind w:firstLine="729"/>
        <w:spacing w:after="0" w:line="253" w:lineRule="auto"/>
        <w:rPr>
          <w:sz w:val="20"/>
          <w:szCs w:val="20"/>
          <w:color w:val="auto"/>
        </w:rPr>
      </w:pPr>
      <w:r>
        <w:rPr>
          <w:rFonts w:ascii="Arial" w:cs="Arial" w:eastAsia="Arial" w:hAnsi="Arial"/>
          <w:sz w:val="14"/>
          <w:szCs w:val="14"/>
          <w:color w:val="auto"/>
        </w:rPr>
        <w:t>An Access Person of the Adviser need not make a Quarterly Transaction Report if all of the information in the report would duplicate information required to be recorded pursuant to Rules 204-2(a)(12) or (13) under the Investment Advisers Act of 1940, as amended.</w:t>
      </w:r>
    </w:p>
    <w:p>
      <w:pPr>
        <w:spacing w:after="0" w:line="66" w:lineRule="exact"/>
        <w:rPr>
          <w:sz w:val="20"/>
          <w:szCs w:val="20"/>
          <w:color w:val="auto"/>
        </w:rPr>
      </w:pPr>
    </w:p>
    <w:p>
      <w:pPr>
        <w:ind w:left="820" w:hanging="448"/>
        <w:spacing w:after="0"/>
        <w:tabs>
          <w:tab w:leader="none" w:pos="82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Brokerage Accounts and Statements.</w:t>
      </w:r>
    </w:p>
    <w:p>
      <w:pPr>
        <w:spacing w:after="0" w:line="190" w:lineRule="exact"/>
        <w:rPr>
          <w:sz w:val="20"/>
          <w:szCs w:val="20"/>
          <w:color w:val="auto"/>
        </w:rPr>
      </w:pPr>
    </w:p>
    <w:p>
      <w:pPr>
        <w:ind w:left="740"/>
        <w:spacing w:after="0"/>
        <w:rPr>
          <w:sz w:val="20"/>
          <w:szCs w:val="20"/>
          <w:color w:val="auto"/>
        </w:rPr>
      </w:pPr>
      <w:r>
        <w:rPr>
          <w:rFonts w:ascii="Arial" w:cs="Arial" w:eastAsia="Arial" w:hAnsi="Arial"/>
          <w:sz w:val="14"/>
          <w:szCs w:val="14"/>
          <w:color w:val="auto"/>
        </w:rPr>
        <w:t>Access Persons, except Independent Directors, shall:</w:t>
      </w:r>
    </w:p>
    <w:p>
      <w:pPr>
        <w:spacing w:after="0" w:line="96" w:lineRule="exact"/>
        <w:rPr>
          <w:sz w:val="20"/>
          <w:szCs w:val="20"/>
          <w:color w:val="auto"/>
        </w:rPr>
      </w:pPr>
    </w:p>
    <w:p>
      <w:pPr>
        <w:jc w:val="both"/>
        <w:ind w:firstLine="737"/>
        <w:spacing w:after="0" w:line="238" w:lineRule="auto"/>
        <w:tabs>
          <w:tab w:leader="none" w:pos="1544" w:val="left"/>
        </w:tabs>
        <w:numPr>
          <w:ilvl w:val="1"/>
          <w:numId w:val="107"/>
        </w:numPr>
        <w:rPr>
          <w:rFonts w:ascii="Arial" w:cs="Arial" w:eastAsia="Arial" w:hAnsi="Arial"/>
          <w:sz w:val="14"/>
          <w:szCs w:val="14"/>
          <w:color w:val="auto"/>
        </w:rPr>
      </w:pPr>
      <w:r>
        <w:rPr>
          <w:rFonts w:ascii="Arial" w:cs="Arial" w:eastAsia="Arial" w:hAnsi="Arial"/>
          <w:sz w:val="14"/>
          <w:szCs w:val="14"/>
          <w:color w:val="auto"/>
        </w:rPr>
        <w:t>within 10 days after the end of each calendar quarter, identify the name of the broker, dealer or bank with whom the Access Person established an account in which any securities were held during the quarter for the direct or indirect benefit of the Access Person and identify any new account(s) and the date the account(s) were established. This information shall be included on the appropriate Quarterly Securities Transaction Report.</w:t>
      </w:r>
    </w:p>
    <w:p>
      <w:pPr>
        <w:spacing w:after="0" w:line="74" w:lineRule="exact"/>
        <w:rPr>
          <w:rFonts w:ascii="Arial" w:cs="Arial" w:eastAsia="Arial" w:hAnsi="Arial"/>
          <w:sz w:val="14"/>
          <w:szCs w:val="14"/>
          <w:color w:val="auto"/>
        </w:rPr>
      </w:pPr>
    </w:p>
    <w:p>
      <w:pPr>
        <w:ind w:left="1560" w:hanging="823"/>
        <w:spacing w:after="0"/>
        <w:tabs>
          <w:tab w:leader="none" w:pos="1560" w:val="left"/>
        </w:tabs>
        <w:numPr>
          <w:ilvl w:val="1"/>
          <w:numId w:val="107"/>
        </w:numPr>
        <w:rPr>
          <w:rFonts w:ascii="Arial" w:cs="Arial" w:eastAsia="Arial" w:hAnsi="Arial"/>
          <w:sz w:val="14"/>
          <w:szCs w:val="14"/>
          <w:color w:val="auto"/>
        </w:rPr>
      </w:pPr>
      <w:r>
        <w:rPr>
          <w:rFonts w:ascii="Arial" w:cs="Arial" w:eastAsia="Arial" w:hAnsi="Arial"/>
          <w:sz w:val="14"/>
          <w:szCs w:val="14"/>
          <w:color w:val="auto"/>
        </w:rPr>
        <w:t>instruct the brokers, dealers or banks with whom they maintain such an account to provide duplicate account statements to the Chief Compliance Officer.</w:t>
      </w:r>
    </w:p>
    <w:p>
      <w:pPr>
        <w:spacing w:after="0" w:line="95" w:lineRule="exact"/>
        <w:rPr>
          <w:rFonts w:ascii="Arial" w:cs="Arial" w:eastAsia="Arial" w:hAnsi="Arial"/>
          <w:sz w:val="14"/>
          <w:szCs w:val="14"/>
          <w:color w:val="auto"/>
        </w:rPr>
      </w:pPr>
    </w:p>
    <w:p>
      <w:pPr>
        <w:ind w:left="1560" w:hanging="823"/>
        <w:spacing w:after="0"/>
        <w:tabs>
          <w:tab w:leader="none" w:pos="1560" w:val="left"/>
        </w:tabs>
        <w:numPr>
          <w:ilvl w:val="1"/>
          <w:numId w:val="107"/>
        </w:numPr>
        <w:rPr>
          <w:rFonts w:ascii="Arial" w:cs="Arial" w:eastAsia="Arial" w:hAnsi="Arial"/>
          <w:sz w:val="14"/>
          <w:szCs w:val="14"/>
          <w:color w:val="auto"/>
        </w:rPr>
      </w:pPr>
      <w:r>
        <w:rPr>
          <w:rFonts w:ascii="Arial" w:cs="Arial" w:eastAsia="Arial" w:hAnsi="Arial"/>
          <w:sz w:val="14"/>
          <w:szCs w:val="14"/>
          <w:color w:val="auto"/>
        </w:rPr>
        <w:t>on an annual basis, certify that they have complied with the requirements of (1) and (2) above.</w:t>
      </w:r>
    </w:p>
    <w:p>
      <w:pPr>
        <w:spacing w:after="0" w:line="95" w:lineRule="exact"/>
        <w:rPr>
          <w:rFonts w:ascii="Arial" w:cs="Arial" w:eastAsia="Arial" w:hAnsi="Arial"/>
          <w:sz w:val="14"/>
          <w:szCs w:val="14"/>
          <w:color w:val="auto"/>
        </w:rPr>
      </w:pPr>
    </w:p>
    <w:p>
      <w:pPr>
        <w:ind w:left="820" w:hanging="448"/>
        <w:spacing w:after="0"/>
        <w:tabs>
          <w:tab w:leader="none" w:pos="82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Form of Reports.</w:t>
      </w:r>
    </w:p>
    <w:p>
      <w:pPr>
        <w:spacing w:after="0" w:line="190" w:lineRule="exact"/>
        <w:rPr>
          <w:sz w:val="20"/>
          <w:szCs w:val="20"/>
          <w:color w:val="auto"/>
        </w:rPr>
      </w:pPr>
    </w:p>
    <w:p>
      <w:pPr>
        <w:ind w:firstLine="729"/>
        <w:spacing w:after="0" w:line="253" w:lineRule="auto"/>
        <w:rPr>
          <w:sz w:val="20"/>
          <w:szCs w:val="20"/>
          <w:color w:val="auto"/>
        </w:rPr>
      </w:pPr>
      <w:r>
        <w:rPr>
          <w:rFonts w:ascii="Arial" w:cs="Arial" w:eastAsia="Arial" w:hAnsi="Arial"/>
          <w:sz w:val="14"/>
          <w:szCs w:val="14"/>
          <w:color w:val="auto"/>
        </w:rPr>
        <w:t>A Quarterly Securities Transaction Report may consist of broker statements or other statements that provide a list of all personal Covered Securities holdings and transactions in the time period covered by the report and contain the information required in a Quarterly Securities Transaction Report.</w:t>
      </w:r>
    </w:p>
    <w:p>
      <w:pPr>
        <w:spacing w:after="0" w:line="66" w:lineRule="exact"/>
        <w:rPr>
          <w:sz w:val="20"/>
          <w:szCs w:val="20"/>
          <w:color w:val="auto"/>
        </w:rPr>
      </w:pPr>
    </w:p>
    <w:p>
      <w:pPr>
        <w:ind w:left="820" w:hanging="448"/>
        <w:spacing w:after="0"/>
        <w:tabs>
          <w:tab w:leader="none" w:pos="8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Responsibility to Report.</w:t>
      </w:r>
    </w:p>
    <w:p>
      <w:pPr>
        <w:spacing w:after="0" w:line="190" w:lineRule="exact"/>
        <w:rPr>
          <w:sz w:val="20"/>
          <w:szCs w:val="20"/>
          <w:color w:val="auto"/>
        </w:rPr>
      </w:pPr>
    </w:p>
    <w:p>
      <w:pPr>
        <w:jc w:val="both"/>
        <w:ind w:firstLine="729"/>
        <w:spacing w:after="0" w:line="238" w:lineRule="auto"/>
        <w:rPr>
          <w:sz w:val="20"/>
          <w:szCs w:val="20"/>
          <w:color w:val="auto"/>
        </w:rPr>
      </w:pPr>
      <w:r>
        <w:rPr>
          <w:rFonts w:ascii="Arial" w:cs="Arial" w:eastAsia="Arial" w:hAnsi="Arial"/>
          <w:sz w:val="14"/>
          <w:szCs w:val="14"/>
          <w:color w:val="auto"/>
        </w:rPr>
        <w:t>It is the responsibility of each Access Person to take the initiative to comply with the requirements of this Section V. Any effort by the Corporation, or by the Adviser and its affiliates, to facilitate the reporting process does not change or alter that responsibility. A person need not make a report hereunder with respect to transactions effected for, and Covered Securities held in, any account over which the person has no direct or indirect influence or control.</w:t>
      </w:r>
    </w:p>
    <w:p>
      <w:pPr>
        <w:spacing w:after="0" w:line="75" w:lineRule="exact"/>
        <w:rPr>
          <w:sz w:val="20"/>
          <w:szCs w:val="20"/>
          <w:color w:val="auto"/>
        </w:rPr>
      </w:pPr>
    </w:p>
    <w:p>
      <w:pPr>
        <w:ind w:left="820" w:hanging="448"/>
        <w:spacing w:after="0"/>
        <w:tabs>
          <w:tab w:leader="none" w:pos="8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Where to File Reports.</w:t>
      </w:r>
    </w:p>
    <w:p>
      <w:pPr>
        <w:spacing w:after="0" w:line="190" w:lineRule="exact"/>
        <w:rPr>
          <w:sz w:val="20"/>
          <w:szCs w:val="20"/>
          <w:color w:val="auto"/>
        </w:rPr>
      </w:pPr>
    </w:p>
    <w:p>
      <w:pPr>
        <w:ind w:left="740"/>
        <w:spacing w:after="0"/>
        <w:rPr>
          <w:sz w:val="20"/>
          <w:szCs w:val="20"/>
          <w:color w:val="auto"/>
        </w:rPr>
      </w:pPr>
      <w:r>
        <w:rPr>
          <w:rFonts w:ascii="Arial" w:cs="Arial" w:eastAsia="Arial" w:hAnsi="Arial"/>
          <w:sz w:val="14"/>
          <w:szCs w:val="14"/>
          <w:color w:val="auto"/>
        </w:rPr>
        <w:t>All Quarterly Securities Transaction Reports and Personal Securities Holdings Reports must be filed with the Chief Compliance Officer.</w:t>
      </w:r>
    </w:p>
    <w:p>
      <w:pPr>
        <w:spacing w:after="0" w:line="96" w:lineRule="exact"/>
        <w:rPr>
          <w:sz w:val="20"/>
          <w:szCs w:val="20"/>
          <w:color w:val="auto"/>
        </w:rPr>
      </w:pPr>
    </w:p>
    <w:p>
      <w:pPr>
        <w:ind w:left="820" w:hanging="448"/>
        <w:spacing w:after="0"/>
        <w:tabs>
          <w:tab w:leader="none" w:pos="82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Disclaimers.</w:t>
      </w:r>
    </w:p>
    <w:p>
      <w:pPr>
        <w:spacing w:after="0" w:line="190" w:lineRule="exact"/>
        <w:rPr>
          <w:sz w:val="20"/>
          <w:szCs w:val="20"/>
          <w:color w:val="auto"/>
        </w:rPr>
      </w:pPr>
    </w:p>
    <w:p>
      <w:pPr>
        <w:ind w:right="20" w:firstLine="729"/>
        <w:spacing w:after="0" w:line="253" w:lineRule="auto"/>
        <w:rPr>
          <w:sz w:val="20"/>
          <w:szCs w:val="20"/>
          <w:color w:val="auto"/>
        </w:rPr>
      </w:pPr>
      <w:r>
        <w:rPr>
          <w:rFonts w:ascii="Arial" w:cs="Arial" w:eastAsia="Arial" w:hAnsi="Arial"/>
          <w:sz w:val="14"/>
          <w:szCs w:val="14"/>
          <w:color w:val="auto"/>
        </w:rPr>
        <w:t>Any report required by this Section V may contain a statement that the report will not be construed as an admission that the person making the report has any direct or indirect Beneficial Ownership in the Covered, Security to which the report relates.</w:t>
      </w:r>
    </w:p>
    <w:p>
      <w:pPr>
        <w:spacing w:after="0" w:line="318"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b w:val="1"/>
          <w:bCs w:val="1"/>
          <w:color w:val="auto"/>
        </w:rPr>
        <w:t>Section VII</w:t>
      </w:r>
      <w:r>
        <w:rPr>
          <w:sz w:val="20"/>
          <w:szCs w:val="20"/>
          <w:color w:val="auto"/>
        </w:rPr>
        <w:tab/>
      </w:r>
      <w:r>
        <w:rPr>
          <w:rFonts w:ascii="Arial" w:cs="Arial" w:eastAsia="Arial" w:hAnsi="Arial"/>
          <w:sz w:val="13"/>
          <w:szCs w:val="13"/>
          <w:b w:val="1"/>
          <w:bCs w:val="1"/>
          <w:color w:val="auto"/>
        </w:rPr>
        <w:t>Additional Prohibitions</w:t>
      </w:r>
    </w:p>
    <w:p>
      <w:pPr>
        <w:spacing w:after="0" w:line="100" w:lineRule="exact"/>
        <w:rPr>
          <w:sz w:val="20"/>
          <w:szCs w:val="20"/>
          <w:color w:val="auto"/>
        </w:rPr>
      </w:pPr>
    </w:p>
    <w:p>
      <w:pPr>
        <w:ind w:left="820" w:hanging="448"/>
        <w:spacing w:after="0"/>
        <w:tabs>
          <w:tab w:leader="none" w:pos="8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Confidentiality of the Corporation’s Transactions.</w:t>
      </w:r>
    </w:p>
    <w:p>
      <w:pPr>
        <w:spacing w:after="0" w:line="190" w:lineRule="exact"/>
        <w:rPr>
          <w:sz w:val="20"/>
          <w:szCs w:val="20"/>
          <w:color w:val="auto"/>
        </w:rPr>
      </w:pPr>
    </w:p>
    <w:p>
      <w:pPr>
        <w:jc w:val="both"/>
        <w:ind w:firstLine="729"/>
        <w:spacing w:after="0" w:line="238" w:lineRule="auto"/>
        <w:rPr>
          <w:sz w:val="20"/>
          <w:szCs w:val="20"/>
          <w:color w:val="auto"/>
        </w:rPr>
      </w:pPr>
      <w:r>
        <w:rPr>
          <w:rFonts w:ascii="Arial" w:cs="Arial" w:eastAsia="Arial" w:hAnsi="Arial"/>
          <w:sz w:val="14"/>
          <w:szCs w:val="14"/>
          <w:color w:val="auto"/>
        </w:rPr>
        <w:t>Until disclosed in a public report to shareholders or to the Securities and Exchange Commission in the normal course, all information concerning the securities “being considered for purchase or sale” by the Corporation shall be kept confidential by all Covered Personnel and disclosed by them only on a “need to know” basis. It shall be the responsibility of the Chief Compliance Officer to report any inadequacy found in this regard to the directors of the Corporation.</w:t>
      </w:r>
    </w:p>
    <w:p>
      <w:pPr>
        <w:spacing w:after="0" w:line="75" w:lineRule="exact"/>
        <w:rPr>
          <w:sz w:val="20"/>
          <w:szCs w:val="20"/>
          <w:color w:val="auto"/>
        </w:rPr>
      </w:pPr>
    </w:p>
    <w:p>
      <w:pPr>
        <w:ind w:left="820" w:hanging="448"/>
        <w:spacing w:after="0"/>
        <w:tabs>
          <w:tab w:leader="none" w:pos="82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Outside Business Activities and Directorships.</w:t>
      </w:r>
    </w:p>
    <w:p>
      <w:pPr>
        <w:spacing w:after="0" w:line="190" w:lineRule="exact"/>
        <w:rPr>
          <w:sz w:val="20"/>
          <w:szCs w:val="20"/>
          <w:color w:val="auto"/>
        </w:rPr>
      </w:pPr>
    </w:p>
    <w:p>
      <w:pPr>
        <w:jc w:val="both"/>
        <w:ind w:right="20" w:firstLine="729"/>
        <w:spacing w:after="0" w:line="238" w:lineRule="auto"/>
        <w:rPr>
          <w:sz w:val="20"/>
          <w:szCs w:val="20"/>
          <w:color w:val="auto"/>
        </w:rPr>
      </w:pPr>
      <w:r>
        <w:rPr>
          <w:rFonts w:ascii="Arial" w:cs="Arial" w:eastAsia="Arial" w:hAnsi="Arial"/>
          <w:sz w:val="14"/>
          <w:szCs w:val="14"/>
          <w:color w:val="auto"/>
        </w:rPr>
        <w:t>Access Persons may not engage in any outside business activities that may give rise to conflicts of interest or jeopardize the integrity or reputation of the Corporation. Similarly, no such outside business activities may be inconsistent with the interests of the Corporation. All directorships of public or private companies held by Access Persons shall be reported to the Chief Compliance Officer.</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94" w:name="page95"/>
    <w:bookmarkEnd w:id="94"/>
    <w:p>
      <w:pPr>
        <w:ind w:left="820" w:hanging="448"/>
        <w:spacing w:after="0"/>
        <w:tabs>
          <w:tab w:leader="none" w:pos="82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Gratuities.</w:t>
      </w:r>
    </w:p>
    <w:p>
      <w:pPr>
        <w:spacing w:after="0" w:line="190" w:lineRule="exact"/>
        <w:rPr>
          <w:sz w:val="20"/>
          <w:szCs w:val="20"/>
          <w:color w:val="auto"/>
        </w:rPr>
      </w:pPr>
    </w:p>
    <w:p>
      <w:pPr>
        <w:jc w:val="both"/>
        <w:ind w:right="20" w:firstLine="729"/>
        <w:spacing w:after="0" w:line="253" w:lineRule="auto"/>
        <w:rPr>
          <w:sz w:val="20"/>
          <w:szCs w:val="20"/>
          <w:color w:val="auto"/>
        </w:rPr>
      </w:pPr>
      <w:r>
        <w:rPr>
          <w:rFonts w:ascii="Arial" w:cs="Arial" w:eastAsia="Arial" w:hAnsi="Arial"/>
          <w:sz w:val="14"/>
          <w:szCs w:val="14"/>
          <w:color w:val="auto"/>
        </w:rPr>
        <w:t>Covered Personnel shall not, directly or indirectly, take, accept or receive gifts or other consideration in merchandise, services or otherwise of more than nominal value from any person, firm, corporation, association or other entity other than such person’s employer that does business, or proposes to do business, with the Corporation.</w:t>
      </w:r>
    </w:p>
    <w:p>
      <w:pPr>
        <w:spacing w:after="0" w:line="318" w:lineRule="exact"/>
        <w:rPr>
          <w:sz w:val="20"/>
          <w:szCs w:val="20"/>
          <w:color w:val="auto"/>
        </w:rPr>
      </w:pPr>
    </w:p>
    <w:p>
      <w:pPr>
        <w:spacing w:after="0"/>
        <w:tabs>
          <w:tab w:leader="none" w:pos="1400" w:val="left"/>
        </w:tabs>
        <w:rPr>
          <w:sz w:val="20"/>
          <w:szCs w:val="20"/>
          <w:color w:val="auto"/>
        </w:rPr>
      </w:pPr>
      <w:r>
        <w:rPr>
          <w:rFonts w:ascii="Arial" w:cs="Arial" w:eastAsia="Arial" w:hAnsi="Arial"/>
          <w:sz w:val="14"/>
          <w:szCs w:val="14"/>
          <w:b w:val="1"/>
          <w:bCs w:val="1"/>
          <w:color w:val="auto"/>
        </w:rPr>
        <w:t>Section VIII</w:t>
      </w:r>
      <w:r>
        <w:rPr>
          <w:sz w:val="20"/>
          <w:szCs w:val="20"/>
          <w:color w:val="auto"/>
        </w:rPr>
        <w:tab/>
      </w:r>
      <w:r>
        <w:rPr>
          <w:rFonts w:ascii="Arial" w:cs="Arial" w:eastAsia="Arial" w:hAnsi="Arial"/>
          <w:sz w:val="13"/>
          <w:szCs w:val="13"/>
          <w:b w:val="1"/>
          <w:bCs w:val="1"/>
          <w:color w:val="auto"/>
        </w:rPr>
        <w:t>Prohibition Against Insider Trading</w:t>
      </w:r>
    </w:p>
    <w:p>
      <w:pPr>
        <w:spacing w:after="0" w:line="100" w:lineRule="exact"/>
        <w:rPr>
          <w:sz w:val="20"/>
          <w:szCs w:val="20"/>
          <w:color w:val="auto"/>
        </w:rPr>
      </w:pPr>
    </w:p>
    <w:p>
      <w:pPr>
        <w:jc w:val="both"/>
        <w:ind w:firstLine="729"/>
        <w:spacing w:after="0" w:line="251" w:lineRule="auto"/>
        <w:rPr>
          <w:sz w:val="20"/>
          <w:szCs w:val="20"/>
          <w:color w:val="auto"/>
        </w:rPr>
      </w:pPr>
      <w:r>
        <w:rPr>
          <w:rFonts w:ascii="Arial" w:cs="Arial" w:eastAsia="Arial" w:hAnsi="Arial"/>
          <w:sz w:val="13"/>
          <w:szCs w:val="13"/>
          <w:color w:val="auto"/>
        </w:rPr>
        <w:t>This Section is intended to satisfy the requirements of Section 204A of the Advisers Act, which is applicable to the Adviser and requires that the Adviser establish and enforce procedures designed to prevent the misuse of material, non-public information by its associated persons. It applies to all Advisory Persons. Trading securities while in possession of material, non-public information, or improperly communicating that information to others, may expose an Advisory Person to severe penalties. Criminal sanctions may include a fine of up to $1,000,000 and/or ten years imprisonment. The SEC can recover the profits gained or losses avoided through the violative trading, a penalty of up to three times the illicit windfall, and an order permanently barring an Advisory Person from the securities industry. Finally, an Advisory Person may be sued by investors seeking to recover damages for insider trading violations.</w:t>
      </w:r>
    </w:p>
    <w:p>
      <w:pPr>
        <w:spacing w:after="0" w:line="69" w:lineRule="exact"/>
        <w:rPr>
          <w:sz w:val="20"/>
          <w:szCs w:val="20"/>
          <w:color w:val="auto"/>
        </w:rPr>
      </w:pPr>
    </w:p>
    <w:p>
      <w:pPr>
        <w:ind w:left="820" w:hanging="448"/>
        <w:spacing w:after="0" w:line="253" w:lineRule="auto"/>
        <w:tabs>
          <w:tab w:leader="none" w:pos="82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No Advisory Person may trade a security, either personally or on behalf of any other person or account (including any fund), while in possession of material, non-public information concerning that security or the issuer thereof, nor may any Advisory Person communicate material, non-public information to others in violation of the law.</w:t>
      </w:r>
    </w:p>
    <w:p>
      <w:pPr>
        <w:spacing w:after="0" w:line="65" w:lineRule="exact"/>
        <w:rPr>
          <w:rFonts w:ascii="Arial" w:cs="Arial" w:eastAsia="Arial" w:hAnsi="Arial"/>
          <w:sz w:val="14"/>
          <w:szCs w:val="14"/>
          <w:color w:val="auto"/>
        </w:rPr>
      </w:pPr>
    </w:p>
    <w:p>
      <w:pPr>
        <w:jc w:val="both"/>
        <w:ind w:left="820" w:hanging="448"/>
        <w:spacing w:after="0" w:line="228" w:lineRule="auto"/>
        <w:tabs>
          <w:tab w:leader="none" w:pos="82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Information is “material” where there is a substantial likelihood that a reasonable investor would consider it important in making his or her investment decisions. Generally, this includes any information the disclosure of which will have a substantial effect on the price of a security. No simple test exists to determine when information is material; assessments of materiality involve a highly fact specific inquiry. For this reason, an Advisory Person should direct any questions about whether information is material to the Chief Compliance Officer. Material information often relates to a company’s results and operations, including, for example, dividend changes, earnings results, changes in previously released earnings estimates, significant merger or acquisition proposals or agreements, major litigation, liquidation problems, and extraordinary management developments. Material information may also relate to the market for a company’s securities. Information about a significant order to purchase or sell Securities may, in some contexts, be material. Pre-publication information regarding reports in the financial press may also be material.</w:t>
      </w:r>
    </w:p>
    <w:p>
      <w:pPr>
        <w:spacing w:after="0" w:line="76" w:lineRule="exact"/>
        <w:rPr>
          <w:rFonts w:ascii="Arial" w:cs="Arial" w:eastAsia="Arial" w:hAnsi="Arial"/>
          <w:sz w:val="14"/>
          <w:szCs w:val="14"/>
          <w:color w:val="auto"/>
        </w:rPr>
      </w:pPr>
    </w:p>
    <w:p>
      <w:pPr>
        <w:jc w:val="both"/>
        <w:ind w:left="820" w:hanging="448"/>
        <w:spacing w:after="0" w:line="238" w:lineRule="auto"/>
        <w:tabs>
          <w:tab w:leader="none" w:pos="82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Information is “public” when it has been disseminated broadly to investors in the marketplace. For example, information is public after it has become available to the general public through a public filing with the SEC or some other government agency, the Dow Jones “tape” or The Wall Street Journal or some other publication of general circulation, and after sufficient time has passed so that the information has been disseminated widely.</w:t>
      </w:r>
    </w:p>
    <w:p>
      <w:pPr>
        <w:spacing w:after="0" w:line="74" w:lineRule="exact"/>
        <w:rPr>
          <w:rFonts w:ascii="Arial" w:cs="Arial" w:eastAsia="Arial" w:hAnsi="Arial"/>
          <w:sz w:val="14"/>
          <w:szCs w:val="14"/>
          <w:color w:val="auto"/>
        </w:rPr>
      </w:pPr>
    </w:p>
    <w:p>
      <w:pPr>
        <w:jc w:val="both"/>
        <w:ind w:left="820" w:hanging="448"/>
        <w:spacing w:after="0" w:line="238" w:lineRule="auto"/>
        <w:tabs>
          <w:tab w:leader="none" w:pos="82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An Advisory Person, before executing any trade for himself or herself, or others, including the Corporation or other accounts managed by the Adviser or by a stockholder of the Adviser, or any affiliate of the stockholder (“Client Accounts”), must determine whether he or she has material, non-public information. Any Advisory Person who believes he or she is in possession of material, non-public information must take the following steps:</w:t>
      </w:r>
    </w:p>
    <w:p>
      <w:pPr>
        <w:spacing w:after="0" w:line="74" w:lineRule="exact"/>
        <w:rPr>
          <w:rFonts w:ascii="Arial" w:cs="Arial" w:eastAsia="Arial" w:hAnsi="Arial"/>
          <w:sz w:val="14"/>
          <w:szCs w:val="14"/>
          <w:color w:val="auto"/>
        </w:rPr>
      </w:pPr>
    </w:p>
    <w:p>
      <w:pPr>
        <w:ind w:left="1560" w:hanging="823"/>
        <w:spacing w:after="0"/>
        <w:tabs>
          <w:tab w:leader="none" w:pos="156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Report the information and proposed trade immediately to the Chief Compliance Officer.</w:t>
      </w:r>
    </w:p>
    <w:p>
      <w:pPr>
        <w:spacing w:after="0" w:line="95" w:lineRule="exact"/>
        <w:rPr>
          <w:rFonts w:ascii="Arial" w:cs="Arial" w:eastAsia="Arial" w:hAnsi="Arial"/>
          <w:sz w:val="14"/>
          <w:szCs w:val="14"/>
          <w:color w:val="auto"/>
        </w:rPr>
      </w:pPr>
    </w:p>
    <w:p>
      <w:pPr>
        <w:ind w:left="1560" w:hanging="823"/>
        <w:spacing w:after="0"/>
        <w:tabs>
          <w:tab w:leader="none" w:pos="156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Do not purchase or sell the securities on behalf of anyone, including Client Accounts.</w:t>
      </w:r>
    </w:p>
    <w:p>
      <w:pPr>
        <w:spacing w:after="0" w:line="95" w:lineRule="exact"/>
        <w:rPr>
          <w:rFonts w:ascii="Arial" w:cs="Arial" w:eastAsia="Arial" w:hAnsi="Arial"/>
          <w:sz w:val="14"/>
          <w:szCs w:val="14"/>
          <w:color w:val="auto"/>
        </w:rPr>
      </w:pPr>
    </w:p>
    <w:p>
      <w:pPr>
        <w:ind w:left="1560" w:hanging="823"/>
        <w:spacing w:after="0"/>
        <w:tabs>
          <w:tab w:leader="none" w:pos="156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Do not communicate the information to any person, other than to the Chief Compliance Officer.</w:t>
      </w:r>
    </w:p>
    <w:p>
      <w:pPr>
        <w:spacing w:after="0" w:line="96"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After the Chief Compliance Officer has reviewed the issue, the Chief Compliance Officer will determine whether the information is material and non-public and, if so, what action the Advisory Person should take. An Advisory Person must consult with the Chief Compliance Officer before taking any further action. This degree of caution will protect the Advisory Person and the Adviser.</w:t>
      </w:r>
    </w:p>
    <w:p>
      <w:pPr>
        <w:spacing w:after="0" w:line="75" w:lineRule="exact"/>
        <w:rPr>
          <w:sz w:val="20"/>
          <w:szCs w:val="20"/>
          <w:color w:val="auto"/>
        </w:rPr>
      </w:pPr>
    </w:p>
    <w:p>
      <w:pPr>
        <w:jc w:val="both"/>
        <w:ind w:left="820" w:hanging="448"/>
        <w:spacing w:after="0" w:line="228" w:lineRule="auto"/>
        <w:tabs>
          <w:tab w:leader="none" w:pos="82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To prevent and detect insider trading from occurring, the Chief Compliance Officer shall prepare and maintain a “Restricted List” in order to monitor and prevent the occurrence of insider trading in certain securities that Access Persons are prohibited or restricted from trading. The Chief Compliance Officer manages, maintains and updates the Restricted List to actually restrict trading (no buying, no selling, no shorting, no trading, etc.) in the securities of specific issuers for personal accounts and on behalf Adviser’s clients. Before executing any trade for himself or herself, Advisory Persons are required to determine whether the transaction involves a security on the Restricted List. Advisory Persons are prohibited from trading any security which appears on the Restricted List, except that, with prior approval, an Advisory Person may sell securities which were not on the Restricted List when acquired (or which were acquired at a time when the Advisory Person was not subject to such restrictions). The Restricted List must be maintained strictly confidential and not disclosed to anyone outside of the Adviser and the Corporation.</w:t>
      </w:r>
    </w:p>
    <w:p>
      <w:pPr>
        <w:spacing w:after="0" w:line="76" w:lineRule="exact"/>
        <w:rPr>
          <w:rFonts w:ascii="Arial" w:cs="Arial" w:eastAsia="Arial" w:hAnsi="Arial"/>
          <w:sz w:val="14"/>
          <w:szCs w:val="14"/>
          <w:color w:val="auto"/>
        </w:rPr>
      </w:pPr>
    </w:p>
    <w:p>
      <w:pPr>
        <w:jc w:val="both"/>
        <w:ind w:left="820" w:hanging="448"/>
        <w:spacing w:after="0" w:line="229" w:lineRule="auto"/>
        <w:tabs>
          <w:tab w:leader="none" w:pos="82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Contacts with public companies will sometimes be a part of an Adviser’s research efforts. Persons providing investment advisory services to the Corporation may make investment decisions on the basis of conclusions formed through such contacts and analysis of publicly available information. Difficult legal issues arise, however, when, in the course of these contacts, an Advisory Person becomes aware of material, non-public information. This could happen, for example, if a company’s chief financial officer prematurely discloses quarterly results to an analyst, or an investor relations representative makes selective disclosure of adverse news to a handful of investors. In such situations, the Adviser must make a judgment as to its further conduct. To protect yourself, clients and the Adviser, you should contact the Chief Compliance Officer immediately if you believe that you may have received material, non-public information.</w:t>
      </w:r>
    </w:p>
    <w:p>
      <w:pPr>
        <w:spacing w:after="0" w:line="330" w:lineRule="exact"/>
        <w:rPr>
          <w:sz w:val="20"/>
          <w:szCs w:val="20"/>
          <w:color w:val="auto"/>
        </w:rPr>
      </w:pPr>
    </w:p>
    <w:p>
      <w:pPr>
        <w:spacing w:after="0"/>
        <w:tabs>
          <w:tab w:leader="none" w:pos="1280" w:val="left"/>
        </w:tabs>
        <w:rPr>
          <w:sz w:val="20"/>
          <w:szCs w:val="20"/>
          <w:color w:val="auto"/>
        </w:rPr>
      </w:pPr>
      <w:r>
        <w:rPr>
          <w:rFonts w:ascii="Arial" w:cs="Arial" w:eastAsia="Arial" w:hAnsi="Arial"/>
          <w:sz w:val="14"/>
          <w:szCs w:val="14"/>
          <w:b w:val="1"/>
          <w:bCs w:val="1"/>
          <w:color w:val="auto"/>
        </w:rPr>
        <w:t>Section IX</w:t>
      </w:r>
      <w:r>
        <w:rPr>
          <w:sz w:val="20"/>
          <w:szCs w:val="20"/>
          <w:color w:val="auto"/>
        </w:rPr>
        <w:tab/>
      </w:r>
      <w:r>
        <w:rPr>
          <w:rFonts w:ascii="Arial" w:cs="Arial" w:eastAsia="Arial" w:hAnsi="Arial"/>
          <w:sz w:val="13"/>
          <w:szCs w:val="13"/>
          <w:b w:val="1"/>
          <w:bCs w:val="1"/>
          <w:color w:val="auto"/>
        </w:rPr>
        <w:t>Annual Certification</w:t>
      </w:r>
    </w:p>
    <w:p>
      <w:pPr>
        <w:spacing w:after="0" w:line="100" w:lineRule="exact"/>
        <w:rPr>
          <w:sz w:val="20"/>
          <w:szCs w:val="20"/>
          <w:color w:val="auto"/>
        </w:rPr>
      </w:pPr>
    </w:p>
    <w:p>
      <w:pPr>
        <w:ind w:left="820" w:hanging="448"/>
        <w:spacing w:after="0"/>
        <w:tabs>
          <w:tab w:leader="none" w:pos="82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Access Persons.</w:t>
      </w:r>
    </w:p>
    <w:p>
      <w:pPr>
        <w:spacing w:after="0" w:line="190" w:lineRule="exact"/>
        <w:rPr>
          <w:sz w:val="20"/>
          <w:szCs w:val="20"/>
          <w:color w:val="auto"/>
        </w:rPr>
      </w:pPr>
    </w:p>
    <w:p>
      <w:pPr>
        <w:ind w:right="20" w:firstLine="729"/>
        <w:spacing w:after="0" w:line="290" w:lineRule="auto"/>
        <w:rPr>
          <w:sz w:val="20"/>
          <w:szCs w:val="20"/>
          <w:color w:val="auto"/>
        </w:rPr>
      </w:pPr>
      <w:r>
        <w:rPr>
          <w:rFonts w:ascii="Arial" w:cs="Arial" w:eastAsia="Arial" w:hAnsi="Arial"/>
          <w:sz w:val="13"/>
          <w:szCs w:val="13"/>
          <w:color w:val="auto"/>
        </w:rPr>
        <w:t>Access Persons who are directors, managers, officers or employees of the Corporation or the Adviser shall be required to certify annually that they have read this Code and that they understand it and recognize that they are subject to it. Further, such Access Persons shall be required to certify annually that they have complied with the requirements of this Code.</w:t>
      </w:r>
    </w:p>
    <w:p>
      <w:pPr>
        <w:spacing w:after="0" w:line="44" w:lineRule="exact"/>
        <w:rPr>
          <w:sz w:val="20"/>
          <w:szCs w:val="20"/>
          <w:color w:val="auto"/>
        </w:rPr>
      </w:pPr>
    </w:p>
    <w:p>
      <w:pPr>
        <w:ind w:left="820" w:hanging="448"/>
        <w:spacing w:after="0"/>
        <w:tabs>
          <w:tab w:leader="none" w:pos="82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Board Review.</w:t>
      </w:r>
    </w:p>
    <w:p>
      <w:pPr>
        <w:spacing w:after="0" w:line="190" w:lineRule="exact"/>
        <w:rPr>
          <w:sz w:val="20"/>
          <w:szCs w:val="20"/>
          <w:color w:val="auto"/>
        </w:rPr>
      </w:pPr>
    </w:p>
    <w:p>
      <w:pPr>
        <w:jc w:val="both"/>
        <w:ind w:right="20" w:firstLine="729"/>
        <w:spacing w:after="0" w:line="233" w:lineRule="auto"/>
        <w:rPr>
          <w:sz w:val="20"/>
          <w:szCs w:val="20"/>
          <w:color w:val="auto"/>
        </w:rPr>
      </w:pPr>
      <w:r>
        <w:rPr>
          <w:rFonts w:ascii="Arial" w:cs="Arial" w:eastAsia="Arial" w:hAnsi="Arial"/>
          <w:sz w:val="14"/>
          <w:szCs w:val="14"/>
          <w:color w:val="auto"/>
        </w:rPr>
        <w:t>No less frequently than annually, the Corporation and the Adviser must furnish to the Corporation’s board of directors, and the board must consider, a written report that: (A) describes any issues arising under this Code or procedures since the last report to the board, including, but not limited to, information about material violations of the Code or procedures and sanctions imposed in response to material violations; and (B) certifies that the Corporation or the Adviser, as applicable, has adopted procedures reasonably necessary to prevent Access Persons from violating the Code.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95" w:name="page96"/>
    <w:bookmarkEnd w:id="95"/>
    <w:p>
      <w:pPr>
        <w:spacing w:after="0"/>
        <w:tabs>
          <w:tab w:leader="none" w:pos="1220" w:val="left"/>
        </w:tabs>
        <w:rPr>
          <w:sz w:val="20"/>
          <w:szCs w:val="20"/>
          <w:color w:val="auto"/>
        </w:rPr>
      </w:pPr>
      <w:r>
        <w:rPr>
          <w:rFonts w:ascii="Arial" w:cs="Arial" w:eastAsia="Arial" w:hAnsi="Arial"/>
          <w:sz w:val="14"/>
          <w:szCs w:val="14"/>
          <w:b w:val="1"/>
          <w:bCs w:val="1"/>
          <w:color w:val="auto"/>
        </w:rPr>
        <w:t>Section X</w:t>
      </w:r>
      <w:r>
        <w:rPr>
          <w:sz w:val="20"/>
          <w:szCs w:val="20"/>
          <w:color w:val="auto"/>
        </w:rPr>
        <w:tab/>
      </w:r>
      <w:r>
        <w:rPr>
          <w:rFonts w:ascii="Arial" w:cs="Arial" w:eastAsia="Arial" w:hAnsi="Arial"/>
          <w:sz w:val="12"/>
          <w:szCs w:val="12"/>
          <w:b w:val="1"/>
          <w:bCs w:val="1"/>
          <w:color w:val="auto"/>
        </w:rPr>
        <w:t>Sanctions</w:t>
      </w:r>
    </w:p>
    <w:p>
      <w:pPr>
        <w:spacing w:after="0" w:line="100" w:lineRule="exact"/>
        <w:rPr>
          <w:sz w:val="20"/>
          <w:szCs w:val="20"/>
          <w:color w:val="auto"/>
        </w:rPr>
      </w:pPr>
    </w:p>
    <w:p>
      <w:pPr>
        <w:jc w:val="both"/>
        <w:ind w:firstLine="729"/>
        <w:spacing w:after="0" w:line="251" w:lineRule="auto"/>
        <w:rPr>
          <w:sz w:val="20"/>
          <w:szCs w:val="20"/>
          <w:color w:val="auto"/>
        </w:rPr>
      </w:pPr>
      <w:r>
        <w:rPr>
          <w:rFonts w:ascii="Arial" w:cs="Arial" w:eastAsia="Arial" w:hAnsi="Arial"/>
          <w:sz w:val="13"/>
          <w:szCs w:val="13"/>
          <w:color w:val="auto"/>
        </w:rPr>
        <w:t>Any violation of this Code shall be subject to the imposition of such sanctions by the 17j-1 Organization as may be deemed appropriate under the circumstances to achieve the purposes of Rule 17j-1 and this Code. The sanctions to be imposed shall be determined by the board of directors, including a majority of the Independent Directors, provided, however, that with respect to violations by persons who are directors, managers, officers or employees of the Adviser (or of a company that controls the Adviser), the sanctions to be imposed shall be determined by the Adviser (or the controlling person thereof). Sanctions may include, but are not limited to, suspension or termination of employment, a letter of censure and/or restitution of an amount equal to the difference between the price paid or received by the Corporation and the more advantageous price paid or received by the offending person.</w:t>
      </w:r>
    </w:p>
    <w:p>
      <w:pPr>
        <w:spacing w:after="0" w:line="321" w:lineRule="exact"/>
        <w:rPr>
          <w:sz w:val="20"/>
          <w:szCs w:val="20"/>
          <w:color w:val="auto"/>
        </w:rPr>
      </w:pPr>
    </w:p>
    <w:p>
      <w:pPr>
        <w:spacing w:after="0"/>
        <w:tabs>
          <w:tab w:leader="none" w:pos="1280" w:val="left"/>
        </w:tabs>
        <w:rPr>
          <w:sz w:val="20"/>
          <w:szCs w:val="20"/>
          <w:color w:val="auto"/>
        </w:rPr>
      </w:pPr>
      <w:r>
        <w:rPr>
          <w:rFonts w:ascii="Arial" w:cs="Arial" w:eastAsia="Arial" w:hAnsi="Arial"/>
          <w:sz w:val="14"/>
          <w:szCs w:val="14"/>
          <w:b w:val="1"/>
          <w:bCs w:val="1"/>
          <w:color w:val="auto"/>
        </w:rPr>
        <w:t>Section XI</w:t>
      </w:r>
      <w:r>
        <w:rPr>
          <w:sz w:val="20"/>
          <w:szCs w:val="20"/>
          <w:color w:val="auto"/>
        </w:rPr>
        <w:tab/>
      </w:r>
      <w:r>
        <w:rPr>
          <w:rFonts w:ascii="Arial" w:cs="Arial" w:eastAsia="Arial" w:hAnsi="Arial"/>
          <w:sz w:val="13"/>
          <w:szCs w:val="13"/>
          <w:b w:val="1"/>
          <w:bCs w:val="1"/>
          <w:color w:val="auto"/>
        </w:rPr>
        <w:t>Administration and Construction</w:t>
      </w:r>
    </w:p>
    <w:p>
      <w:pPr>
        <w:spacing w:after="0" w:line="100" w:lineRule="exact"/>
        <w:rPr>
          <w:sz w:val="20"/>
          <w:szCs w:val="20"/>
          <w:color w:val="auto"/>
        </w:rPr>
      </w:pPr>
    </w:p>
    <w:p>
      <w:pPr>
        <w:ind w:left="820" w:hanging="448"/>
        <w:spacing w:after="0"/>
        <w:tabs>
          <w:tab w:leader="none" w:pos="82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administration of this Code shall be the responsibility of the Chief Compliance Officer.</w:t>
      </w:r>
    </w:p>
    <w:p>
      <w:pPr>
        <w:spacing w:after="0" w:line="190" w:lineRule="exact"/>
        <w:rPr>
          <w:rFonts w:ascii="Arial" w:cs="Arial" w:eastAsia="Arial" w:hAnsi="Arial"/>
          <w:sz w:val="14"/>
          <w:szCs w:val="14"/>
          <w:color w:val="auto"/>
        </w:rPr>
      </w:pPr>
    </w:p>
    <w:p>
      <w:pPr>
        <w:ind w:left="820" w:hanging="448"/>
        <w:spacing w:after="0"/>
        <w:tabs>
          <w:tab w:leader="none" w:pos="82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duties of the Chief Compliance Officer are as follows:</w:t>
      </w:r>
    </w:p>
    <w:p>
      <w:pPr>
        <w:spacing w:after="0" w:line="190" w:lineRule="exact"/>
        <w:rPr>
          <w:rFonts w:ascii="Arial" w:cs="Arial" w:eastAsia="Arial" w:hAnsi="Arial"/>
          <w:sz w:val="14"/>
          <w:szCs w:val="14"/>
          <w:color w:val="auto"/>
        </w:rPr>
      </w:pPr>
    </w:p>
    <w:p>
      <w:pPr>
        <w:jc w:val="both"/>
        <w:ind w:left="1000" w:hanging="277"/>
        <w:spacing w:after="0" w:line="238" w:lineRule="auto"/>
        <w:tabs>
          <w:tab w:leader="none" w:pos="1000" w:val="left"/>
        </w:tabs>
        <w:numPr>
          <w:ilvl w:val="1"/>
          <w:numId w:val="119"/>
        </w:numPr>
        <w:rPr>
          <w:rFonts w:ascii="Arial" w:cs="Arial" w:eastAsia="Arial" w:hAnsi="Arial"/>
          <w:sz w:val="14"/>
          <w:szCs w:val="14"/>
          <w:color w:val="auto"/>
        </w:rPr>
      </w:pPr>
      <w:r>
        <w:rPr>
          <w:rFonts w:ascii="Arial" w:cs="Arial" w:eastAsia="Arial" w:hAnsi="Arial"/>
          <w:sz w:val="14"/>
          <w:szCs w:val="14"/>
          <w:color w:val="auto"/>
        </w:rPr>
        <w:t>Continuous maintenance of a current list of the names of all Access Persons with an appropriate description of their title or employment, including a notation of any directorships held by Access Persons who are officers or employees of the Adviser or of any company that controls the Adviser, and informing all Access Persons of their reporting obligations hereunder;</w:t>
      </w:r>
    </w:p>
    <w:p>
      <w:pPr>
        <w:spacing w:after="0" w:line="74" w:lineRule="exact"/>
        <w:rPr>
          <w:rFonts w:ascii="Arial" w:cs="Arial" w:eastAsia="Arial" w:hAnsi="Arial"/>
          <w:sz w:val="14"/>
          <w:szCs w:val="14"/>
          <w:color w:val="auto"/>
        </w:rPr>
      </w:pPr>
    </w:p>
    <w:p>
      <w:pPr>
        <w:ind w:left="1000" w:right="20" w:hanging="277"/>
        <w:spacing w:after="0" w:line="253" w:lineRule="auto"/>
        <w:tabs>
          <w:tab w:leader="none" w:pos="1000" w:val="left"/>
        </w:tabs>
        <w:numPr>
          <w:ilvl w:val="1"/>
          <w:numId w:val="119"/>
        </w:numPr>
        <w:rPr>
          <w:rFonts w:ascii="Arial" w:cs="Arial" w:eastAsia="Arial" w:hAnsi="Arial"/>
          <w:sz w:val="14"/>
          <w:szCs w:val="14"/>
          <w:color w:val="auto"/>
        </w:rPr>
      </w:pPr>
      <w:r>
        <w:rPr>
          <w:rFonts w:ascii="Arial" w:cs="Arial" w:eastAsia="Arial" w:hAnsi="Arial"/>
          <w:sz w:val="14"/>
          <w:szCs w:val="14"/>
          <w:color w:val="auto"/>
        </w:rPr>
        <w:t>On an annual basis, providing all Covered Personnel a copy of this Code and informing such persons of their duties and obligations hereunder including any supplemental training that may be required from time to time;</w:t>
      </w:r>
    </w:p>
    <w:p>
      <w:pPr>
        <w:spacing w:after="0" w:line="65" w:lineRule="exact"/>
        <w:rPr>
          <w:rFonts w:ascii="Arial" w:cs="Arial" w:eastAsia="Arial" w:hAnsi="Arial"/>
          <w:sz w:val="14"/>
          <w:szCs w:val="14"/>
          <w:color w:val="auto"/>
        </w:rPr>
      </w:pPr>
    </w:p>
    <w:p>
      <w:pPr>
        <w:ind w:left="1560" w:hanging="823"/>
        <w:spacing w:after="0"/>
        <w:tabs>
          <w:tab w:leader="none" w:pos="1560" w:val="left"/>
        </w:tabs>
        <w:numPr>
          <w:ilvl w:val="2"/>
          <w:numId w:val="119"/>
        </w:numPr>
        <w:rPr>
          <w:rFonts w:ascii="Arial" w:cs="Arial" w:eastAsia="Arial" w:hAnsi="Arial"/>
          <w:sz w:val="14"/>
          <w:szCs w:val="14"/>
          <w:color w:val="auto"/>
        </w:rPr>
      </w:pPr>
      <w:r>
        <w:rPr>
          <w:rFonts w:ascii="Arial" w:cs="Arial" w:eastAsia="Arial" w:hAnsi="Arial"/>
          <w:sz w:val="14"/>
          <w:szCs w:val="14"/>
          <w:color w:val="auto"/>
        </w:rPr>
        <w:t>Maintaining or supervising the maintenance of all records and reports required by this Code;</w:t>
      </w:r>
    </w:p>
    <w:p>
      <w:pPr>
        <w:spacing w:after="0" w:line="96" w:lineRule="exact"/>
        <w:rPr>
          <w:sz w:val="20"/>
          <w:szCs w:val="20"/>
          <w:color w:val="auto"/>
        </w:rPr>
      </w:pPr>
    </w:p>
    <w:p>
      <w:pPr>
        <w:ind w:left="1000" w:hanging="277"/>
        <w:spacing w:after="0" w:line="253" w:lineRule="auto"/>
        <w:tabs>
          <w:tab w:leader="none" w:pos="100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Preparing listings of all transactions effected by Access Persons who are subject to the requirement to file Quarterly Securities Transaction Reports and reviewing such transactions against a listing of all transactions effected by the Corporation;</w:t>
      </w:r>
    </w:p>
    <w:p>
      <w:pPr>
        <w:spacing w:after="0" w:line="65" w:lineRule="exact"/>
        <w:rPr>
          <w:rFonts w:ascii="Arial" w:cs="Arial" w:eastAsia="Arial" w:hAnsi="Arial"/>
          <w:sz w:val="14"/>
          <w:szCs w:val="14"/>
          <w:color w:val="auto"/>
        </w:rPr>
      </w:pPr>
    </w:p>
    <w:p>
      <w:pPr>
        <w:ind w:left="1000" w:hanging="277"/>
        <w:spacing w:after="0" w:line="253" w:lineRule="auto"/>
        <w:tabs>
          <w:tab w:leader="none" w:pos="100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Issuance either personally or with the assistance of counsel as may be appropriate, of any interpretation of this Code that may appear consistent with the objectives of Rule 17j-1 and this Code;</w:t>
      </w:r>
    </w:p>
    <w:p>
      <w:pPr>
        <w:spacing w:after="0" w:line="65" w:lineRule="exact"/>
        <w:rPr>
          <w:rFonts w:ascii="Arial" w:cs="Arial" w:eastAsia="Arial" w:hAnsi="Arial"/>
          <w:sz w:val="14"/>
          <w:szCs w:val="14"/>
          <w:color w:val="auto"/>
        </w:rPr>
      </w:pPr>
    </w:p>
    <w:p>
      <w:pPr>
        <w:ind w:left="1000" w:hanging="277"/>
        <w:spacing w:after="0" w:line="253" w:lineRule="auto"/>
        <w:tabs>
          <w:tab w:leader="none" w:pos="100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Conduct such inspections or investigations as shall reasonably be required to detect and report, with recommendations, any apparent violations of this Code to the board of directors of the Corporation;</w:t>
      </w:r>
    </w:p>
    <w:p>
      <w:pPr>
        <w:spacing w:after="0" w:line="65" w:lineRule="exact"/>
        <w:rPr>
          <w:rFonts w:ascii="Arial" w:cs="Arial" w:eastAsia="Arial" w:hAnsi="Arial"/>
          <w:sz w:val="14"/>
          <w:szCs w:val="14"/>
          <w:color w:val="auto"/>
        </w:rPr>
      </w:pPr>
    </w:p>
    <w:p>
      <w:pPr>
        <w:ind w:left="1000" w:hanging="277"/>
        <w:spacing w:after="0" w:line="253" w:lineRule="auto"/>
        <w:tabs>
          <w:tab w:leader="none" w:pos="100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Submission of a report to the board of directors of the Corporation, no less frequently than annually, a written report that describes any issues arising under the Code since the last such report, including but not limited to the information described in Section VII (B); and</w:t>
      </w:r>
    </w:p>
    <w:p>
      <w:pPr>
        <w:spacing w:after="0" w:line="66" w:lineRule="exact"/>
        <w:rPr>
          <w:sz w:val="20"/>
          <w:szCs w:val="20"/>
          <w:color w:val="auto"/>
        </w:rPr>
      </w:pPr>
    </w:p>
    <w:p>
      <w:pPr>
        <w:ind w:left="1000" w:hanging="277"/>
        <w:spacing w:after="0" w:line="253" w:lineRule="auto"/>
        <w:tabs>
          <w:tab w:leader="none" w:pos="100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The Chief Financial Officer shall maintain and cause to be maintained in an easily accessible place at the principal place of business of the 17j-1 Organization, the following records:</w:t>
      </w:r>
    </w:p>
    <w:p>
      <w:pPr>
        <w:spacing w:after="0" w:line="66" w:lineRule="exact"/>
        <w:rPr>
          <w:sz w:val="20"/>
          <w:szCs w:val="20"/>
          <w:color w:val="auto"/>
        </w:rPr>
      </w:pPr>
    </w:p>
    <w:p>
      <w:pPr>
        <w:ind w:left="1000" w:hanging="277"/>
        <w:spacing w:after="0" w:line="253" w:lineRule="auto"/>
        <w:tabs>
          <w:tab w:leader="none" w:pos="100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A copy of all codes of ethics adopted by the Corporation or the Adviser and its affiliates, as the case may be, pursuant to Rule 17j-1 that have been in effect at any time during the past five (5) years;</w:t>
      </w:r>
    </w:p>
    <w:p>
      <w:pPr>
        <w:spacing w:after="0" w:line="65" w:lineRule="exact"/>
        <w:rPr>
          <w:rFonts w:ascii="Arial" w:cs="Arial" w:eastAsia="Arial" w:hAnsi="Arial"/>
          <w:sz w:val="14"/>
          <w:szCs w:val="14"/>
          <w:color w:val="auto"/>
        </w:rPr>
      </w:pPr>
    </w:p>
    <w:p>
      <w:pPr>
        <w:ind w:left="1000" w:hanging="277"/>
        <w:spacing w:after="0" w:line="253" w:lineRule="auto"/>
        <w:tabs>
          <w:tab w:leader="none" w:pos="100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A record of each violation of such codes of ethics and of any action taken as a result of such violation for at least five (5) years after the end of the fiscal year in which the violation occurs;</w:t>
      </w:r>
    </w:p>
    <w:p>
      <w:pPr>
        <w:spacing w:after="0" w:line="65" w:lineRule="exact"/>
        <w:rPr>
          <w:rFonts w:ascii="Arial" w:cs="Arial" w:eastAsia="Arial" w:hAnsi="Arial"/>
          <w:sz w:val="14"/>
          <w:szCs w:val="14"/>
          <w:color w:val="auto"/>
        </w:rPr>
      </w:pPr>
    </w:p>
    <w:p>
      <w:pPr>
        <w:ind w:left="1000" w:hanging="277"/>
        <w:spacing w:after="0" w:line="253" w:lineRule="auto"/>
        <w:tabs>
          <w:tab w:leader="none" w:pos="100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A copy of each report made by an Access Person for at least two (2) years after the end of the fiscal year in which the report is made, and for an additional three (3) years in a place that need not be easily accessible;</w:t>
      </w:r>
    </w:p>
    <w:p>
      <w:pPr>
        <w:spacing w:after="0" w:line="65" w:lineRule="exact"/>
        <w:rPr>
          <w:rFonts w:ascii="Arial" w:cs="Arial" w:eastAsia="Arial" w:hAnsi="Arial"/>
          <w:sz w:val="14"/>
          <w:szCs w:val="14"/>
          <w:color w:val="auto"/>
        </w:rPr>
      </w:pPr>
    </w:p>
    <w:p>
      <w:pPr>
        <w:ind w:left="1000" w:hanging="277"/>
        <w:spacing w:after="0" w:line="253" w:lineRule="auto"/>
        <w:tabs>
          <w:tab w:leader="none" w:pos="100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A copy of each report made by the Chief Compliance Officer to the board of directors for two (2) years from the end of the fiscal year of the Corporation in which such report is made or issued and for an additional three (3) years in a place that need not be easily accessible;</w:t>
      </w:r>
    </w:p>
    <w:p>
      <w:pPr>
        <w:spacing w:after="0" w:line="65" w:lineRule="exact"/>
        <w:rPr>
          <w:rFonts w:ascii="Arial" w:cs="Arial" w:eastAsia="Arial" w:hAnsi="Arial"/>
          <w:sz w:val="14"/>
          <w:szCs w:val="14"/>
          <w:color w:val="auto"/>
        </w:rPr>
      </w:pPr>
    </w:p>
    <w:p>
      <w:pPr>
        <w:ind w:left="1000" w:hanging="277"/>
        <w:spacing w:after="0" w:line="253" w:lineRule="auto"/>
        <w:tabs>
          <w:tab w:leader="none" w:pos="100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A list of all persons who are, or within the past five (5) years have been, required to make reports pursuant to the Rule and this Code of Ethics, or who are or were responsible for reviewing such reports;</w:t>
      </w:r>
    </w:p>
    <w:p>
      <w:pPr>
        <w:spacing w:after="0" w:line="65" w:lineRule="exact"/>
        <w:rPr>
          <w:rFonts w:ascii="Arial" w:cs="Arial" w:eastAsia="Arial" w:hAnsi="Arial"/>
          <w:sz w:val="14"/>
          <w:szCs w:val="14"/>
          <w:color w:val="auto"/>
        </w:rPr>
      </w:pPr>
    </w:p>
    <w:p>
      <w:pPr>
        <w:ind w:left="1000" w:hanging="277"/>
        <w:spacing w:after="0" w:line="253" w:lineRule="auto"/>
        <w:tabs>
          <w:tab w:leader="none" w:pos="100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A copy of each report required by Section VII (B) for at least two (2) years after the end of the fiscal year in which it is made, and for an additional three (3) years in a place that need not be easily accessible; and</w:t>
      </w:r>
    </w:p>
    <w:p>
      <w:pPr>
        <w:spacing w:after="0" w:line="65" w:lineRule="exact"/>
        <w:rPr>
          <w:rFonts w:ascii="Arial" w:cs="Arial" w:eastAsia="Arial" w:hAnsi="Arial"/>
          <w:sz w:val="14"/>
          <w:szCs w:val="14"/>
          <w:color w:val="auto"/>
        </w:rPr>
      </w:pPr>
    </w:p>
    <w:p>
      <w:pPr>
        <w:ind w:left="1000" w:hanging="277"/>
        <w:spacing w:after="0" w:line="253" w:lineRule="auto"/>
        <w:tabs>
          <w:tab w:leader="none" w:pos="100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A record of any decision, and the reasons supporting the decision, to approve the acquisition by an Advisory Person of securities in an Initial Public Offering or Limited Offering for at least five (5) years after the end of the fiscal year in which the approval is granted.</w:t>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4"/>
          <w:szCs w:val="14"/>
          <w:color w:val="auto"/>
        </w:rPr>
        <w:t>(D) This Code may not be amended or modified except in a written form that is specifically approved by majority vote of the Independent Directors.</w:t>
      </w:r>
    </w:p>
    <w:p>
      <w:pPr>
        <w:spacing w:after="0" w:line="190" w:lineRule="exact"/>
        <w:rPr>
          <w:sz w:val="20"/>
          <w:szCs w:val="20"/>
          <w:color w:val="auto"/>
        </w:rPr>
      </w:pPr>
    </w:p>
    <w:p>
      <w:pPr>
        <w:ind w:left="740"/>
        <w:spacing w:after="0" w:line="253" w:lineRule="auto"/>
        <w:rPr>
          <w:sz w:val="20"/>
          <w:szCs w:val="20"/>
          <w:color w:val="auto"/>
        </w:rPr>
      </w:pPr>
      <w:r>
        <w:rPr>
          <w:rFonts w:ascii="Arial" w:cs="Arial" w:eastAsia="Arial" w:hAnsi="Arial"/>
          <w:sz w:val="14"/>
          <w:szCs w:val="14"/>
          <w:color w:val="auto"/>
        </w:rPr>
        <w:t>This Joint Code of Ethics, originally adopted December 12, 2007, is annually reviewed and approved by the Board of Directors of the Corporation, including a majority of the Independent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576"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6980" w:type="dxa"/>
            <w:vAlign w:val="bottom"/>
            <w:gridSpan w:val="2"/>
          </w:tcPr>
          <w:p>
            <w:pPr>
              <w:jc w:val="right"/>
              <w:spacing w:after="0"/>
              <w:rPr>
                <w:sz w:val="20"/>
                <w:szCs w:val="20"/>
                <w:color w:val="auto"/>
              </w:rPr>
            </w:pPr>
            <w:r>
              <w:rPr>
                <w:rFonts w:ascii="Arial" w:cs="Arial" w:eastAsia="Arial" w:hAnsi="Arial"/>
                <w:sz w:val="14"/>
                <w:szCs w:val="14"/>
                <w:b w:val="1"/>
                <w:bCs w:val="1"/>
                <w:color w:val="auto"/>
              </w:rPr>
              <w:t>EXHIBIT 21.1</w:t>
            </w:r>
          </w:p>
        </w:tc>
        <w:tc>
          <w:tcPr>
            <w:tcW w:w="0" w:type="dxa"/>
            <w:vAlign w:val="bottom"/>
          </w:tcPr>
          <w:p>
            <w:pPr>
              <w:spacing w:after="0"/>
              <w:rPr>
                <w:sz w:val="1"/>
                <w:szCs w:val="1"/>
                <w:color w:val="auto"/>
              </w:rPr>
            </w:pPr>
          </w:p>
        </w:tc>
      </w:tr>
      <w:tr>
        <w:trPr>
          <w:trHeight w:val="297"/>
        </w:trPr>
        <w:tc>
          <w:tcPr>
            <w:tcW w:w="4260" w:type="dxa"/>
            <w:vAlign w:val="bottom"/>
          </w:tcPr>
          <w:p>
            <w:pPr>
              <w:spacing w:after="0"/>
              <w:rPr>
                <w:sz w:val="24"/>
                <w:szCs w:val="24"/>
                <w:color w:val="auto"/>
              </w:rPr>
            </w:pPr>
          </w:p>
        </w:tc>
        <w:tc>
          <w:tcPr>
            <w:tcW w:w="6720" w:type="dxa"/>
            <w:vAlign w:val="bottom"/>
          </w:tcPr>
          <w:p>
            <w:pPr>
              <w:jc w:val="right"/>
              <w:ind w:right="4368"/>
              <w:spacing w:after="0"/>
              <w:rPr>
                <w:sz w:val="20"/>
                <w:szCs w:val="20"/>
                <w:color w:val="auto"/>
              </w:rPr>
            </w:pPr>
            <w:r>
              <w:rPr>
                <w:rFonts w:ascii="Arial" w:cs="Arial" w:eastAsia="Arial" w:hAnsi="Arial"/>
                <w:sz w:val="14"/>
                <w:szCs w:val="14"/>
                <w:b w:val="1"/>
                <w:bCs w:val="1"/>
                <w:color w:val="auto"/>
              </w:rPr>
              <w:t>Subsidiaries of the Registrant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Name of entity and place of jurisdiction</w:t>
            </w:r>
          </w:p>
        </w:tc>
        <w:tc>
          <w:tcPr>
            <w:tcW w:w="6720" w:type="dxa"/>
            <w:vAlign w:val="bottom"/>
          </w:tcPr>
          <w:p>
            <w:pPr>
              <w:jc w:val="right"/>
              <w:ind w:right="388"/>
              <w:spacing w:after="0"/>
              <w:rPr>
                <w:sz w:val="20"/>
                <w:szCs w:val="20"/>
                <w:color w:val="auto"/>
              </w:rPr>
            </w:pPr>
            <w:r>
              <w:rPr>
                <w:rFonts w:ascii="Arial" w:cs="Arial" w:eastAsia="Arial" w:hAnsi="Arial"/>
                <w:sz w:val="14"/>
                <w:szCs w:val="14"/>
                <w:b w:val="1"/>
                <w:bCs w:val="1"/>
                <w:color w:val="auto"/>
              </w:rPr>
              <w:t>Voting Securities</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4260" w:type="dxa"/>
            <w:vAlign w:val="bottom"/>
            <w:vMerge w:val="continue"/>
          </w:tcPr>
          <w:p>
            <w:pPr>
              <w:spacing w:after="0"/>
              <w:rPr>
                <w:sz w:val="14"/>
                <w:szCs w:val="14"/>
                <w:color w:val="auto"/>
              </w:rPr>
            </w:pPr>
          </w:p>
        </w:tc>
        <w:tc>
          <w:tcPr>
            <w:tcW w:w="6720" w:type="dxa"/>
            <w:vAlign w:val="bottom"/>
          </w:tcPr>
          <w:p>
            <w:pPr>
              <w:jc w:val="right"/>
              <w:ind w:right="328"/>
              <w:spacing w:after="0"/>
              <w:rPr>
                <w:sz w:val="20"/>
                <w:szCs w:val="20"/>
                <w:color w:val="auto"/>
              </w:rPr>
            </w:pPr>
            <w:r>
              <w:rPr>
                <w:rFonts w:ascii="Arial" w:cs="Arial" w:eastAsia="Arial" w:hAnsi="Arial"/>
                <w:sz w:val="14"/>
                <w:szCs w:val="14"/>
                <w:b w:val="1"/>
                <w:bCs w:val="1"/>
                <w:color w:val="auto"/>
              </w:rPr>
              <w:t>Owned Percentage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60" w:type="dxa"/>
            <w:vAlign w:val="bottom"/>
            <w:shd w:val="clear" w:color="auto" w:fill="CCECFF"/>
          </w:tcPr>
          <w:p>
            <w:pPr>
              <w:spacing w:after="0" w:line="149" w:lineRule="exact"/>
              <w:rPr>
                <w:sz w:val="20"/>
                <w:szCs w:val="20"/>
                <w:color w:val="auto"/>
              </w:rPr>
            </w:pPr>
            <w:r>
              <w:rPr>
                <w:rFonts w:ascii="Arial" w:cs="Arial" w:eastAsia="Arial" w:hAnsi="Arial"/>
                <w:sz w:val="14"/>
                <w:szCs w:val="14"/>
                <w:color w:val="auto"/>
              </w:rPr>
              <w:t>PennantPark Investment Funding I, LLC (Delaware)</w:t>
            </w:r>
          </w:p>
        </w:tc>
        <w:tc>
          <w:tcPr>
            <w:tcW w:w="6720" w:type="dxa"/>
            <w:vAlign w:val="bottom"/>
            <w:shd w:val="clear" w:color="auto" w:fill="CCECFF"/>
          </w:tcPr>
          <w:p>
            <w:pPr>
              <w:jc w:val="right"/>
              <w:spacing w:after="0" w:line="149" w:lineRule="exact"/>
              <w:rPr>
                <w:sz w:val="20"/>
                <w:szCs w:val="20"/>
                <w:color w:val="auto"/>
              </w:rPr>
            </w:pPr>
            <w:r>
              <w:rPr>
                <w:rFonts w:ascii="Arial" w:cs="Arial" w:eastAsia="Arial" w:hAnsi="Arial"/>
                <w:sz w:val="14"/>
                <w:szCs w:val="14"/>
                <w:color w:val="auto"/>
              </w:rPr>
              <w:t>100%</w:t>
            </w:r>
          </w:p>
        </w:tc>
        <w:tc>
          <w:tcPr>
            <w:tcW w:w="2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PennantPark SBIC GP II, LLC (Delaware)</w:t>
            </w:r>
          </w:p>
        </w:tc>
        <w:tc>
          <w:tcPr>
            <w:tcW w:w="672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shd w:val="clear" w:color="auto" w:fill="CCECFF"/>
          </w:tcPr>
          <w:p>
            <w:pPr>
              <w:spacing w:after="0" w:line="149" w:lineRule="exact"/>
              <w:rPr>
                <w:sz w:val="20"/>
                <w:szCs w:val="20"/>
                <w:color w:val="auto"/>
              </w:rPr>
            </w:pPr>
            <w:r>
              <w:rPr>
                <w:rFonts w:ascii="Arial" w:cs="Arial" w:eastAsia="Arial" w:hAnsi="Arial"/>
                <w:sz w:val="14"/>
                <w:szCs w:val="14"/>
                <w:color w:val="auto"/>
              </w:rPr>
              <w:t>PennantPark SBIC II LP (Delaware)</w:t>
            </w:r>
          </w:p>
        </w:tc>
        <w:tc>
          <w:tcPr>
            <w:tcW w:w="6720" w:type="dxa"/>
            <w:vAlign w:val="bottom"/>
            <w:shd w:val="clear" w:color="auto" w:fill="CCECFF"/>
          </w:tcPr>
          <w:p>
            <w:pPr>
              <w:jc w:val="right"/>
              <w:spacing w:after="0" w:line="149" w:lineRule="exact"/>
              <w:rPr>
                <w:sz w:val="20"/>
                <w:szCs w:val="20"/>
                <w:color w:val="auto"/>
              </w:rPr>
            </w:pPr>
            <w:r>
              <w:rPr>
                <w:rFonts w:ascii="Arial" w:cs="Arial" w:eastAsia="Arial" w:hAnsi="Arial"/>
                <w:sz w:val="14"/>
                <w:szCs w:val="14"/>
                <w:color w:val="auto"/>
              </w:rPr>
              <w:t>100%</w:t>
            </w:r>
          </w:p>
        </w:tc>
        <w:tc>
          <w:tcPr>
            <w:tcW w:w="260" w:type="dxa"/>
            <w:vAlign w:val="bottom"/>
            <w:shd w:val="clear" w:color="auto" w:fill="CCECFF"/>
          </w:tcPr>
          <w:p>
            <w:pPr>
              <w:jc w:val="right"/>
              <w:ind w:right="39"/>
              <w:spacing w:after="0"/>
              <w:rPr>
                <w:sz w:val="20"/>
                <w:szCs w:val="20"/>
                <w:color w:val="auto"/>
              </w:rPr>
            </w:pPr>
            <w:r>
              <w:rPr>
                <w:rFonts w:ascii="Arial" w:cs="Arial" w:eastAsia="Arial" w:hAnsi="Arial"/>
                <w:sz w:val="12"/>
                <w:szCs w:val="12"/>
                <w:color w:val="auto"/>
                <w:w w:val="95"/>
              </w:rPr>
              <w:t>(1)</w:t>
            </w: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PNNT Alabama Holdings Inc. (Delaware)</w:t>
            </w:r>
          </w:p>
        </w:tc>
        <w:tc>
          <w:tcPr>
            <w:tcW w:w="672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260" w:type="dxa"/>
            <w:vAlign w:val="bottom"/>
          </w:tcPr>
          <w:p>
            <w:pPr>
              <w:jc w:val="right"/>
              <w:ind w:right="39"/>
              <w:spacing w:after="0"/>
              <w:rPr>
                <w:sz w:val="20"/>
                <w:szCs w:val="20"/>
                <w:color w:val="auto"/>
              </w:rPr>
            </w:pPr>
            <w:r>
              <w:rPr>
                <w:rFonts w:ascii="Arial" w:cs="Arial" w:eastAsia="Arial" w:hAnsi="Arial"/>
                <w:sz w:val="12"/>
                <w:szCs w:val="12"/>
                <w:color w:val="auto"/>
                <w:w w:val="95"/>
              </w:rPr>
              <w:t>(2)</w:t>
            </w:r>
          </w:p>
        </w:tc>
        <w:tc>
          <w:tcPr>
            <w:tcW w:w="0" w:type="dxa"/>
            <w:vAlign w:val="bottom"/>
          </w:tcPr>
          <w:p>
            <w:pPr>
              <w:spacing w:after="0"/>
              <w:rPr>
                <w:sz w:val="1"/>
                <w:szCs w:val="1"/>
                <w:color w:val="auto"/>
              </w:rPr>
            </w:pPr>
          </w:p>
        </w:tc>
      </w:tr>
      <w:tr>
        <w:trPr>
          <w:trHeight w:val="149"/>
        </w:trPr>
        <w:tc>
          <w:tcPr>
            <w:tcW w:w="4260" w:type="dxa"/>
            <w:vAlign w:val="bottom"/>
            <w:shd w:val="clear" w:color="auto" w:fill="CCECFF"/>
          </w:tcPr>
          <w:p>
            <w:pPr>
              <w:spacing w:after="0" w:line="149" w:lineRule="exact"/>
              <w:rPr>
                <w:sz w:val="20"/>
                <w:szCs w:val="20"/>
                <w:color w:val="auto"/>
              </w:rPr>
            </w:pPr>
            <w:r>
              <w:rPr>
                <w:rFonts w:ascii="Arial" w:cs="Arial" w:eastAsia="Arial" w:hAnsi="Arial"/>
                <w:sz w:val="14"/>
                <w:szCs w:val="14"/>
                <w:color w:val="auto"/>
              </w:rPr>
              <w:t>PNNT CI (GALLS) Prime Investment Holdings, LLC (Delaware)</w:t>
            </w:r>
          </w:p>
        </w:tc>
        <w:tc>
          <w:tcPr>
            <w:tcW w:w="6720" w:type="dxa"/>
            <w:vAlign w:val="bottom"/>
            <w:shd w:val="clear" w:color="auto" w:fill="CCECFF"/>
          </w:tcPr>
          <w:p>
            <w:pPr>
              <w:jc w:val="right"/>
              <w:spacing w:after="0" w:line="149" w:lineRule="exact"/>
              <w:rPr>
                <w:sz w:val="20"/>
                <w:szCs w:val="20"/>
                <w:color w:val="auto"/>
              </w:rPr>
            </w:pPr>
            <w:r>
              <w:rPr>
                <w:rFonts w:ascii="Arial" w:cs="Arial" w:eastAsia="Arial" w:hAnsi="Arial"/>
                <w:sz w:val="14"/>
                <w:szCs w:val="14"/>
                <w:color w:val="auto"/>
              </w:rPr>
              <w:t>100%</w:t>
            </w:r>
          </w:p>
        </w:tc>
        <w:tc>
          <w:tcPr>
            <w:tcW w:w="2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PNNT Investment Holdings, LLC (Delaware)</w:t>
            </w:r>
          </w:p>
        </w:tc>
        <w:tc>
          <w:tcPr>
            <w:tcW w:w="672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shd w:val="clear" w:color="auto" w:fill="CCECFF"/>
          </w:tcPr>
          <w:p>
            <w:pPr>
              <w:spacing w:after="0" w:line="149" w:lineRule="exact"/>
              <w:rPr>
                <w:sz w:val="20"/>
                <w:szCs w:val="20"/>
                <w:color w:val="auto"/>
              </w:rPr>
            </w:pPr>
            <w:r>
              <w:rPr>
                <w:rFonts w:ascii="Arial" w:cs="Arial" w:eastAsia="Arial" w:hAnsi="Arial"/>
                <w:sz w:val="14"/>
                <w:szCs w:val="14"/>
                <w:color w:val="auto"/>
              </w:rPr>
              <w:t>RAM Energy Holdings LLC (Delaware)</w:t>
            </w:r>
          </w:p>
        </w:tc>
        <w:tc>
          <w:tcPr>
            <w:tcW w:w="6720" w:type="dxa"/>
            <w:vAlign w:val="bottom"/>
            <w:shd w:val="clear" w:color="auto" w:fill="CCECFF"/>
          </w:tcPr>
          <w:p>
            <w:pPr>
              <w:jc w:val="right"/>
              <w:spacing w:after="0" w:line="149" w:lineRule="exact"/>
              <w:rPr>
                <w:sz w:val="20"/>
                <w:szCs w:val="20"/>
                <w:color w:val="auto"/>
              </w:rPr>
            </w:pPr>
            <w:r>
              <w:rPr>
                <w:rFonts w:ascii="Arial" w:cs="Arial" w:eastAsia="Arial" w:hAnsi="Arial"/>
                <w:sz w:val="14"/>
                <w:szCs w:val="14"/>
                <w:color w:val="auto"/>
              </w:rPr>
              <w:t>100%</w:t>
            </w:r>
          </w:p>
        </w:tc>
        <w:tc>
          <w:tcPr>
            <w:tcW w:w="260" w:type="dxa"/>
            <w:vAlign w:val="bottom"/>
            <w:shd w:val="clear" w:color="auto" w:fill="CCECFF"/>
          </w:tcPr>
          <w:p>
            <w:pPr>
              <w:jc w:val="right"/>
              <w:ind w:right="39"/>
              <w:spacing w:after="0"/>
              <w:rPr>
                <w:sz w:val="20"/>
                <w:szCs w:val="20"/>
                <w:color w:val="auto"/>
              </w:rPr>
            </w:pPr>
            <w:r>
              <w:rPr>
                <w:rFonts w:ascii="Arial" w:cs="Arial" w:eastAsia="Arial" w:hAnsi="Arial"/>
                <w:sz w:val="12"/>
                <w:szCs w:val="12"/>
                <w:color w:val="auto"/>
                <w:w w:val="95"/>
              </w:rPr>
              <w:t>(3)</w:t>
            </w: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PennantPark Senior Loan Fund, LLC</w:t>
            </w:r>
          </w:p>
        </w:tc>
        <w:tc>
          <w:tcPr>
            <w:tcW w:w="6720" w:type="dxa"/>
            <w:vAlign w:val="bottom"/>
          </w:tcPr>
          <w:p>
            <w:pPr>
              <w:jc w:val="right"/>
              <w:spacing w:after="0" w:line="149" w:lineRule="exact"/>
              <w:rPr>
                <w:sz w:val="20"/>
                <w:szCs w:val="20"/>
                <w:color w:val="auto"/>
              </w:rPr>
            </w:pPr>
            <w:r>
              <w:rPr>
                <w:rFonts w:ascii="Arial" w:cs="Arial" w:eastAsia="Arial" w:hAnsi="Arial"/>
                <w:sz w:val="14"/>
                <w:szCs w:val="14"/>
                <w:color w:val="auto"/>
              </w:rPr>
              <w:t>72%</w:t>
            </w:r>
          </w:p>
        </w:tc>
        <w:tc>
          <w:tcPr>
            <w:tcW w:w="260" w:type="dxa"/>
            <w:vAlign w:val="bottom"/>
          </w:tcPr>
          <w:p>
            <w:pPr>
              <w:jc w:val="right"/>
              <w:ind w:right="39"/>
              <w:spacing w:after="0"/>
              <w:rPr>
                <w:sz w:val="20"/>
                <w:szCs w:val="20"/>
                <w:color w:val="auto"/>
              </w:rPr>
            </w:pPr>
            <w:r>
              <w:rPr>
                <w:rFonts w:ascii="Arial" w:cs="Arial" w:eastAsia="Arial" w:hAnsi="Arial"/>
                <w:sz w:val="12"/>
                <w:szCs w:val="12"/>
                <w:color w:val="auto"/>
                <w:w w:val="95"/>
              </w:rPr>
              <w:t>(3)</w:t>
            </w:r>
          </w:p>
        </w:tc>
        <w:tc>
          <w:tcPr>
            <w:tcW w:w="0" w:type="dxa"/>
            <w:vAlign w:val="bottom"/>
          </w:tcPr>
          <w:p>
            <w:pPr>
              <w:spacing w:after="0"/>
              <w:rPr>
                <w:sz w:val="1"/>
                <w:szCs w:val="1"/>
                <w:color w:val="auto"/>
              </w:rPr>
            </w:pPr>
          </w:p>
        </w:tc>
      </w:tr>
      <w:tr>
        <w:trPr>
          <w:trHeight w:val="148"/>
        </w:trPr>
        <w:tc>
          <w:tcPr>
            <w:tcW w:w="4260" w:type="dxa"/>
            <w:vAlign w:val="bottom"/>
            <w:shd w:val="clear" w:color="auto" w:fill="CCECFF"/>
          </w:tcPr>
          <w:p>
            <w:pPr>
              <w:spacing w:after="0" w:line="149" w:lineRule="exact"/>
              <w:rPr>
                <w:sz w:val="20"/>
                <w:szCs w:val="20"/>
                <w:color w:val="auto"/>
              </w:rPr>
            </w:pPr>
            <w:r>
              <w:rPr>
                <w:rFonts w:ascii="Arial" w:cs="Arial" w:eastAsia="Arial" w:hAnsi="Arial"/>
                <w:sz w:val="14"/>
                <w:szCs w:val="14"/>
                <w:color w:val="auto"/>
              </w:rPr>
              <w:t>AKW Holdings Limited (Isle of Man)</w:t>
            </w:r>
          </w:p>
        </w:tc>
        <w:tc>
          <w:tcPr>
            <w:tcW w:w="6720" w:type="dxa"/>
            <w:vAlign w:val="bottom"/>
            <w:shd w:val="clear" w:color="auto" w:fill="CCECFF"/>
          </w:tcPr>
          <w:p>
            <w:pPr>
              <w:jc w:val="right"/>
              <w:spacing w:after="0" w:line="149" w:lineRule="exact"/>
              <w:rPr>
                <w:sz w:val="20"/>
                <w:szCs w:val="20"/>
                <w:color w:val="auto"/>
              </w:rPr>
            </w:pPr>
            <w:r>
              <w:rPr>
                <w:rFonts w:ascii="Arial" w:cs="Arial" w:eastAsia="Arial" w:hAnsi="Arial"/>
                <w:sz w:val="14"/>
                <w:szCs w:val="14"/>
                <w:color w:val="auto"/>
              </w:rPr>
              <w:t>84%</w:t>
            </w:r>
          </w:p>
        </w:tc>
        <w:tc>
          <w:tcPr>
            <w:tcW w:w="260" w:type="dxa"/>
            <w:vAlign w:val="bottom"/>
            <w:shd w:val="clear" w:color="auto" w:fill="CCECFF"/>
          </w:tcPr>
          <w:p>
            <w:pPr>
              <w:jc w:val="right"/>
              <w:ind w:right="39"/>
              <w:spacing w:after="0"/>
              <w:rPr>
                <w:sz w:val="20"/>
                <w:szCs w:val="20"/>
                <w:color w:val="auto"/>
              </w:rPr>
            </w:pPr>
            <w:r>
              <w:rPr>
                <w:rFonts w:ascii="Arial" w:cs="Arial" w:eastAsia="Arial" w:hAnsi="Arial"/>
                <w:sz w:val="12"/>
                <w:szCs w:val="12"/>
                <w:color w:val="auto"/>
                <w:w w:val="95"/>
              </w:rPr>
              <w:t>(3)</w:t>
            </w:r>
          </w:p>
        </w:tc>
        <w:tc>
          <w:tcPr>
            <w:tcW w:w="0" w:type="dxa"/>
            <w:vAlign w:val="bottom"/>
          </w:tcPr>
          <w:p>
            <w:pPr>
              <w:spacing w:after="0"/>
              <w:rPr>
                <w:sz w:val="1"/>
                <w:szCs w:val="1"/>
                <w:color w:val="auto"/>
              </w:rPr>
            </w:pPr>
          </w:p>
        </w:tc>
      </w:tr>
      <w:tr>
        <w:trPr>
          <w:trHeight w:val="182"/>
        </w:trPr>
        <w:tc>
          <w:tcPr>
            <w:tcW w:w="4260" w:type="dxa"/>
            <w:vAlign w:val="bottom"/>
          </w:tcPr>
          <w:p>
            <w:pPr>
              <w:spacing w:after="0"/>
              <w:rPr>
                <w:sz w:val="20"/>
                <w:szCs w:val="20"/>
                <w:color w:val="auto"/>
              </w:rPr>
            </w:pPr>
            <w:r>
              <w:rPr>
                <w:rFonts w:ascii="Arial" w:cs="Arial" w:eastAsia="Arial" w:hAnsi="Arial"/>
                <w:sz w:val="14"/>
                <w:szCs w:val="14"/>
                <w:color w:val="auto"/>
              </w:rPr>
              <w:t>PT Network Intermediate Holdings, LLC (Delaware)</w:t>
            </w:r>
          </w:p>
        </w:tc>
        <w:tc>
          <w:tcPr>
            <w:tcW w:w="6720" w:type="dxa"/>
            <w:vAlign w:val="bottom"/>
          </w:tcPr>
          <w:p>
            <w:pPr>
              <w:jc w:val="right"/>
              <w:spacing w:after="0"/>
              <w:rPr>
                <w:sz w:val="20"/>
                <w:szCs w:val="20"/>
                <w:color w:val="auto"/>
              </w:rPr>
            </w:pPr>
            <w:r>
              <w:rPr>
                <w:rFonts w:ascii="Arial" w:cs="Arial" w:eastAsia="Arial" w:hAnsi="Arial"/>
                <w:sz w:val="14"/>
                <w:szCs w:val="14"/>
                <w:color w:val="auto"/>
              </w:rPr>
              <w:t>62%</w:t>
            </w:r>
          </w:p>
        </w:tc>
        <w:tc>
          <w:tcPr>
            <w:tcW w:w="260" w:type="dxa"/>
            <w:vAlign w:val="bottom"/>
          </w:tcPr>
          <w:p>
            <w:pPr>
              <w:jc w:val="right"/>
              <w:ind w:right="39"/>
              <w:spacing w:after="0"/>
              <w:rPr>
                <w:sz w:val="20"/>
                <w:szCs w:val="20"/>
                <w:color w:val="auto"/>
              </w:rPr>
            </w:pPr>
            <w:r>
              <w:rPr>
                <w:rFonts w:ascii="Arial" w:cs="Arial" w:eastAsia="Arial" w:hAnsi="Arial"/>
                <w:sz w:val="12"/>
                <w:szCs w:val="12"/>
                <w:color w:val="auto"/>
                <w:w w:val="95"/>
              </w:rPr>
              <w:t>(3)</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500" w:hanging="492"/>
        <w:spacing w:after="0"/>
        <w:tabs>
          <w:tab w:leader="none" w:pos="500" w:val="left"/>
        </w:tabs>
        <w:numPr>
          <w:ilvl w:val="0"/>
          <w:numId w:val="123"/>
        </w:numPr>
        <w:rPr>
          <w:rFonts w:ascii="Arial" w:cs="Arial" w:eastAsia="Arial" w:hAnsi="Arial"/>
          <w:sz w:val="12"/>
          <w:szCs w:val="12"/>
          <w:color w:val="auto"/>
        </w:rPr>
      </w:pPr>
      <w:r>
        <w:rPr>
          <w:rFonts w:ascii="Arial" w:cs="Arial" w:eastAsia="Arial" w:hAnsi="Arial"/>
          <w:sz w:val="14"/>
          <w:szCs w:val="14"/>
          <w:color w:val="auto"/>
        </w:rPr>
        <w:t>The entity is directly owned 99% by us and 1% by PennantPark SBIC GP II, LLC, which is effectively wholly-owned by us.</w:t>
      </w:r>
    </w:p>
    <w:p>
      <w:pPr>
        <w:ind w:left="500" w:hanging="492"/>
        <w:spacing w:after="0" w:line="221" w:lineRule="auto"/>
        <w:tabs>
          <w:tab w:leader="none" w:pos="500" w:val="left"/>
        </w:tabs>
        <w:numPr>
          <w:ilvl w:val="0"/>
          <w:numId w:val="123"/>
        </w:numPr>
        <w:rPr>
          <w:rFonts w:ascii="Arial" w:cs="Arial" w:eastAsia="Arial" w:hAnsi="Arial"/>
          <w:sz w:val="12"/>
          <w:szCs w:val="12"/>
          <w:color w:val="auto"/>
        </w:rPr>
      </w:pPr>
      <w:r>
        <w:rPr>
          <w:rFonts w:ascii="Arial" w:cs="Arial" w:eastAsia="Arial" w:hAnsi="Arial"/>
          <w:sz w:val="14"/>
          <w:szCs w:val="14"/>
          <w:color w:val="auto"/>
        </w:rPr>
        <w:t>This entity is not operational.</w:t>
      </w:r>
    </w:p>
    <w:p>
      <w:pPr>
        <w:ind w:left="500" w:hanging="492"/>
        <w:spacing w:after="0"/>
        <w:tabs>
          <w:tab w:leader="none" w:pos="500" w:val="left"/>
        </w:tabs>
        <w:numPr>
          <w:ilvl w:val="0"/>
          <w:numId w:val="123"/>
        </w:numPr>
        <w:rPr>
          <w:rFonts w:ascii="Arial" w:cs="Arial" w:eastAsia="Arial" w:hAnsi="Arial"/>
          <w:sz w:val="12"/>
          <w:szCs w:val="12"/>
          <w:color w:val="auto"/>
        </w:rPr>
      </w:pPr>
      <w:r>
        <w:rPr>
          <w:rFonts w:ascii="Arial" w:cs="Arial" w:eastAsia="Arial" w:hAnsi="Arial"/>
          <w:sz w:val="14"/>
          <w:szCs w:val="14"/>
          <w:color w:val="auto"/>
        </w:rPr>
        <w:t>This is a controlled affiliated investment.</w:t>
      </w:r>
    </w:p>
    <w:p>
      <w:pPr>
        <w:sectPr>
          <w:pgSz w:w="11900" w:h="16838" w:orient="portrait"/>
          <w:cols w:equalWidth="0" w:num="1">
            <w:col w:w="11240"/>
          </w:cols>
          <w:pgMar w:left="320" w:top="346"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 on Form N-2 of PennantPark Investment Corporation and Subsidiaries (the Company) of our reports dated November 17, 2021, relating to the consolidated financial statements and the effectiveness of internal control over financial reporting of the Company, appearing in the Annual Report on Form 10-K of the Company for the year ended September 30, 2021. We also consent to the use in such Registration Statement of our report dated November 17, 2021, relating to the senior securities table appearing as Exhibit 99.5 in the accompanying Form 10-K of the Company for the year ended September 30, 2021.</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also consent to the reference to our firm under the headings “Senior Securities” in the accompanying Form 10-K and “Independent Registered Public Accounting Firm” in such Registration Statement on Form N-2.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17, 2021</w:t>
      </w:r>
    </w:p>
    <w:p>
      <w:pPr>
        <w:sectPr>
          <w:pgSz w:w="11900" w:h="16838" w:orient="portrait"/>
          <w:cols w:equalWidth="0" w:num="1">
            <w:col w:w="11240"/>
          </w:cols>
          <w:pgMar w:left="320" w:top="12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hereby consent to the incorporation by reference in the Registration Statement on Form N-2 (No. 333-230014) of PennantPark Investment Corporation of our reports dated November 16, 2021, November 16, 2020 and November 15, 2019, relating to the consolidated financial statements of Ram Energy Holdings LLC as of and for the years ended September 30, 2021, 2020 and 2019, respectively, which appear in this Annual Report on Form 10-K.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17, 2021</w:t>
      </w:r>
    </w:p>
    <w:p>
      <w:pPr>
        <w:sectPr>
          <w:pgSz w:w="11900" w:h="16838" w:orient="portrait"/>
          <w:cols w:equalWidth="0" w:num="1">
            <w:col w:w="11240"/>
          </w:cols>
          <w:pgMar w:left="320" w:top="351"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4"/>
          <w:szCs w:val="14"/>
          <w:b w:val="1"/>
          <w:bCs w:val="1"/>
          <w:color w:val="auto"/>
        </w:rPr>
        <w:t>EXHIBIT 31.1</w:t>
      </w:r>
    </w:p>
    <w:p>
      <w:pPr>
        <w:spacing w:after="0" w:line="135"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and Chairman of the Board of Directors of PennantPark Investment Corporation, certify that:</w:t>
      </w:r>
    </w:p>
    <w:p>
      <w:pPr>
        <w:spacing w:after="0" w:line="136" w:lineRule="exact"/>
        <w:rPr>
          <w:sz w:val="20"/>
          <w:szCs w:val="20"/>
          <w:color w:val="auto"/>
        </w:rPr>
      </w:pPr>
    </w:p>
    <w:p>
      <w:pPr>
        <w:ind w:left="400" w:hanging="144"/>
        <w:spacing w:after="0"/>
        <w:tabs>
          <w:tab w:leader="none" w:pos="40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PennantPark Investment Corporation;</w:t>
      </w:r>
    </w:p>
    <w:p>
      <w:pPr>
        <w:spacing w:after="0" w:line="136" w:lineRule="exact"/>
        <w:rPr>
          <w:rFonts w:ascii="Arial" w:cs="Arial" w:eastAsia="Arial" w:hAnsi="Arial"/>
          <w:sz w:val="14"/>
          <w:szCs w:val="14"/>
          <w:color w:val="auto"/>
        </w:rPr>
      </w:pPr>
    </w:p>
    <w:p>
      <w:pPr>
        <w:ind w:left="260" w:right="620" w:hanging="4"/>
        <w:spacing w:after="0" w:line="253" w:lineRule="auto"/>
        <w:tabs>
          <w:tab w:leader="none" w:pos="404" w:val="left"/>
        </w:tabs>
        <w:numPr>
          <w:ilvl w:val="0"/>
          <w:numId w:val="12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Arial" w:cs="Arial" w:eastAsia="Arial" w:hAnsi="Arial"/>
          <w:sz w:val="14"/>
          <w:szCs w:val="14"/>
          <w:color w:val="auto"/>
        </w:rPr>
      </w:pPr>
    </w:p>
    <w:p>
      <w:pPr>
        <w:ind w:left="260" w:right="80" w:hanging="4"/>
        <w:spacing w:after="0" w:line="253" w:lineRule="auto"/>
        <w:tabs>
          <w:tab w:leader="none" w:pos="404" w:val="left"/>
        </w:tabs>
        <w:numPr>
          <w:ilvl w:val="0"/>
          <w:numId w:val="12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4"/>
          <w:szCs w:val="14"/>
          <w:color w:val="auto"/>
        </w:rPr>
      </w:pPr>
    </w:p>
    <w:p>
      <w:pPr>
        <w:ind w:left="260" w:right="280" w:hanging="4"/>
        <w:spacing w:after="0" w:line="253" w:lineRule="auto"/>
        <w:tabs>
          <w:tab w:leader="none" w:pos="404"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4"/>
          <w:szCs w:val="14"/>
          <w:color w:val="auto"/>
        </w:rPr>
      </w:pPr>
    </w:p>
    <w:p>
      <w:pPr>
        <w:ind w:left="500" w:right="60" w:firstLine="4"/>
        <w:spacing w:after="0" w:line="335" w:lineRule="auto"/>
        <w:tabs>
          <w:tab w:leader="none" w:pos="648" w:val="left"/>
        </w:tabs>
        <w:numPr>
          <w:ilvl w:val="1"/>
          <w:numId w:val="12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46" w:lineRule="exact"/>
        <w:rPr>
          <w:rFonts w:ascii="Arial" w:cs="Arial" w:eastAsia="Arial" w:hAnsi="Arial"/>
          <w:sz w:val="12"/>
          <w:szCs w:val="12"/>
          <w:color w:val="auto"/>
        </w:rPr>
      </w:pPr>
    </w:p>
    <w:p>
      <w:pPr>
        <w:ind w:left="500" w:right="120" w:firstLine="4"/>
        <w:spacing w:after="0" w:line="290" w:lineRule="auto"/>
        <w:tabs>
          <w:tab w:leader="none" w:pos="656" w:val="left"/>
        </w:tabs>
        <w:numPr>
          <w:ilvl w:val="1"/>
          <w:numId w:val="124"/>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84" w:lineRule="exact"/>
        <w:rPr>
          <w:rFonts w:ascii="Arial" w:cs="Arial" w:eastAsia="Arial" w:hAnsi="Arial"/>
          <w:sz w:val="13"/>
          <w:szCs w:val="13"/>
          <w:color w:val="auto"/>
        </w:rPr>
      </w:pPr>
    </w:p>
    <w:p>
      <w:pPr>
        <w:ind w:left="500" w:right="320" w:firstLine="4"/>
        <w:spacing w:after="0" w:line="253" w:lineRule="auto"/>
        <w:tabs>
          <w:tab w:leader="none" w:pos="648" w:val="left"/>
        </w:tabs>
        <w:numPr>
          <w:ilvl w:val="1"/>
          <w:numId w:val="12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4"/>
          <w:szCs w:val="14"/>
          <w:color w:val="auto"/>
        </w:rPr>
      </w:pPr>
    </w:p>
    <w:p>
      <w:pPr>
        <w:ind w:left="500" w:right="300" w:firstLine="4"/>
        <w:spacing w:after="0" w:line="290" w:lineRule="auto"/>
        <w:tabs>
          <w:tab w:leader="none" w:pos="656" w:val="left"/>
        </w:tabs>
        <w:numPr>
          <w:ilvl w:val="1"/>
          <w:numId w:val="12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3"/>
          <w:szCs w:val="13"/>
          <w:color w:val="auto"/>
        </w:rPr>
      </w:pPr>
    </w:p>
    <w:p>
      <w:pPr>
        <w:ind w:left="260" w:right="420" w:hanging="4"/>
        <w:spacing w:after="0" w:line="253" w:lineRule="auto"/>
        <w:tabs>
          <w:tab w:leader="none" w:pos="404"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4"/>
          <w:szCs w:val="14"/>
          <w:color w:val="auto"/>
        </w:rPr>
      </w:pPr>
    </w:p>
    <w:p>
      <w:pPr>
        <w:ind w:left="500" w:firstLine="4"/>
        <w:spacing w:after="0" w:line="253" w:lineRule="auto"/>
        <w:tabs>
          <w:tab w:leader="none" w:pos="648" w:val="left"/>
        </w:tabs>
        <w:numPr>
          <w:ilvl w:val="1"/>
          <w:numId w:val="12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4"/>
          <w:szCs w:val="14"/>
          <w:color w:val="auto"/>
        </w:rPr>
      </w:pPr>
    </w:p>
    <w:p>
      <w:pPr>
        <w:ind w:left="660" w:hanging="156"/>
        <w:spacing w:after="0"/>
        <w:tabs>
          <w:tab w:leader="none" w:pos="660" w:val="left"/>
        </w:tabs>
        <w:numPr>
          <w:ilvl w:val="1"/>
          <w:numId w:val="12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Date: November 17, 2021</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3920" w:type="dxa"/>
            <w:vAlign w:val="bottom"/>
            <w:tcBorders>
              <w:top w:val="single" w:sz="8" w:color="auto"/>
            </w:tcBorders>
          </w:tcPr>
          <w:p>
            <w:pPr>
              <w:ind w:left="180"/>
              <w:spacing w:after="0" w:line="123" w:lineRule="exact"/>
              <w:rPr>
                <w:sz w:val="20"/>
                <w:szCs w:val="20"/>
                <w:color w:val="auto"/>
              </w:rPr>
            </w:pPr>
            <w:r>
              <w:rPr>
                <w:rFonts w:ascii="Arial" w:cs="Arial" w:eastAsia="Arial" w:hAnsi="Arial"/>
                <w:sz w:val="14"/>
                <w:szCs w:val="14"/>
                <w:color w:val="auto"/>
              </w:rPr>
              <w:t>Arthur H. Penn</w:t>
            </w:r>
          </w:p>
        </w:tc>
      </w:tr>
      <w:tr>
        <w:trPr>
          <w:trHeight w:val="182"/>
        </w:trPr>
        <w:tc>
          <w:tcPr>
            <w:tcW w:w="560" w:type="dxa"/>
            <w:vAlign w:val="bottom"/>
          </w:tcPr>
          <w:p>
            <w:pPr>
              <w:spacing w:after="0"/>
              <w:rPr>
                <w:sz w:val="20"/>
                <w:szCs w:val="20"/>
                <w:color w:val="auto"/>
              </w:rPr>
            </w:pPr>
            <w:r>
              <w:rPr>
                <w:rFonts w:ascii="Arial" w:cs="Arial" w:eastAsia="Arial" w:hAnsi="Arial"/>
                <w:sz w:val="14"/>
                <w:szCs w:val="14"/>
                <w:color w:val="auto"/>
              </w:rPr>
              <w:t>Title:</w:t>
            </w:r>
          </w:p>
        </w:tc>
        <w:tc>
          <w:tcPr>
            <w:tcW w:w="3920" w:type="dxa"/>
            <w:vAlign w:val="bottom"/>
          </w:tcPr>
          <w:p>
            <w:pPr>
              <w:ind w:left="180"/>
              <w:spacing w:after="0"/>
              <w:rPr>
                <w:sz w:val="20"/>
                <w:szCs w:val="20"/>
                <w:color w:val="auto"/>
              </w:rPr>
            </w:pPr>
            <w:r>
              <w:rPr>
                <w:rFonts w:ascii="Arial" w:cs="Arial" w:eastAsia="Arial" w:hAnsi="Arial"/>
                <w:sz w:val="14"/>
                <w:szCs w:val="14"/>
                <w:color w:val="auto"/>
              </w:rPr>
              <w:t>Chief Executive Officer</w:t>
            </w:r>
          </w:p>
        </w:tc>
      </w:tr>
    </w:tbl>
    <w:p>
      <w:pPr>
        <w:sectPr>
          <w:pgSz w:w="11900" w:h="16838" w:orient="portrait"/>
          <w:cols w:equalWidth="0" w:num="1">
            <w:col w:w="11240"/>
          </w:cols>
          <w:pgMar w:left="320" w:top="118"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4"/>
          <w:szCs w:val="14"/>
          <w:b w:val="1"/>
          <w:bCs w:val="1"/>
          <w:color w:val="auto"/>
        </w:rPr>
        <w:t>EXHIBIT 31.2</w:t>
      </w:r>
    </w:p>
    <w:p>
      <w:pPr>
        <w:spacing w:after="0" w:line="135"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I, Richard Cheung, Chief Financial Officer of PennantPark Investment Corporation, certify that:</w:t>
      </w:r>
    </w:p>
    <w:p>
      <w:pPr>
        <w:spacing w:after="0" w:line="136" w:lineRule="exact"/>
        <w:rPr>
          <w:sz w:val="20"/>
          <w:szCs w:val="20"/>
          <w:color w:val="auto"/>
        </w:rPr>
      </w:pPr>
    </w:p>
    <w:p>
      <w:pPr>
        <w:ind w:left="400" w:hanging="144"/>
        <w:spacing w:after="0"/>
        <w:tabs>
          <w:tab w:leader="none" w:pos="40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PennantPark Investment Corporation;</w:t>
      </w:r>
    </w:p>
    <w:p>
      <w:pPr>
        <w:spacing w:after="0" w:line="136" w:lineRule="exact"/>
        <w:rPr>
          <w:rFonts w:ascii="Arial" w:cs="Arial" w:eastAsia="Arial" w:hAnsi="Arial"/>
          <w:sz w:val="14"/>
          <w:szCs w:val="14"/>
          <w:color w:val="auto"/>
        </w:rPr>
      </w:pPr>
    </w:p>
    <w:p>
      <w:pPr>
        <w:ind w:left="260" w:right="620" w:hanging="4"/>
        <w:spacing w:after="0" w:line="253" w:lineRule="auto"/>
        <w:tabs>
          <w:tab w:leader="none" w:pos="404" w:val="left"/>
        </w:tabs>
        <w:numPr>
          <w:ilvl w:val="0"/>
          <w:numId w:val="12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Arial" w:cs="Arial" w:eastAsia="Arial" w:hAnsi="Arial"/>
          <w:sz w:val="14"/>
          <w:szCs w:val="14"/>
          <w:color w:val="auto"/>
        </w:rPr>
      </w:pPr>
    </w:p>
    <w:p>
      <w:pPr>
        <w:ind w:left="260" w:right="80" w:hanging="4"/>
        <w:spacing w:after="0" w:line="253" w:lineRule="auto"/>
        <w:tabs>
          <w:tab w:leader="none" w:pos="404" w:val="left"/>
        </w:tabs>
        <w:numPr>
          <w:ilvl w:val="0"/>
          <w:numId w:val="125"/>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4"/>
          <w:szCs w:val="14"/>
          <w:color w:val="auto"/>
        </w:rPr>
      </w:pPr>
    </w:p>
    <w:p>
      <w:pPr>
        <w:ind w:left="260" w:right="280" w:hanging="4"/>
        <w:spacing w:after="0" w:line="253" w:lineRule="auto"/>
        <w:tabs>
          <w:tab w:leader="none" w:pos="404"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4"/>
          <w:szCs w:val="14"/>
          <w:color w:val="auto"/>
        </w:rPr>
      </w:pPr>
    </w:p>
    <w:p>
      <w:pPr>
        <w:ind w:left="500" w:right="60" w:firstLine="4"/>
        <w:spacing w:after="0" w:line="335" w:lineRule="auto"/>
        <w:tabs>
          <w:tab w:leader="none" w:pos="648" w:val="left"/>
        </w:tabs>
        <w:numPr>
          <w:ilvl w:val="1"/>
          <w:numId w:val="12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46" w:lineRule="exact"/>
        <w:rPr>
          <w:rFonts w:ascii="Arial" w:cs="Arial" w:eastAsia="Arial" w:hAnsi="Arial"/>
          <w:sz w:val="12"/>
          <w:szCs w:val="12"/>
          <w:color w:val="auto"/>
        </w:rPr>
      </w:pPr>
    </w:p>
    <w:p>
      <w:pPr>
        <w:ind w:left="500" w:right="120" w:firstLine="4"/>
        <w:spacing w:after="0" w:line="290" w:lineRule="auto"/>
        <w:tabs>
          <w:tab w:leader="none" w:pos="656" w:val="left"/>
        </w:tabs>
        <w:numPr>
          <w:ilvl w:val="1"/>
          <w:numId w:val="125"/>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84" w:lineRule="exact"/>
        <w:rPr>
          <w:rFonts w:ascii="Arial" w:cs="Arial" w:eastAsia="Arial" w:hAnsi="Arial"/>
          <w:sz w:val="13"/>
          <w:szCs w:val="13"/>
          <w:color w:val="auto"/>
        </w:rPr>
      </w:pPr>
    </w:p>
    <w:p>
      <w:pPr>
        <w:ind w:left="500" w:right="320" w:firstLine="4"/>
        <w:spacing w:after="0" w:line="253" w:lineRule="auto"/>
        <w:tabs>
          <w:tab w:leader="none" w:pos="648" w:val="left"/>
        </w:tabs>
        <w:numPr>
          <w:ilvl w:val="1"/>
          <w:numId w:val="12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4"/>
          <w:szCs w:val="14"/>
          <w:color w:val="auto"/>
        </w:rPr>
      </w:pPr>
    </w:p>
    <w:p>
      <w:pPr>
        <w:ind w:left="500" w:right="300" w:firstLine="4"/>
        <w:spacing w:after="0" w:line="290" w:lineRule="auto"/>
        <w:tabs>
          <w:tab w:leader="none" w:pos="656" w:val="left"/>
        </w:tabs>
        <w:numPr>
          <w:ilvl w:val="1"/>
          <w:numId w:val="12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3"/>
          <w:szCs w:val="13"/>
          <w:color w:val="auto"/>
        </w:rPr>
      </w:pPr>
    </w:p>
    <w:p>
      <w:pPr>
        <w:ind w:left="260" w:right="420" w:hanging="4"/>
        <w:spacing w:after="0" w:line="253" w:lineRule="auto"/>
        <w:tabs>
          <w:tab w:leader="none" w:pos="404"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4"/>
          <w:szCs w:val="14"/>
          <w:color w:val="auto"/>
        </w:rPr>
      </w:pPr>
    </w:p>
    <w:p>
      <w:pPr>
        <w:ind w:left="500" w:firstLine="4"/>
        <w:spacing w:after="0" w:line="253" w:lineRule="auto"/>
        <w:tabs>
          <w:tab w:leader="none" w:pos="648" w:val="left"/>
        </w:tabs>
        <w:numPr>
          <w:ilvl w:val="1"/>
          <w:numId w:val="12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4"/>
          <w:szCs w:val="14"/>
          <w:color w:val="auto"/>
        </w:rPr>
      </w:pPr>
    </w:p>
    <w:p>
      <w:pPr>
        <w:ind w:left="660" w:hanging="156"/>
        <w:spacing w:after="0"/>
        <w:tabs>
          <w:tab w:leader="none" w:pos="660" w:val="left"/>
        </w:tabs>
        <w:numPr>
          <w:ilvl w:val="1"/>
          <w:numId w:val="12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Date: November 17, 2021</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Richard Cheung</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3920" w:type="dxa"/>
            <w:vAlign w:val="bottom"/>
            <w:tcBorders>
              <w:top w:val="single" w:sz="8" w:color="auto"/>
            </w:tcBorders>
          </w:tcPr>
          <w:p>
            <w:pPr>
              <w:ind w:left="180"/>
              <w:spacing w:after="0" w:line="123" w:lineRule="exact"/>
              <w:rPr>
                <w:sz w:val="20"/>
                <w:szCs w:val="20"/>
                <w:color w:val="auto"/>
              </w:rPr>
            </w:pPr>
            <w:r>
              <w:rPr>
                <w:rFonts w:ascii="Arial" w:cs="Arial" w:eastAsia="Arial" w:hAnsi="Arial"/>
                <w:sz w:val="14"/>
                <w:szCs w:val="14"/>
                <w:color w:val="auto"/>
              </w:rPr>
              <w:t>Richard Cheung</w:t>
            </w:r>
          </w:p>
        </w:tc>
      </w:tr>
      <w:tr>
        <w:trPr>
          <w:trHeight w:val="182"/>
        </w:trPr>
        <w:tc>
          <w:tcPr>
            <w:tcW w:w="560" w:type="dxa"/>
            <w:vAlign w:val="bottom"/>
          </w:tcPr>
          <w:p>
            <w:pPr>
              <w:spacing w:after="0"/>
              <w:rPr>
                <w:sz w:val="20"/>
                <w:szCs w:val="20"/>
                <w:color w:val="auto"/>
              </w:rPr>
            </w:pPr>
            <w:r>
              <w:rPr>
                <w:rFonts w:ascii="Arial" w:cs="Arial" w:eastAsia="Arial" w:hAnsi="Arial"/>
                <w:sz w:val="14"/>
                <w:szCs w:val="14"/>
                <w:color w:val="auto"/>
              </w:rPr>
              <w:t>Title:</w:t>
            </w:r>
          </w:p>
        </w:tc>
        <w:tc>
          <w:tcPr>
            <w:tcW w:w="3920" w:type="dxa"/>
            <w:vAlign w:val="bottom"/>
          </w:tcPr>
          <w:p>
            <w:pPr>
              <w:ind w:left="180"/>
              <w:spacing w:after="0"/>
              <w:rPr>
                <w:sz w:val="20"/>
                <w:szCs w:val="20"/>
                <w:color w:val="auto"/>
              </w:rPr>
            </w:pPr>
            <w:r>
              <w:rPr>
                <w:rFonts w:ascii="Arial" w:cs="Arial" w:eastAsia="Arial" w:hAnsi="Arial"/>
                <w:sz w:val="14"/>
                <w:szCs w:val="14"/>
                <w:color w:val="auto"/>
              </w:rPr>
              <w:t>Chief Financial Officer</w:t>
            </w:r>
          </w:p>
        </w:tc>
      </w:tr>
    </w:tbl>
    <w:p>
      <w:pPr>
        <w:sectPr>
          <w:pgSz w:w="11900" w:h="16838" w:orient="portrait"/>
          <w:cols w:equalWidth="0" w:num="1">
            <w:col w:w="11240"/>
          </w:cols>
          <w:pgMar w:left="320" w:top="118"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4"/>
          <w:szCs w:val="14"/>
          <w:b w:val="1"/>
          <w:bCs w:val="1"/>
          <w:color w:val="auto"/>
        </w:rPr>
        <w:t>EXHIBIT 32.1</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Section 1350)</w:t>
      </w:r>
    </w:p>
    <w:p>
      <w:pPr>
        <w:spacing w:after="0" w:line="111" w:lineRule="exact"/>
        <w:rPr>
          <w:sz w:val="20"/>
          <w:szCs w:val="20"/>
          <w:color w:val="auto"/>
        </w:rPr>
      </w:pPr>
    </w:p>
    <w:p>
      <w:pPr>
        <w:ind w:right="160" w:firstLine="496"/>
        <w:spacing w:after="0" w:line="253" w:lineRule="auto"/>
        <w:rPr>
          <w:sz w:val="20"/>
          <w:szCs w:val="20"/>
          <w:color w:val="auto"/>
        </w:rPr>
      </w:pPr>
      <w:r>
        <w:rPr>
          <w:rFonts w:ascii="Arial" w:cs="Arial" w:eastAsia="Arial" w:hAnsi="Arial"/>
          <w:sz w:val="14"/>
          <w:szCs w:val="14"/>
          <w:color w:val="auto"/>
        </w:rPr>
        <w:t>In connection with the Annual Report on Form 10-K of PennantPark Investment Corporation for the annual period ended September 30, 2021 as filed with the Securities and Exchange Commission on the date hereof (the “Report”), I, Arthur H. Penn, as Chief Executive Officer of the Registrant hereby certify, to the best of my knowledge that:</w:t>
      </w:r>
    </w:p>
    <w:p>
      <w:pPr>
        <w:spacing w:after="0" w:line="106" w:lineRule="exact"/>
        <w:rPr>
          <w:sz w:val="20"/>
          <w:szCs w:val="20"/>
          <w:color w:val="auto"/>
        </w:rPr>
      </w:pPr>
    </w:p>
    <w:p>
      <w:pPr>
        <w:ind w:left="460" w:hanging="204"/>
        <w:spacing w:after="0"/>
        <w:tabs>
          <w:tab w:leader="none" w:pos="46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36" w:lineRule="exact"/>
        <w:rPr>
          <w:rFonts w:ascii="Arial" w:cs="Arial" w:eastAsia="Arial" w:hAnsi="Arial"/>
          <w:sz w:val="14"/>
          <w:szCs w:val="14"/>
          <w:color w:val="auto"/>
        </w:rPr>
      </w:pPr>
    </w:p>
    <w:p>
      <w:pPr>
        <w:ind w:left="460" w:hanging="204"/>
        <w:spacing w:after="0"/>
        <w:tabs>
          <w:tab w:leader="none" w:pos="46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4000" w:type="dxa"/>
            <w:vAlign w:val="bottom"/>
            <w:tcBorders>
              <w:top w:val="single" w:sz="8" w:color="auto"/>
            </w:tcBorders>
          </w:tcPr>
          <w:p>
            <w:pPr>
              <w:ind w:left="80"/>
              <w:spacing w:after="0" w:line="123" w:lineRule="exact"/>
              <w:rPr>
                <w:sz w:val="20"/>
                <w:szCs w:val="20"/>
                <w:color w:val="auto"/>
              </w:rPr>
            </w:pPr>
            <w:r>
              <w:rPr>
                <w:rFonts w:ascii="Arial" w:cs="Arial" w:eastAsia="Arial" w:hAnsi="Arial"/>
                <w:sz w:val="14"/>
                <w:szCs w:val="14"/>
                <w:color w:val="auto"/>
              </w:rPr>
              <w:t>Arthur H. Penn</w:t>
            </w:r>
          </w:p>
        </w:tc>
      </w:tr>
      <w:tr>
        <w:trPr>
          <w:trHeight w:val="148"/>
        </w:trPr>
        <w:tc>
          <w:tcPr>
            <w:tcW w:w="480" w:type="dxa"/>
            <w:vAlign w:val="bottom"/>
          </w:tcPr>
          <w:p>
            <w:pPr>
              <w:spacing w:after="0" w:line="149" w:lineRule="exact"/>
              <w:rPr>
                <w:sz w:val="20"/>
                <w:szCs w:val="20"/>
                <w:color w:val="auto"/>
              </w:rPr>
            </w:pPr>
            <w:r>
              <w:rPr>
                <w:rFonts w:ascii="Arial" w:cs="Arial" w:eastAsia="Arial" w:hAnsi="Arial"/>
                <w:sz w:val="14"/>
                <w:szCs w:val="14"/>
                <w:color w:val="auto"/>
              </w:rPr>
              <w:t>Title:</w:t>
            </w:r>
          </w:p>
        </w:tc>
        <w:tc>
          <w:tcPr>
            <w:tcW w:w="4000" w:type="dxa"/>
            <w:vAlign w:val="bottom"/>
          </w:tcPr>
          <w:p>
            <w:pPr>
              <w:ind w:left="80"/>
              <w:spacing w:after="0" w:line="149" w:lineRule="exact"/>
              <w:rPr>
                <w:sz w:val="20"/>
                <w:szCs w:val="20"/>
                <w:color w:val="auto"/>
              </w:rPr>
            </w:pPr>
            <w:r>
              <w:rPr>
                <w:rFonts w:ascii="Arial" w:cs="Arial" w:eastAsia="Arial" w:hAnsi="Arial"/>
                <w:sz w:val="14"/>
                <w:szCs w:val="14"/>
                <w:color w:val="auto"/>
              </w:rPr>
              <w:t>Chief Executive Officer</w:t>
            </w:r>
          </w:p>
        </w:tc>
      </w:tr>
      <w:tr>
        <w:trPr>
          <w:trHeight w:val="182"/>
        </w:trPr>
        <w:tc>
          <w:tcPr>
            <w:tcW w:w="480" w:type="dxa"/>
            <w:vAlign w:val="bottom"/>
          </w:tcPr>
          <w:p>
            <w:pPr>
              <w:spacing w:after="0"/>
              <w:rPr>
                <w:sz w:val="20"/>
                <w:szCs w:val="20"/>
                <w:color w:val="auto"/>
              </w:rPr>
            </w:pPr>
            <w:r>
              <w:rPr>
                <w:rFonts w:ascii="Arial" w:cs="Arial" w:eastAsia="Arial" w:hAnsi="Arial"/>
                <w:sz w:val="14"/>
                <w:szCs w:val="14"/>
                <w:color w:val="auto"/>
              </w:rPr>
              <w:t>Date:</w:t>
            </w:r>
          </w:p>
        </w:tc>
        <w:tc>
          <w:tcPr>
            <w:tcW w:w="4000" w:type="dxa"/>
            <w:vAlign w:val="bottom"/>
          </w:tcPr>
          <w:p>
            <w:pPr>
              <w:ind w:left="80"/>
              <w:spacing w:after="0"/>
              <w:rPr>
                <w:sz w:val="20"/>
                <w:szCs w:val="20"/>
                <w:color w:val="auto"/>
              </w:rPr>
            </w:pPr>
            <w:r>
              <w:rPr>
                <w:rFonts w:ascii="Arial" w:cs="Arial" w:eastAsia="Arial" w:hAnsi="Arial"/>
                <w:sz w:val="14"/>
                <w:szCs w:val="14"/>
                <w:color w:val="auto"/>
              </w:rPr>
              <w:t>November 17, 2021</w:t>
            </w:r>
          </w:p>
        </w:tc>
      </w:tr>
    </w:tbl>
    <w:p>
      <w:pPr>
        <w:sectPr>
          <w:pgSz w:w="11900" w:h="16838" w:orient="portrait"/>
          <w:cols w:equalWidth="0" w:num="1">
            <w:col w:w="11240"/>
          </w:cols>
          <w:pgMar w:left="320" w:top="118"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4"/>
          <w:szCs w:val="14"/>
          <w:b w:val="1"/>
          <w:bCs w:val="1"/>
          <w:color w:val="auto"/>
        </w:rPr>
        <w:t>EXHIBIT 32.2</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Section 1350)</w:t>
      </w:r>
    </w:p>
    <w:p>
      <w:pPr>
        <w:spacing w:after="0" w:line="111" w:lineRule="exact"/>
        <w:rPr>
          <w:sz w:val="20"/>
          <w:szCs w:val="20"/>
          <w:color w:val="auto"/>
        </w:rPr>
      </w:pPr>
    </w:p>
    <w:p>
      <w:pPr>
        <w:ind w:right="160" w:firstLine="496"/>
        <w:spacing w:after="0" w:line="253" w:lineRule="auto"/>
        <w:rPr>
          <w:sz w:val="20"/>
          <w:szCs w:val="20"/>
          <w:color w:val="auto"/>
        </w:rPr>
      </w:pPr>
      <w:r>
        <w:rPr>
          <w:rFonts w:ascii="Arial" w:cs="Arial" w:eastAsia="Arial" w:hAnsi="Arial"/>
          <w:sz w:val="14"/>
          <w:szCs w:val="14"/>
          <w:color w:val="auto"/>
        </w:rPr>
        <w:t>In connection with the Annual Report on Form 10-K of PennantPark Investment Corporation for the annual period ended September 30, 2021 as filed with the Securities and Exchange Commission on the date hereof (the “Report”), I, Richard Cheung, as Chief Financial Officer of the Registrant hereby certify, to the best of my knowledge that:</w:t>
      </w:r>
    </w:p>
    <w:p>
      <w:pPr>
        <w:spacing w:after="0" w:line="106" w:lineRule="exact"/>
        <w:rPr>
          <w:sz w:val="20"/>
          <w:szCs w:val="20"/>
          <w:color w:val="auto"/>
        </w:rPr>
      </w:pPr>
    </w:p>
    <w:p>
      <w:pPr>
        <w:ind w:left="460" w:hanging="204"/>
        <w:spacing w:after="0"/>
        <w:tabs>
          <w:tab w:leader="none" w:pos="46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36" w:lineRule="exact"/>
        <w:rPr>
          <w:rFonts w:ascii="Arial" w:cs="Arial" w:eastAsia="Arial" w:hAnsi="Arial"/>
          <w:sz w:val="14"/>
          <w:szCs w:val="14"/>
          <w:color w:val="auto"/>
        </w:rPr>
      </w:pPr>
    </w:p>
    <w:p>
      <w:pPr>
        <w:ind w:left="460" w:hanging="204"/>
        <w:spacing w:after="0"/>
        <w:tabs>
          <w:tab w:leader="none" w:pos="46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Richard Cheung</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4000" w:type="dxa"/>
            <w:vAlign w:val="bottom"/>
            <w:tcBorders>
              <w:top w:val="single" w:sz="8" w:color="auto"/>
            </w:tcBorders>
          </w:tcPr>
          <w:p>
            <w:pPr>
              <w:ind w:left="80"/>
              <w:spacing w:after="0" w:line="123" w:lineRule="exact"/>
              <w:rPr>
                <w:sz w:val="20"/>
                <w:szCs w:val="20"/>
                <w:color w:val="auto"/>
              </w:rPr>
            </w:pPr>
            <w:r>
              <w:rPr>
                <w:rFonts w:ascii="Arial" w:cs="Arial" w:eastAsia="Arial" w:hAnsi="Arial"/>
                <w:sz w:val="14"/>
                <w:szCs w:val="14"/>
                <w:color w:val="auto"/>
              </w:rPr>
              <w:t>Richard Cheung</w:t>
            </w:r>
          </w:p>
        </w:tc>
      </w:tr>
      <w:tr>
        <w:trPr>
          <w:trHeight w:val="148"/>
        </w:trPr>
        <w:tc>
          <w:tcPr>
            <w:tcW w:w="480" w:type="dxa"/>
            <w:vAlign w:val="bottom"/>
          </w:tcPr>
          <w:p>
            <w:pPr>
              <w:spacing w:after="0" w:line="149" w:lineRule="exact"/>
              <w:rPr>
                <w:sz w:val="20"/>
                <w:szCs w:val="20"/>
                <w:color w:val="auto"/>
              </w:rPr>
            </w:pPr>
            <w:r>
              <w:rPr>
                <w:rFonts w:ascii="Arial" w:cs="Arial" w:eastAsia="Arial" w:hAnsi="Arial"/>
                <w:sz w:val="14"/>
                <w:szCs w:val="14"/>
                <w:color w:val="auto"/>
              </w:rPr>
              <w:t>Title:</w:t>
            </w:r>
          </w:p>
        </w:tc>
        <w:tc>
          <w:tcPr>
            <w:tcW w:w="4000" w:type="dxa"/>
            <w:vAlign w:val="bottom"/>
          </w:tcPr>
          <w:p>
            <w:pPr>
              <w:ind w:left="80"/>
              <w:spacing w:after="0" w:line="149" w:lineRule="exact"/>
              <w:rPr>
                <w:sz w:val="20"/>
                <w:szCs w:val="20"/>
                <w:color w:val="auto"/>
              </w:rPr>
            </w:pPr>
            <w:r>
              <w:rPr>
                <w:rFonts w:ascii="Arial" w:cs="Arial" w:eastAsia="Arial" w:hAnsi="Arial"/>
                <w:sz w:val="14"/>
                <w:szCs w:val="14"/>
                <w:color w:val="auto"/>
              </w:rPr>
              <w:t>Chief Financial Officer</w:t>
            </w:r>
          </w:p>
        </w:tc>
      </w:tr>
      <w:tr>
        <w:trPr>
          <w:trHeight w:val="182"/>
        </w:trPr>
        <w:tc>
          <w:tcPr>
            <w:tcW w:w="480" w:type="dxa"/>
            <w:vAlign w:val="bottom"/>
          </w:tcPr>
          <w:p>
            <w:pPr>
              <w:spacing w:after="0"/>
              <w:rPr>
                <w:sz w:val="20"/>
                <w:szCs w:val="20"/>
                <w:color w:val="auto"/>
              </w:rPr>
            </w:pPr>
            <w:r>
              <w:rPr>
                <w:rFonts w:ascii="Arial" w:cs="Arial" w:eastAsia="Arial" w:hAnsi="Arial"/>
                <w:sz w:val="14"/>
                <w:szCs w:val="14"/>
                <w:color w:val="auto"/>
              </w:rPr>
              <w:t>Date:</w:t>
            </w:r>
          </w:p>
        </w:tc>
        <w:tc>
          <w:tcPr>
            <w:tcW w:w="4000" w:type="dxa"/>
            <w:vAlign w:val="bottom"/>
          </w:tcPr>
          <w:p>
            <w:pPr>
              <w:ind w:left="80"/>
              <w:spacing w:after="0"/>
              <w:rPr>
                <w:sz w:val="20"/>
                <w:szCs w:val="20"/>
                <w:color w:val="auto"/>
              </w:rPr>
            </w:pPr>
            <w:r>
              <w:rPr>
                <w:rFonts w:ascii="Arial" w:cs="Arial" w:eastAsia="Arial" w:hAnsi="Arial"/>
                <w:sz w:val="14"/>
                <w:szCs w:val="14"/>
                <w:color w:val="auto"/>
              </w:rPr>
              <w:t>November 17, 2021</w:t>
            </w:r>
          </w:p>
        </w:tc>
      </w:tr>
    </w:tbl>
    <w:p>
      <w:pPr>
        <w:sectPr>
          <w:pgSz w:w="11900" w:h="16838" w:orient="portrait"/>
          <w:cols w:equalWidth="0" w:num="1">
            <w:col w:w="11240"/>
          </w:cols>
          <w:pgMar w:left="320" w:top="118"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0"/>
          <w:szCs w:val="20"/>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80"/>
        <w:spacing w:after="0"/>
        <w:rPr>
          <w:sz w:val="20"/>
          <w:szCs w:val="20"/>
          <w:color w:val="auto"/>
        </w:rPr>
      </w:pPr>
      <w:r>
        <w:rPr>
          <w:rFonts w:ascii="Arial" w:cs="Arial" w:eastAsia="Arial" w:hAnsi="Arial"/>
          <w:sz w:val="29"/>
          <w:szCs w:val="29"/>
          <w:b w:val="1"/>
          <w:bCs w:val="1"/>
          <w:color w:val="auto"/>
        </w:rPr>
        <w:t>RAM ENERGY HOLDINGS LLC</w:t>
      </w:r>
    </w:p>
    <w:p>
      <w:pPr>
        <w:spacing w:after="0" w:line="36" w:lineRule="exact"/>
        <w:rPr>
          <w:sz w:val="20"/>
          <w:szCs w:val="20"/>
          <w:color w:val="auto"/>
        </w:rPr>
      </w:pPr>
    </w:p>
    <w:p>
      <w:pPr>
        <w:ind w:left="4080"/>
        <w:spacing w:after="0"/>
        <w:rPr>
          <w:sz w:val="20"/>
          <w:szCs w:val="20"/>
          <w:color w:val="auto"/>
        </w:rPr>
      </w:pPr>
      <w:r>
        <w:rPr>
          <w:rFonts w:ascii="Arial" w:cs="Arial" w:eastAsia="Arial" w:hAnsi="Arial"/>
          <w:sz w:val="29"/>
          <w:szCs w:val="29"/>
          <w:b w:val="1"/>
          <w:bCs w:val="1"/>
          <w:color w:val="auto"/>
        </w:rPr>
        <w:t>AND SUBSIDIARIES</w:t>
      </w:r>
    </w:p>
    <w:p>
      <w:pPr>
        <w:spacing w:after="0" w:line="176" w:lineRule="exact"/>
        <w:rPr>
          <w:sz w:val="20"/>
          <w:szCs w:val="20"/>
          <w:color w:val="auto"/>
        </w:rPr>
      </w:pPr>
    </w:p>
    <w:p>
      <w:pPr>
        <w:ind w:left="4080"/>
        <w:spacing w:after="0"/>
        <w:rPr>
          <w:sz w:val="20"/>
          <w:szCs w:val="20"/>
          <w:color w:val="auto"/>
        </w:rPr>
      </w:pPr>
      <w:r>
        <w:rPr>
          <w:rFonts w:ascii="Arial" w:cs="Arial" w:eastAsia="Arial" w:hAnsi="Arial"/>
          <w:sz w:val="25"/>
          <w:szCs w:val="25"/>
          <w:color w:val="auto"/>
        </w:rPr>
        <w:t>Consolidated Financial Statements</w:t>
      </w:r>
    </w:p>
    <w:p>
      <w:pPr>
        <w:spacing w:after="0" w:line="262"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As of and for the Year EndedSeptember</w:t>
      </w:r>
    </w:p>
    <w:p>
      <w:pPr>
        <w:spacing w:after="0" w:line="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3257550</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000"/>
          </w:cols>
          <w:pgMar w:left="1440" w:top="115" w:right="459" w:bottom="1440" w:gutter="0" w:footer="0" w:header="0"/>
        </w:sectPr>
      </w:pPr>
    </w:p>
    <w:bookmarkStart w:id="104" w:name="page105"/>
    <w:bookmarkEnd w:id="10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360"/>
        <w:spacing w:after="0"/>
        <w:rPr>
          <w:sz w:val="20"/>
          <w:szCs w:val="20"/>
          <w:color w:val="auto"/>
        </w:rPr>
      </w:pPr>
      <w:r>
        <w:rPr>
          <w:rFonts w:ascii="Arial" w:cs="Arial" w:eastAsia="Arial" w:hAnsi="Arial"/>
          <w:sz w:val="29"/>
          <w:szCs w:val="29"/>
          <w:b w:val="1"/>
          <w:bCs w:val="1"/>
          <w:color w:val="auto"/>
        </w:rPr>
        <w:t>RAM ENERGY HOLDINGS LLC</w:t>
      </w:r>
    </w:p>
    <w:p>
      <w:pPr>
        <w:spacing w:after="0" w:line="45" w:lineRule="exact"/>
        <w:rPr>
          <w:sz w:val="20"/>
          <w:szCs w:val="20"/>
          <w:color w:val="auto"/>
        </w:rPr>
      </w:pPr>
    </w:p>
    <w:p>
      <w:pPr>
        <w:ind w:left="3300"/>
        <w:spacing w:after="0"/>
        <w:rPr>
          <w:sz w:val="20"/>
          <w:szCs w:val="20"/>
          <w:color w:val="auto"/>
        </w:rPr>
      </w:pPr>
      <w:r>
        <w:rPr>
          <w:rFonts w:ascii="Arial" w:cs="Arial" w:eastAsia="Arial" w:hAnsi="Arial"/>
          <w:sz w:val="29"/>
          <w:szCs w:val="29"/>
          <w:b w:val="1"/>
          <w:bCs w:val="1"/>
          <w:color w:val="auto"/>
        </w:rPr>
        <w:t>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22860</wp:posOffset>
            </wp:positionV>
            <wp:extent cx="713232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25"/>
          <w:szCs w:val="25"/>
          <w:color w:val="auto"/>
        </w:rPr>
        <w:t>Consolidated Financial Statements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As of and for the Year EndedSeptember</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1260475</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5" w:name="page106"/>
    <w:bookmarkEnd w:id="105"/>
    <w:p>
      <w:pPr>
        <w:jc w:val="center"/>
        <w:ind w:right="-59"/>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680" w:type="dxa"/>
            <w:vAlign w:val="bottom"/>
            <w:gridSpan w:val="8"/>
            <w:vMerge w:val="restart"/>
          </w:tcPr>
          <w:p>
            <w:pPr>
              <w:spacing w:after="0"/>
              <w:rPr>
                <w:rFonts w:ascii="Arial" w:cs="Arial" w:eastAsia="Arial" w:hAnsi="Arial"/>
                <w:sz w:val="19"/>
                <w:szCs w:val="19"/>
                <w:b w:val="1"/>
                <w:bCs w:val="1"/>
                <w:color w:val="0000EE"/>
              </w:rPr>
            </w:pPr>
            <w:hyperlink w:anchor="page107">
              <w:r>
                <w:rPr>
                  <w:rFonts w:ascii="Arial" w:cs="Arial" w:eastAsia="Arial" w:hAnsi="Arial"/>
                  <w:sz w:val="19"/>
                  <w:szCs w:val="19"/>
                  <w:b w:val="1"/>
                  <w:bCs w:val="1"/>
                  <w:color w:val="0000EE"/>
                </w:rPr>
                <w:t>Independent Auditor’s Report</w:t>
              </w:r>
            </w:hyperlink>
          </w:p>
        </w:tc>
        <w:tc>
          <w:tcPr>
            <w:tcW w:w="2480" w:type="dxa"/>
            <w:vAlign w:val="bottom"/>
          </w:tcPr>
          <w:p>
            <w:pPr>
              <w:ind w:left="2060"/>
              <w:spacing w:after="0"/>
              <w:rPr>
                <w:sz w:val="20"/>
                <w:szCs w:val="20"/>
                <w:color w:val="auto"/>
              </w:rPr>
            </w:pPr>
            <w:r>
              <w:rPr>
                <w:rFonts w:ascii="Arial" w:cs="Arial" w:eastAsia="Arial" w:hAnsi="Arial"/>
                <w:sz w:val="19"/>
                <w:szCs w:val="19"/>
                <w:b w:val="1"/>
                <w:bCs w:val="1"/>
                <w:color w:val="auto"/>
                <w:w w:val="87"/>
              </w:rPr>
              <w:t>Page</w:t>
            </w:r>
          </w:p>
        </w:tc>
        <w:tc>
          <w:tcPr>
            <w:tcW w:w="0" w:type="dxa"/>
            <w:vAlign w:val="bottom"/>
          </w:tcPr>
          <w:p>
            <w:pPr>
              <w:spacing w:after="0"/>
              <w:rPr>
                <w:sz w:val="1"/>
                <w:szCs w:val="1"/>
                <w:color w:val="auto"/>
              </w:rPr>
            </w:pPr>
          </w:p>
        </w:tc>
      </w:tr>
      <w:tr>
        <w:trPr>
          <w:trHeight w:val="198"/>
        </w:trPr>
        <w:tc>
          <w:tcPr>
            <w:tcW w:w="8680" w:type="dxa"/>
            <w:vAlign w:val="bottom"/>
            <w:gridSpan w:val="8"/>
            <w:vMerge w:val="continue"/>
          </w:tcPr>
          <w:p>
            <w:pPr>
              <w:spacing w:after="0"/>
              <w:rPr>
                <w:sz w:val="17"/>
                <w:szCs w:val="17"/>
                <w:color w:val="auto"/>
              </w:rPr>
            </w:pPr>
          </w:p>
        </w:tc>
        <w:tc>
          <w:tcPr>
            <w:tcW w:w="2480" w:type="dxa"/>
            <w:vAlign w:val="bottom"/>
          </w:tcPr>
          <w:p>
            <w:pPr>
              <w:jc w:val="center"/>
              <w:ind w:left="1926"/>
              <w:spacing w:after="0" w:line="198" w:lineRule="exact"/>
              <w:rPr>
                <w:sz w:val="20"/>
                <w:szCs w:val="20"/>
                <w:color w:val="auto"/>
              </w:rPr>
            </w:pPr>
            <w:r>
              <w:rPr>
                <w:rFonts w:ascii="Arial" w:cs="Arial" w:eastAsia="Arial" w:hAnsi="Arial"/>
                <w:sz w:val="19"/>
                <w:szCs w:val="19"/>
                <w:color w:val="auto"/>
                <w:w w:val="94"/>
              </w:rPr>
              <w:t>3-4</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8680" w:type="dxa"/>
            <w:vAlign w:val="bottom"/>
            <w:gridSpan w:val="8"/>
          </w:tcPr>
          <w:p>
            <w:pPr>
              <w:spacing w:after="0"/>
              <w:rPr>
                <w:sz w:val="20"/>
                <w:szCs w:val="20"/>
                <w:color w:val="auto"/>
              </w:rPr>
            </w:pPr>
            <w:r>
              <w:rPr>
                <w:rFonts w:ascii="Arial" w:cs="Arial" w:eastAsia="Arial" w:hAnsi="Arial"/>
                <w:sz w:val="19"/>
                <w:szCs w:val="19"/>
                <w:b w:val="1"/>
                <w:bCs w:val="1"/>
                <w:color w:val="auto"/>
              </w:rPr>
              <w:t>Consolidated Financial Statements</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20" w:type="dxa"/>
            <w:vAlign w:val="bottom"/>
          </w:tcPr>
          <w:p>
            <w:pPr>
              <w:spacing w:after="0"/>
              <w:rPr>
                <w:sz w:val="24"/>
                <w:szCs w:val="24"/>
                <w:color w:val="auto"/>
              </w:rPr>
            </w:pPr>
          </w:p>
        </w:tc>
        <w:tc>
          <w:tcPr>
            <w:tcW w:w="4100" w:type="dxa"/>
            <w:vAlign w:val="bottom"/>
            <w:tcBorders>
              <w:bottom w:val="single" w:sz="8" w:color="0000EE"/>
            </w:tcBorders>
            <w:gridSpan w:val="3"/>
          </w:tcPr>
          <w:p>
            <w:pPr>
              <w:spacing w:after="0"/>
              <w:rPr>
                <w:rFonts w:ascii="Arial" w:cs="Arial" w:eastAsia="Arial" w:hAnsi="Arial"/>
                <w:sz w:val="19"/>
                <w:szCs w:val="19"/>
                <w:color w:val="0000EE"/>
                <w:w w:val="87"/>
              </w:rPr>
            </w:pPr>
            <w:hyperlink w:anchor="page110">
              <w:r>
                <w:rPr>
                  <w:rFonts w:ascii="Arial" w:cs="Arial" w:eastAsia="Arial" w:hAnsi="Arial"/>
                  <w:sz w:val="19"/>
                  <w:szCs w:val="19"/>
                  <w:color w:val="0000EE"/>
                  <w:w w:val="87"/>
                </w:rPr>
                <w:t>Consolidated Balance Sheet as of September 30, 2021</w:t>
              </w:r>
            </w:hyperlink>
          </w:p>
        </w:tc>
        <w:tc>
          <w:tcPr>
            <w:tcW w:w="4360" w:type="dxa"/>
            <w:vAlign w:val="bottom"/>
            <w:gridSpan w:val="4"/>
          </w:tcPr>
          <w:p>
            <w:pPr>
              <w:spacing w:after="0"/>
              <w:rPr>
                <w:sz w:val="24"/>
                <w:szCs w:val="24"/>
                <w:color w:val="auto"/>
              </w:rPr>
            </w:pPr>
          </w:p>
        </w:tc>
        <w:tc>
          <w:tcPr>
            <w:tcW w:w="2480" w:type="dxa"/>
            <w:vAlign w:val="bottom"/>
          </w:tcPr>
          <w:p>
            <w:pPr>
              <w:jc w:val="center"/>
              <w:ind w:left="1926"/>
              <w:spacing w:after="0"/>
              <w:rPr>
                <w:sz w:val="20"/>
                <w:szCs w:val="20"/>
                <w:color w:val="auto"/>
              </w:rPr>
            </w:pPr>
            <w:r>
              <w:rPr>
                <w:rFonts w:ascii="Arial" w:cs="Arial" w:eastAsia="Arial" w:hAnsi="Arial"/>
                <w:sz w:val="19"/>
                <w:szCs w:val="19"/>
                <w:color w:val="auto"/>
                <w:w w:val="94"/>
              </w:rPr>
              <w:t>6</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8460" w:type="dxa"/>
            <w:vAlign w:val="bottom"/>
            <w:gridSpan w:val="7"/>
          </w:tcPr>
          <w:p>
            <w:pPr>
              <w:spacing w:after="0"/>
              <w:rPr>
                <w:rFonts w:ascii="Arial" w:cs="Arial" w:eastAsia="Arial" w:hAnsi="Arial"/>
                <w:sz w:val="19"/>
                <w:szCs w:val="19"/>
                <w:color w:val="0000EE"/>
              </w:rPr>
            </w:pPr>
            <w:hyperlink w:anchor="page111">
              <w:r>
                <w:rPr>
                  <w:rFonts w:ascii="Arial" w:cs="Arial" w:eastAsia="Arial" w:hAnsi="Arial"/>
                  <w:sz w:val="19"/>
                  <w:szCs w:val="19"/>
                  <w:color w:val="0000EE"/>
                </w:rPr>
                <w:t>Consolidated Statement of Operations for the Year Ended September 30, 2021</w:t>
              </w:r>
            </w:hyperlink>
          </w:p>
        </w:tc>
        <w:tc>
          <w:tcPr>
            <w:tcW w:w="2480" w:type="dxa"/>
            <w:vAlign w:val="bottom"/>
          </w:tcPr>
          <w:p>
            <w:pPr>
              <w:jc w:val="center"/>
              <w:ind w:left="1926"/>
              <w:spacing w:after="0"/>
              <w:rPr>
                <w:sz w:val="20"/>
                <w:szCs w:val="20"/>
                <w:color w:val="auto"/>
              </w:rPr>
            </w:pPr>
            <w:r>
              <w:rPr>
                <w:rFonts w:ascii="Arial" w:cs="Arial" w:eastAsia="Arial" w:hAnsi="Arial"/>
                <w:sz w:val="19"/>
                <w:szCs w:val="19"/>
                <w:color w:val="auto"/>
                <w:w w:val="94"/>
              </w:rPr>
              <w:t>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320" w:type="dxa"/>
            <w:vAlign w:val="bottom"/>
            <w:gridSpan w:val="2"/>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6420" w:type="dxa"/>
            <w:vAlign w:val="bottom"/>
            <w:tcBorders>
              <w:bottom w:val="single" w:sz="8" w:color="0000EE"/>
            </w:tcBorders>
            <w:gridSpan w:val="6"/>
          </w:tcPr>
          <w:p>
            <w:pPr>
              <w:spacing w:after="0"/>
              <w:rPr>
                <w:rFonts w:ascii="Arial" w:cs="Arial" w:eastAsia="Arial" w:hAnsi="Arial"/>
                <w:sz w:val="19"/>
                <w:szCs w:val="19"/>
                <w:color w:val="0000EE"/>
                <w:w w:val="89"/>
              </w:rPr>
            </w:pPr>
            <w:hyperlink w:anchor="page112">
              <w:r>
                <w:rPr>
                  <w:rFonts w:ascii="Arial" w:cs="Arial" w:eastAsia="Arial" w:hAnsi="Arial"/>
                  <w:sz w:val="19"/>
                  <w:szCs w:val="19"/>
                  <w:color w:val="0000EE"/>
                  <w:w w:val="89"/>
                </w:rPr>
                <w:t>Consolidated Statement of Member’s Equity for the Year Ended September 30, 2021</w:t>
              </w:r>
            </w:hyperlink>
          </w:p>
        </w:tc>
        <w:tc>
          <w:tcPr>
            <w:tcW w:w="2040" w:type="dxa"/>
            <w:vAlign w:val="bottom"/>
          </w:tcPr>
          <w:p>
            <w:pPr>
              <w:spacing w:after="0"/>
              <w:rPr>
                <w:sz w:val="24"/>
                <w:szCs w:val="24"/>
                <w:color w:val="auto"/>
              </w:rPr>
            </w:pPr>
          </w:p>
        </w:tc>
        <w:tc>
          <w:tcPr>
            <w:tcW w:w="2480" w:type="dxa"/>
            <w:vAlign w:val="bottom"/>
          </w:tcPr>
          <w:p>
            <w:pPr>
              <w:jc w:val="center"/>
              <w:ind w:left="1926"/>
              <w:spacing w:after="0"/>
              <w:rPr>
                <w:sz w:val="20"/>
                <w:szCs w:val="20"/>
                <w:color w:val="auto"/>
              </w:rPr>
            </w:pPr>
            <w:r>
              <w:rPr>
                <w:rFonts w:ascii="Arial" w:cs="Arial" w:eastAsia="Arial" w:hAnsi="Arial"/>
                <w:sz w:val="19"/>
                <w:szCs w:val="19"/>
                <w:color w:val="auto"/>
                <w:w w:val="94"/>
              </w:rPr>
              <w:t>8</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5980" w:type="dxa"/>
            <w:vAlign w:val="bottom"/>
            <w:tcBorders>
              <w:bottom w:val="single" w:sz="8" w:color="0000EE"/>
            </w:tcBorders>
            <w:gridSpan w:val="5"/>
          </w:tcPr>
          <w:p>
            <w:pPr>
              <w:spacing w:after="0"/>
              <w:rPr>
                <w:rFonts w:ascii="Arial" w:cs="Arial" w:eastAsia="Arial" w:hAnsi="Arial"/>
                <w:sz w:val="19"/>
                <w:szCs w:val="19"/>
                <w:color w:val="0000EE"/>
                <w:w w:val="88"/>
              </w:rPr>
            </w:pPr>
            <w:hyperlink w:anchor="page113">
              <w:r>
                <w:rPr>
                  <w:rFonts w:ascii="Arial" w:cs="Arial" w:eastAsia="Arial" w:hAnsi="Arial"/>
                  <w:sz w:val="19"/>
                  <w:szCs w:val="19"/>
                  <w:color w:val="0000EE"/>
                  <w:w w:val="88"/>
                </w:rPr>
                <w:t>Consolidated Statement of Cash Flows for the Year Ended September 30, 2021</w:t>
              </w:r>
            </w:hyperlink>
          </w:p>
        </w:tc>
        <w:tc>
          <w:tcPr>
            <w:tcW w:w="2480" w:type="dxa"/>
            <w:vAlign w:val="bottom"/>
            <w:gridSpan w:val="2"/>
          </w:tcPr>
          <w:p>
            <w:pPr>
              <w:spacing w:after="0"/>
              <w:rPr>
                <w:sz w:val="24"/>
                <w:szCs w:val="24"/>
                <w:color w:val="auto"/>
              </w:rPr>
            </w:pPr>
          </w:p>
        </w:tc>
        <w:tc>
          <w:tcPr>
            <w:tcW w:w="2480" w:type="dxa"/>
            <w:vAlign w:val="bottom"/>
          </w:tcPr>
          <w:p>
            <w:pPr>
              <w:jc w:val="center"/>
              <w:ind w:left="1926"/>
              <w:spacing w:after="0"/>
              <w:rPr>
                <w:sz w:val="20"/>
                <w:szCs w:val="20"/>
                <w:color w:val="auto"/>
              </w:rPr>
            </w:pPr>
            <w:r>
              <w:rPr>
                <w:rFonts w:ascii="Arial" w:cs="Arial" w:eastAsia="Arial" w:hAnsi="Arial"/>
                <w:sz w:val="19"/>
                <w:szCs w:val="19"/>
                <w:color w:val="auto"/>
                <w:w w:val="94"/>
              </w:rPr>
              <w:t>9</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3320" w:type="dxa"/>
            <w:vAlign w:val="bottom"/>
            <w:tcBorders>
              <w:bottom w:val="single" w:sz="8" w:color="0000EE"/>
            </w:tcBorders>
            <w:gridSpan w:val="2"/>
          </w:tcPr>
          <w:p>
            <w:pPr>
              <w:spacing w:after="0"/>
              <w:rPr>
                <w:rFonts w:ascii="Arial" w:cs="Arial" w:eastAsia="Arial" w:hAnsi="Arial"/>
                <w:sz w:val="19"/>
                <w:szCs w:val="19"/>
                <w:color w:val="0000EE"/>
                <w:w w:val="89"/>
              </w:rPr>
            </w:pPr>
            <w:hyperlink w:anchor="page114">
              <w:r>
                <w:rPr>
                  <w:rFonts w:ascii="Arial" w:cs="Arial" w:eastAsia="Arial" w:hAnsi="Arial"/>
                  <w:sz w:val="19"/>
                  <w:szCs w:val="19"/>
                  <w:color w:val="0000EE"/>
                  <w:w w:val="89"/>
                </w:rPr>
                <w:t>Notes to Consolidated Financial Statements</w:t>
              </w:r>
            </w:hyperlink>
          </w:p>
        </w:tc>
        <w:tc>
          <w:tcPr>
            <w:tcW w:w="5140" w:type="dxa"/>
            <w:vAlign w:val="bottom"/>
            <w:gridSpan w:val="5"/>
          </w:tcPr>
          <w:p>
            <w:pPr>
              <w:spacing w:after="0"/>
              <w:rPr>
                <w:sz w:val="24"/>
                <w:szCs w:val="24"/>
                <w:color w:val="auto"/>
              </w:rPr>
            </w:pPr>
          </w:p>
        </w:tc>
        <w:tc>
          <w:tcPr>
            <w:tcW w:w="2480" w:type="dxa"/>
            <w:vAlign w:val="bottom"/>
          </w:tcPr>
          <w:p>
            <w:pPr>
              <w:jc w:val="center"/>
              <w:ind w:left="1926"/>
              <w:spacing w:after="0"/>
              <w:rPr>
                <w:sz w:val="20"/>
                <w:szCs w:val="20"/>
                <w:color w:val="auto"/>
              </w:rPr>
            </w:pPr>
            <w:r>
              <w:rPr>
                <w:rFonts w:ascii="Arial" w:cs="Arial" w:eastAsia="Arial" w:hAnsi="Arial"/>
                <w:sz w:val="19"/>
                <w:szCs w:val="19"/>
                <w:color w:val="auto"/>
                <w:w w:val="94"/>
              </w:rPr>
              <w:t>10-20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400" w:right="419" w:bottom="1440" w:gutter="0" w:footer="0" w:header="0"/>
        </w:sectPr>
      </w:pPr>
    </w:p>
    <w:bookmarkStart w:id="106" w:name="page107"/>
    <w:bookmarkEnd w:id="106"/>
    <w:p>
      <w:pPr>
        <w:spacing w:after="0"/>
        <w:rPr>
          <w:sz w:val="20"/>
          <w:szCs w:val="20"/>
          <w:color w:val="auto"/>
        </w:rPr>
      </w:pPr>
      <w:r>
        <w:rPr>
          <w:rFonts w:ascii="Arial" w:cs="Arial" w:eastAsia="Arial" w:hAnsi="Arial"/>
          <w:sz w:val="22"/>
          <w:szCs w:val="22"/>
          <w:b w:val="1"/>
          <w:bCs w:val="1"/>
          <w:color w:val="auto"/>
        </w:rPr>
        <w:t>Independent Auditor’s Report</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To the Board of Directors</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RAM Energy Holdings LLC</w:t>
      </w:r>
    </w:p>
    <w:p>
      <w:pPr>
        <w:spacing w:after="0"/>
        <w:rPr>
          <w:sz w:val="20"/>
          <w:szCs w:val="20"/>
          <w:color w:val="auto"/>
        </w:rPr>
      </w:pPr>
      <w:r>
        <w:rPr>
          <w:rFonts w:ascii="Arial" w:cs="Arial" w:eastAsia="Arial" w:hAnsi="Arial"/>
          <w:sz w:val="19"/>
          <w:szCs w:val="19"/>
          <w:color w:val="auto"/>
        </w:rPr>
        <w:t>Tulsa, Oklahoma</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w:t>
      </w:r>
    </w:p>
    <w:p>
      <w:pPr>
        <w:spacing w:after="0" w:line="183"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We have audited the accompanying consolidated financial statements of RAM Energy Holdings LLC and its subsidiaries (the “Company”), which comprise the consolidated balance sheet as of September 30,2021, and the related consolidated statements of operations, member’s equity, and cash flows for theyear then ended, and the related notes to the consolidated financial statements.</w:t>
      </w:r>
    </w:p>
    <w:p>
      <w:pPr>
        <w:spacing w:after="0" w:line="143"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In our opinion, the accompanying consolidated financial statements present fairly, in all material respects, the financial position of the Company as of September 30, 2021, and the results of its operations and its cash flows for the year then ended in accordance with accounting principles generally accepted in the United States of America.</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w:t>
      </w:r>
    </w:p>
    <w:p>
      <w:pPr>
        <w:spacing w:after="0" w:line="183"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We conducted our audit in accordance with auditing standards generally accepted in the United States of America (“GAAS”). Our responsibilities under those standards are further described in the Auditor’s Responsibilities for the Audit of the Consolidated Financial Statements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Responsibilities of Management for the Consolidated Financial Statements</w:t>
      </w:r>
    </w:p>
    <w:p>
      <w:pPr>
        <w:spacing w:after="0" w:line="169"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Management is responsible for the preparation and fair presentation of the consolidated financial statements in accordance with accounting principles generally accepted in the United States of America, and for the design, implementation, and maintenance of internal control relevant to the preparation and fair presentation of consolidated financial statements that are free from material misstatement, whether due to fraud or error.</w:t>
      </w:r>
    </w:p>
    <w:p>
      <w:pPr>
        <w:spacing w:after="0" w:line="12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In preparing the consolidated financial statements, management is required to evaluate whether there are conditions or events, considered in the aggregate, that raise substantial doubt about the Company’s ability to continue as a going concern within one year after the date that the consolidated financial statements are issued or available to be issued.</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Auditor’s Responsibilities for the Audit of the Consolidated Financial Statements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financial statements.</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color w:val="auto"/>
        </w:rPr>
        <w:t>In performing an audit in accordance with GAAS, we:</w:t>
      </w:r>
    </w:p>
    <w:p>
      <w:pPr>
        <w:spacing w:after="0" w:line="173" w:lineRule="exact"/>
        <w:rPr>
          <w:sz w:val="20"/>
          <w:szCs w:val="20"/>
          <w:color w:val="auto"/>
        </w:rPr>
      </w:pPr>
    </w:p>
    <w:p>
      <w:pPr>
        <w:ind w:left="5580" w:right="3200" w:hanging="4762"/>
        <w:spacing w:after="0" w:line="498" w:lineRule="auto"/>
        <w:tabs>
          <w:tab w:leader="none" w:pos="1226" w:val="left"/>
        </w:tabs>
        <w:numPr>
          <w:ilvl w:val="0"/>
          <w:numId w:val="128"/>
        </w:numPr>
        <w:rPr>
          <w:rFonts w:ascii="Arial" w:cs="Arial" w:eastAsia="Arial" w:hAnsi="Arial"/>
          <w:sz w:val="18"/>
          <w:szCs w:val="18"/>
          <w:color w:val="auto"/>
        </w:rPr>
      </w:pPr>
      <w:r>
        <w:rPr>
          <w:rFonts w:ascii="Arial" w:cs="Arial" w:eastAsia="Arial" w:hAnsi="Arial"/>
          <w:sz w:val="19"/>
          <w:szCs w:val="19"/>
          <w:color w:val="auto"/>
        </w:rPr>
        <w:t>Exercise professional judgment and maintain professional skepticism throughout the audit.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07" w:name="page108"/>
    <w:bookmarkEnd w:id="107"/>
    <w:p>
      <w:pPr>
        <w:jc w:val="both"/>
        <w:ind w:left="1220" w:hanging="402"/>
        <w:spacing w:after="0" w:line="249" w:lineRule="auto"/>
        <w:tabs>
          <w:tab w:leader="none" w:pos="1220" w:val="left"/>
        </w:tabs>
        <w:numPr>
          <w:ilvl w:val="0"/>
          <w:numId w:val="129"/>
        </w:numPr>
        <w:rPr>
          <w:rFonts w:ascii="Arial" w:cs="Arial" w:eastAsia="Arial" w:hAnsi="Arial"/>
          <w:sz w:val="18"/>
          <w:szCs w:val="18"/>
          <w:color w:val="auto"/>
        </w:rPr>
      </w:pPr>
      <w:r>
        <w:rPr>
          <w:rFonts w:ascii="Arial" w:cs="Arial" w:eastAsia="Arial" w:hAnsi="Arial"/>
          <w:sz w:val="19"/>
          <w:szCs w:val="19"/>
          <w:color w:val="auto"/>
        </w:rPr>
        <w:t>Identify and assess the risks of material misstatement of the consolidated financial statements, whether due to fraud or error, and design and perform audit procedures responsive to those risks. Such procedures include examining, on a test basis, evidence regarding the amounts anddisclosures in the consolidated financial statements.</w:t>
      </w:r>
    </w:p>
    <w:p>
      <w:pPr>
        <w:spacing w:after="0" w:line="143" w:lineRule="exact"/>
        <w:rPr>
          <w:rFonts w:ascii="Arial" w:cs="Arial" w:eastAsia="Arial" w:hAnsi="Arial"/>
          <w:sz w:val="18"/>
          <w:szCs w:val="18"/>
          <w:color w:val="auto"/>
        </w:rPr>
      </w:pPr>
    </w:p>
    <w:p>
      <w:pPr>
        <w:jc w:val="both"/>
        <w:ind w:left="1220" w:hanging="402"/>
        <w:spacing w:after="0" w:line="249" w:lineRule="auto"/>
        <w:tabs>
          <w:tab w:leader="none" w:pos="1220" w:val="left"/>
        </w:tabs>
        <w:numPr>
          <w:ilvl w:val="0"/>
          <w:numId w:val="129"/>
        </w:numPr>
        <w:rPr>
          <w:rFonts w:ascii="Arial" w:cs="Arial" w:eastAsia="Arial" w:hAnsi="Arial"/>
          <w:sz w:val="18"/>
          <w:szCs w:val="18"/>
          <w:color w:val="auto"/>
        </w:rPr>
      </w:pPr>
      <w:r>
        <w:rPr>
          <w:rFonts w:ascii="Arial" w:cs="Arial" w:eastAsia="Arial" w:hAnsi="Arial"/>
          <w:sz w:val="19"/>
          <w:szCs w:val="19"/>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isexpressed.</w:t>
      </w:r>
    </w:p>
    <w:p>
      <w:pPr>
        <w:spacing w:after="0" w:line="143" w:lineRule="exact"/>
        <w:rPr>
          <w:rFonts w:ascii="Arial" w:cs="Arial" w:eastAsia="Arial" w:hAnsi="Arial"/>
          <w:sz w:val="18"/>
          <w:szCs w:val="18"/>
          <w:color w:val="auto"/>
        </w:rPr>
      </w:pPr>
    </w:p>
    <w:p>
      <w:pPr>
        <w:ind w:left="1220" w:hanging="402"/>
        <w:spacing w:after="0" w:line="261" w:lineRule="auto"/>
        <w:tabs>
          <w:tab w:leader="none" w:pos="1220" w:val="left"/>
        </w:tabs>
        <w:numPr>
          <w:ilvl w:val="0"/>
          <w:numId w:val="129"/>
        </w:numPr>
        <w:rPr>
          <w:rFonts w:ascii="Arial" w:cs="Arial" w:eastAsia="Arial" w:hAnsi="Arial"/>
          <w:sz w:val="18"/>
          <w:szCs w:val="18"/>
          <w:color w:val="auto"/>
        </w:rPr>
      </w:pPr>
      <w:r>
        <w:rPr>
          <w:rFonts w:ascii="Arial" w:cs="Arial" w:eastAsia="Arial" w:hAnsi="Arial"/>
          <w:sz w:val="19"/>
          <w:szCs w:val="19"/>
          <w:color w:val="auto"/>
        </w:rPr>
        <w:t>Evaluate the appropriateness of accounting policies used and the reasonableness of significant accounting estimates made by management, as well as evaluate the overall presentation of theconsolidated financial statements.</w:t>
      </w:r>
    </w:p>
    <w:p>
      <w:pPr>
        <w:spacing w:after="0" w:line="132" w:lineRule="exact"/>
        <w:rPr>
          <w:rFonts w:ascii="Arial" w:cs="Arial" w:eastAsia="Arial" w:hAnsi="Arial"/>
          <w:sz w:val="18"/>
          <w:szCs w:val="18"/>
          <w:color w:val="auto"/>
        </w:rPr>
      </w:pPr>
    </w:p>
    <w:p>
      <w:pPr>
        <w:ind w:left="1220" w:hanging="402"/>
        <w:spacing w:after="0" w:line="261" w:lineRule="auto"/>
        <w:tabs>
          <w:tab w:leader="none" w:pos="1220" w:val="left"/>
        </w:tabs>
        <w:numPr>
          <w:ilvl w:val="0"/>
          <w:numId w:val="129"/>
        </w:numPr>
        <w:rPr>
          <w:rFonts w:ascii="Arial" w:cs="Arial" w:eastAsia="Arial" w:hAnsi="Arial"/>
          <w:sz w:val="18"/>
          <w:szCs w:val="18"/>
          <w:color w:val="auto"/>
        </w:rPr>
      </w:pPr>
      <w:r>
        <w:rPr>
          <w:rFonts w:ascii="Arial" w:cs="Arial" w:eastAsia="Arial" w:hAnsi="Arial"/>
          <w:sz w:val="19"/>
          <w:szCs w:val="19"/>
          <w:color w:val="auto"/>
        </w:rPr>
        <w:t>Conclude whether, in our judgment, there are conditions or events, considered in theaggregate, that raise substantial doubt about the Company’s ability to continue as a going concern for a reasonable period of time.</w:t>
      </w:r>
    </w:p>
    <w:p>
      <w:pPr>
        <w:spacing w:after="0" w:line="132"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We are required to communicate with those charged with governance regarding, among other matters, the planned scope and timing of the audit, significant audit findings, and certain internal control- related matters that we identified during the audit.</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/s/ BDO USA, LLP</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Houston, Texas</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November 16, 2021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8" w:name="page109"/>
    <w:bookmarkEnd w:id="108"/>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60960</wp:posOffset>
            </wp:positionV>
            <wp:extent cx="713232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68580</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328"/>
        </w:trPr>
        <w:tc>
          <w:tcPr>
            <w:tcW w:w="8660" w:type="dxa"/>
            <w:vAlign w:val="bottom"/>
          </w:tcPr>
          <w:p>
            <w:pPr>
              <w:ind w:left="3200"/>
              <w:spacing w:after="0"/>
              <w:rPr>
                <w:sz w:val="20"/>
                <w:szCs w:val="20"/>
                <w:color w:val="auto"/>
              </w:rPr>
            </w:pPr>
            <w:r>
              <w:rPr>
                <w:rFonts w:ascii="Arial" w:cs="Arial" w:eastAsia="Arial" w:hAnsi="Arial"/>
                <w:sz w:val="25"/>
                <w:szCs w:val="25"/>
                <w:b w:val="1"/>
                <w:bCs w:val="1"/>
                <w:color w:val="auto"/>
              </w:rPr>
              <w:t>RAM Energy Holdings LLC and Subsidiaries</w:t>
            </w:r>
          </w:p>
        </w:tc>
        <w:tc>
          <w:tcPr>
            <w:tcW w:w="10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44"/>
        </w:trPr>
        <w:tc>
          <w:tcPr>
            <w:tcW w:w="8660" w:type="dxa"/>
            <w:vAlign w:val="bottom"/>
            <w:tcBorders>
              <w:bottom w:val="single" w:sz="8" w:color="auto"/>
            </w:tcBorders>
          </w:tcPr>
          <w:p>
            <w:pPr>
              <w:ind w:left="4360"/>
              <w:spacing w:after="0"/>
              <w:rPr>
                <w:sz w:val="20"/>
                <w:szCs w:val="20"/>
                <w:color w:val="auto"/>
              </w:rPr>
            </w:pPr>
            <w:r>
              <w:rPr>
                <w:rFonts w:ascii="Arial" w:cs="Arial" w:eastAsia="Arial" w:hAnsi="Arial"/>
                <w:sz w:val="22"/>
                <w:szCs w:val="22"/>
                <w:b w:val="1"/>
                <w:bCs w:val="1"/>
                <w:color w:val="auto"/>
              </w:rPr>
              <w:t>Consolidated Balance Sheet</w:t>
            </w:r>
          </w:p>
        </w:tc>
        <w:tc>
          <w:tcPr>
            <w:tcW w:w="10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r>
        <w:trPr>
          <w:trHeight w:val="445"/>
        </w:trPr>
        <w:tc>
          <w:tcPr>
            <w:tcW w:w="866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i w:val="1"/>
                <w:iCs w:val="1"/>
                <w:color w:val="auto"/>
              </w:rPr>
              <w:t>September 30,</w:t>
            </w:r>
          </w:p>
        </w:tc>
        <w:tc>
          <w:tcPr>
            <w:tcW w:w="10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766"/>
              <w:spacing w:after="0"/>
              <w:rPr>
                <w:sz w:val="20"/>
                <w:szCs w:val="20"/>
                <w:color w:val="auto"/>
              </w:rPr>
            </w:pPr>
            <w:r>
              <w:rPr>
                <w:rFonts w:ascii="Arial" w:cs="Arial" w:eastAsia="Arial" w:hAnsi="Arial"/>
                <w:sz w:val="19"/>
                <w:szCs w:val="19"/>
                <w:b w:val="1"/>
                <w:bCs w:val="1"/>
                <w:color w:val="auto"/>
              </w:rPr>
              <w:t>2021</w:t>
            </w:r>
          </w:p>
        </w:tc>
      </w:tr>
      <w:tr>
        <w:trPr>
          <w:trHeight w:val="208"/>
        </w:trPr>
        <w:tc>
          <w:tcPr>
            <w:tcW w:w="8660" w:type="dxa"/>
            <w:vAlign w:val="bottom"/>
          </w:tcPr>
          <w:p>
            <w:pPr>
              <w:spacing w:after="0" w:line="208" w:lineRule="exact"/>
              <w:rPr>
                <w:sz w:val="20"/>
                <w:szCs w:val="20"/>
                <w:color w:val="auto"/>
              </w:rPr>
            </w:pPr>
            <w:r>
              <w:rPr>
                <w:rFonts w:ascii="Arial" w:cs="Arial" w:eastAsia="Arial" w:hAnsi="Arial"/>
                <w:sz w:val="19"/>
                <w:szCs w:val="19"/>
                <w:b w:val="1"/>
                <w:bCs w:val="1"/>
                <w:color w:val="auto"/>
              </w:rPr>
              <w:t>Assets</w:t>
            </w:r>
          </w:p>
        </w:tc>
        <w:tc>
          <w:tcPr>
            <w:tcW w:w="10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5"/>
        </w:trPr>
        <w:tc>
          <w:tcPr>
            <w:tcW w:w="8660" w:type="dxa"/>
            <w:vAlign w:val="bottom"/>
          </w:tcPr>
          <w:p>
            <w:pPr>
              <w:spacing w:after="0"/>
              <w:rPr>
                <w:sz w:val="20"/>
                <w:szCs w:val="20"/>
                <w:color w:val="auto"/>
              </w:rPr>
            </w:pPr>
            <w:r>
              <w:rPr>
                <w:rFonts w:ascii="Arial" w:cs="Arial" w:eastAsia="Arial" w:hAnsi="Arial"/>
                <w:sz w:val="19"/>
                <w:szCs w:val="19"/>
                <w:b w:val="1"/>
                <w:bCs w:val="1"/>
                <w:color w:val="auto"/>
              </w:rPr>
              <w:t>Current Assets</w:t>
            </w:r>
          </w:p>
        </w:tc>
        <w:tc>
          <w:tcPr>
            <w:tcW w:w="10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30"/>
        </w:trPr>
        <w:tc>
          <w:tcPr>
            <w:tcW w:w="8660" w:type="dxa"/>
            <w:vAlign w:val="bottom"/>
          </w:tcPr>
          <w:p>
            <w:pPr>
              <w:ind w:left="260"/>
              <w:spacing w:after="0"/>
              <w:rPr>
                <w:sz w:val="20"/>
                <w:szCs w:val="20"/>
                <w:color w:val="auto"/>
              </w:rPr>
            </w:pPr>
            <w:r>
              <w:rPr>
                <w:rFonts w:ascii="Arial" w:cs="Arial" w:eastAsia="Arial" w:hAnsi="Arial"/>
                <w:sz w:val="19"/>
                <w:szCs w:val="19"/>
                <w:color w:val="auto"/>
              </w:rPr>
              <w:t>Cash and cash equivalents</w:t>
            </w:r>
          </w:p>
        </w:tc>
        <w:tc>
          <w:tcPr>
            <w:tcW w:w="1020" w:type="dxa"/>
            <w:vAlign w:val="bottom"/>
          </w:tcPr>
          <w:p>
            <w:pPr>
              <w:jc w:val="right"/>
              <w:ind w:right="226"/>
              <w:spacing w:after="0"/>
              <w:rPr>
                <w:sz w:val="20"/>
                <w:szCs w:val="20"/>
                <w:color w:val="auto"/>
              </w:rPr>
            </w:pPr>
            <w:r>
              <w:rPr>
                <w:rFonts w:ascii="Arial" w:cs="Arial" w:eastAsia="Arial" w:hAnsi="Arial"/>
                <w:sz w:val="19"/>
                <w:szCs w:val="19"/>
                <w:color w:val="auto"/>
              </w:rPr>
              <w:t>$</w:t>
            </w: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27,466,302</w:t>
            </w:r>
          </w:p>
        </w:tc>
      </w:tr>
      <w:tr>
        <w:trPr>
          <w:trHeight w:val="229"/>
        </w:trPr>
        <w:tc>
          <w:tcPr>
            <w:tcW w:w="8660" w:type="dxa"/>
            <w:vAlign w:val="bottom"/>
          </w:tcPr>
          <w:p>
            <w:pPr>
              <w:ind w:left="260"/>
              <w:spacing w:after="0"/>
              <w:rPr>
                <w:sz w:val="20"/>
                <w:szCs w:val="20"/>
                <w:color w:val="auto"/>
              </w:rPr>
            </w:pPr>
            <w:r>
              <w:rPr>
                <w:rFonts w:ascii="Arial" w:cs="Arial" w:eastAsia="Arial" w:hAnsi="Arial"/>
                <w:sz w:val="19"/>
                <w:szCs w:val="19"/>
                <w:color w:val="auto"/>
              </w:rPr>
              <w:t>Accounts receivable, net</w:t>
            </w:r>
          </w:p>
        </w:tc>
        <w:tc>
          <w:tcPr>
            <w:tcW w:w="102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4,572,592</w:t>
            </w:r>
          </w:p>
        </w:tc>
      </w:tr>
      <w:tr>
        <w:trPr>
          <w:trHeight w:val="229"/>
        </w:trPr>
        <w:tc>
          <w:tcPr>
            <w:tcW w:w="8660" w:type="dxa"/>
            <w:vAlign w:val="bottom"/>
          </w:tcPr>
          <w:p>
            <w:pPr>
              <w:ind w:left="260"/>
              <w:spacing w:after="0"/>
              <w:rPr>
                <w:sz w:val="20"/>
                <w:szCs w:val="20"/>
                <w:color w:val="auto"/>
              </w:rPr>
            </w:pPr>
            <w:r>
              <w:rPr>
                <w:rFonts w:ascii="Arial" w:cs="Arial" w:eastAsia="Arial" w:hAnsi="Arial"/>
                <w:sz w:val="19"/>
                <w:szCs w:val="19"/>
                <w:color w:val="auto"/>
              </w:rPr>
              <w:t>Derivative assets</w:t>
            </w:r>
          </w:p>
        </w:tc>
        <w:tc>
          <w:tcPr>
            <w:tcW w:w="102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14,806</w:t>
            </w:r>
          </w:p>
        </w:tc>
      </w:tr>
      <w:tr>
        <w:trPr>
          <w:trHeight w:val="238"/>
        </w:trPr>
        <w:tc>
          <w:tcPr>
            <w:tcW w:w="866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Prepaid expenses</w:t>
            </w:r>
          </w:p>
        </w:tc>
        <w:tc>
          <w:tcPr>
            <w:tcW w:w="10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185,530</w:t>
            </w:r>
          </w:p>
        </w:tc>
      </w:tr>
      <w:tr>
        <w:trPr>
          <w:trHeight w:val="208"/>
        </w:trPr>
        <w:tc>
          <w:tcPr>
            <w:tcW w:w="8660" w:type="dxa"/>
            <w:vAlign w:val="bottom"/>
          </w:tcPr>
          <w:p>
            <w:pPr>
              <w:spacing w:after="0" w:line="208" w:lineRule="exact"/>
              <w:rPr>
                <w:sz w:val="20"/>
                <w:szCs w:val="20"/>
                <w:color w:val="auto"/>
              </w:rPr>
            </w:pPr>
            <w:r>
              <w:rPr>
                <w:rFonts w:ascii="Arial" w:cs="Arial" w:eastAsia="Arial" w:hAnsi="Arial"/>
                <w:sz w:val="19"/>
                <w:szCs w:val="19"/>
                <w:b w:val="1"/>
                <w:bCs w:val="1"/>
                <w:color w:val="auto"/>
              </w:rPr>
              <w:t>Total Current Assets</w:t>
            </w:r>
          </w:p>
        </w:tc>
        <w:tc>
          <w:tcPr>
            <w:tcW w:w="1020" w:type="dxa"/>
            <w:vAlign w:val="bottom"/>
          </w:tcPr>
          <w:p>
            <w:pPr>
              <w:spacing w:after="0"/>
              <w:rPr>
                <w:sz w:val="18"/>
                <w:szCs w:val="18"/>
                <w:color w:val="auto"/>
              </w:rPr>
            </w:pPr>
          </w:p>
        </w:tc>
        <w:tc>
          <w:tcPr>
            <w:tcW w:w="1560" w:type="dxa"/>
            <w:vAlign w:val="bottom"/>
          </w:tcPr>
          <w:p>
            <w:pPr>
              <w:jc w:val="right"/>
              <w:ind w:right="26"/>
              <w:spacing w:after="0" w:line="208" w:lineRule="exact"/>
              <w:rPr>
                <w:sz w:val="20"/>
                <w:szCs w:val="20"/>
                <w:color w:val="auto"/>
              </w:rPr>
            </w:pPr>
            <w:r>
              <w:rPr>
                <w:rFonts w:ascii="Arial" w:cs="Arial" w:eastAsia="Arial" w:hAnsi="Arial"/>
                <w:sz w:val="19"/>
                <w:szCs w:val="19"/>
                <w:color w:val="auto"/>
              </w:rPr>
              <w:t>32,239,230</w:t>
            </w:r>
          </w:p>
        </w:tc>
      </w:tr>
      <w:tr>
        <w:trPr>
          <w:trHeight w:val="236"/>
        </w:trPr>
        <w:tc>
          <w:tcPr>
            <w:tcW w:w="8660" w:type="dxa"/>
            <w:vAlign w:val="bottom"/>
          </w:tcPr>
          <w:p>
            <w:pPr>
              <w:spacing w:after="0"/>
              <w:rPr>
                <w:sz w:val="20"/>
                <w:szCs w:val="20"/>
                <w:color w:val="auto"/>
              </w:rPr>
            </w:pPr>
            <w:r>
              <w:rPr>
                <w:rFonts w:ascii="Arial" w:cs="Arial" w:eastAsia="Arial" w:hAnsi="Arial"/>
                <w:sz w:val="19"/>
                <w:szCs w:val="19"/>
                <w:b w:val="1"/>
                <w:bCs w:val="1"/>
                <w:color w:val="auto"/>
              </w:rPr>
              <w:t>Property and Equipment, at Cost</w:t>
            </w:r>
          </w:p>
        </w:tc>
        <w:tc>
          <w:tcPr>
            <w:tcW w:w="10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29"/>
        </w:trPr>
        <w:tc>
          <w:tcPr>
            <w:tcW w:w="8660" w:type="dxa"/>
            <w:vAlign w:val="bottom"/>
          </w:tcPr>
          <w:p>
            <w:pPr>
              <w:ind w:left="260"/>
              <w:spacing w:after="0"/>
              <w:rPr>
                <w:sz w:val="20"/>
                <w:szCs w:val="20"/>
                <w:color w:val="auto"/>
              </w:rPr>
            </w:pPr>
            <w:r>
              <w:rPr>
                <w:rFonts w:ascii="Arial" w:cs="Arial" w:eastAsia="Arial" w:hAnsi="Arial"/>
                <w:sz w:val="19"/>
                <w:szCs w:val="19"/>
                <w:color w:val="auto"/>
              </w:rPr>
              <w:t>Proved oil and natural gas properties and equipment, full cost method</w:t>
            </w:r>
          </w:p>
        </w:tc>
        <w:tc>
          <w:tcPr>
            <w:tcW w:w="102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125,102,893</w:t>
            </w:r>
          </w:p>
        </w:tc>
      </w:tr>
      <w:tr>
        <w:trPr>
          <w:trHeight w:val="229"/>
        </w:trPr>
        <w:tc>
          <w:tcPr>
            <w:tcW w:w="8660" w:type="dxa"/>
            <w:vAlign w:val="bottom"/>
          </w:tcPr>
          <w:p>
            <w:pPr>
              <w:ind w:left="260"/>
              <w:spacing w:after="0"/>
              <w:rPr>
                <w:sz w:val="20"/>
                <w:szCs w:val="20"/>
                <w:color w:val="auto"/>
              </w:rPr>
            </w:pPr>
            <w:r>
              <w:rPr>
                <w:rFonts w:ascii="Arial" w:cs="Arial" w:eastAsia="Arial" w:hAnsi="Arial"/>
                <w:sz w:val="19"/>
                <w:szCs w:val="19"/>
                <w:color w:val="auto"/>
              </w:rPr>
              <w:t>Unproved oil and natural gas properties</w:t>
            </w:r>
          </w:p>
        </w:tc>
        <w:tc>
          <w:tcPr>
            <w:tcW w:w="102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7,544,317</w:t>
            </w:r>
          </w:p>
        </w:tc>
      </w:tr>
      <w:tr>
        <w:trPr>
          <w:trHeight w:val="230"/>
        </w:trPr>
        <w:tc>
          <w:tcPr>
            <w:tcW w:w="8660" w:type="dxa"/>
            <w:vAlign w:val="bottom"/>
          </w:tcPr>
          <w:p>
            <w:pPr>
              <w:ind w:left="260"/>
              <w:spacing w:after="0"/>
              <w:rPr>
                <w:sz w:val="20"/>
                <w:szCs w:val="20"/>
                <w:color w:val="auto"/>
              </w:rPr>
            </w:pPr>
            <w:r>
              <w:rPr>
                <w:rFonts w:ascii="Arial" w:cs="Arial" w:eastAsia="Arial" w:hAnsi="Arial"/>
                <w:sz w:val="19"/>
                <w:szCs w:val="19"/>
                <w:color w:val="auto"/>
              </w:rPr>
              <w:t>Gas gathering and processing equipment</w:t>
            </w:r>
          </w:p>
        </w:tc>
        <w:tc>
          <w:tcPr>
            <w:tcW w:w="102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18,159,939</w:t>
            </w:r>
          </w:p>
        </w:tc>
      </w:tr>
      <w:tr>
        <w:trPr>
          <w:trHeight w:val="238"/>
        </w:trPr>
        <w:tc>
          <w:tcPr>
            <w:tcW w:w="866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Other property and equipment</w:t>
            </w:r>
          </w:p>
        </w:tc>
        <w:tc>
          <w:tcPr>
            <w:tcW w:w="10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651,138</w:t>
            </w:r>
          </w:p>
        </w:tc>
      </w:tr>
      <w:tr>
        <w:trPr>
          <w:trHeight w:val="214"/>
        </w:trPr>
        <w:tc>
          <w:tcPr>
            <w:tcW w:w="8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60" w:type="dxa"/>
            <w:vAlign w:val="bottom"/>
          </w:tcPr>
          <w:p>
            <w:pPr>
              <w:jc w:val="right"/>
              <w:ind w:right="26"/>
              <w:spacing w:after="0" w:line="214" w:lineRule="exact"/>
              <w:rPr>
                <w:sz w:val="20"/>
                <w:szCs w:val="20"/>
                <w:color w:val="auto"/>
              </w:rPr>
            </w:pPr>
            <w:r>
              <w:rPr>
                <w:rFonts w:ascii="Arial" w:cs="Arial" w:eastAsia="Arial" w:hAnsi="Arial"/>
                <w:sz w:val="19"/>
                <w:szCs w:val="19"/>
                <w:color w:val="auto"/>
              </w:rPr>
              <w:t>151,458,287</w:t>
            </w:r>
          </w:p>
        </w:tc>
      </w:tr>
      <w:tr>
        <w:trPr>
          <w:trHeight w:val="238"/>
        </w:trPr>
        <w:tc>
          <w:tcPr>
            <w:tcW w:w="866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Less: accumulated depreciation, depletion, amortization and impairment</w:t>
            </w:r>
          </w:p>
        </w:tc>
        <w:tc>
          <w:tcPr>
            <w:tcW w:w="10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(100,129,778)</w:t>
            </w:r>
          </w:p>
        </w:tc>
      </w:tr>
      <w:tr>
        <w:trPr>
          <w:trHeight w:val="208"/>
        </w:trPr>
        <w:tc>
          <w:tcPr>
            <w:tcW w:w="8660" w:type="dxa"/>
            <w:vAlign w:val="bottom"/>
          </w:tcPr>
          <w:p>
            <w:pPr>
              <w:spacing w:after="0" w:line="208" w:lineRule="exact"/>
              <w:rPr>
                <w:sz w:val="20"/>
                <w:szCs w:val="20"/>
                <w:color w:val="auto"/>
              </w:rPr>
            </w:pPr>
            <w:r>
              <w:rPr>
                <w:rFonts w:ascii="Arial" w:cs="Arial" w:eastAsia="Arial" w:hAnsi="Arial"/>
                <w:sz w:val="19"/>
                <w:szCs w:val="19"/>
                <w:b w:val="1"/>
                <w:bCs w:val="1"/>
                <w:color w:val="auto"/>
              </w:rPr>
              <w:t>Net Property and Equipment</w:t>
            </w:r>
          </w:p>
        </w:tc>
        <w:tc>
          <w:tcPr>
            <w:tcW w:w="1020" w:type="dxa"/>
            <w:vAlign w:val="bottom"/>
          </w:tcPr>
          <w:p>
            <w:pPr>
              <w:spacing w:after="0"/>
              <w:rPr>
                <w:sz w:val="18"/>
                <w:szCs w:val="18"/>
                <w:color w:val="auto"/>
              </w:rPr>
            </w:pPr>
          </w:p>
        </w:tc>
        <w:tc>
          <w:tcPr>
            <w:tcW w:w="1560" w:type="dxa"/>
            <w:vAlign w:val="bottom"/>
          </w:tcPr>
          <w:p>
            <w:pPr>
              <w:jc w:val="right"/>
              <w:ind w:right="26"/>
              <w:spacing w:after="0" w:line="208" w:lineRule="exact"/>
              <w:rPr>
                <w:sz w:val="20"/>
                <w:szCs w:val="20"/>
                <w:color w:val="auto"/>
              </w:rPr>
            </w:pPr>
            <w:r>
              <w:rPr>
                <w:rFonts w:ascii="Arial" w:cs="Arial" w:eastAsia="Arial" w:hAnsi="Arial"/>
                <w:sz w:val="19"/>
                <w:szCs w:val="19"/>
                <w:color w:val="auto"/>
              </w:rPr>
              <w:t>51,328,509</w:t>
            </w:r>
          </w:p>
        </w:tc>
      </w:tr>
      <w:tr>
        <w:trPr>
          <w:trHeight w:val="235"/>
        </w:trPr>
        <w:tc>
          <w:tcPr>
            <w:tcW w:w="8660" w:type="dxa"/>
            <w:vAlign w:val="bottom"/>
          </w:tcPr>
          <w:p>
            <w:pPr>
              <w:spacing w:after="0"/>
              <w:rPr>
                <w:sz w:val="20"/>
                <w:szCs w:val="20"/>
                <w:color w:val="auto"/>
              </w:rPr>
            </w:pPr>
            <w:r>
              <w:rPr>
                <w:rFonts w:ascii="Arial" w:cs="Arial" w:eastAsia="Arial" w:hAnsi="Arial"/>
                <w:sz w:val="19"/>
                <w:szCs w:val="19"/>
                <w:b w:val="1"/>
                <w:bCs w:val="1"/>
                <w:color w:val="auto"/>
              </w:rPr>
              <w:t>Other Assets</w:t>
            </w:r>
          </w:p>
        </w:tc>
        <w:tc>
          <w:tcPr>
            <w:tcW w:w="10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30"/>
        </w:trPr>
        <w:tc>
          <w:tcPr>
            <w:tcW w:w="8660" w:type="dxa"/>
            <w:vAlign w:val="bottom"/>
          </w:tcPr>
          <w:p>
            <w:pPr>
              <w:ind w:left="260"/>
              <w:spacing w:after="0"/>
              <w:rPr>
                <w:sz w:val="20"/>
                <w:szCs w:val="20"/>
                <w:color w:val="auto"/>
              </w:rPr>
            </w:pPr>
            <w:r>
              <w:rPr>
                <w:rFonts w:ascii="Arial" w:cs="Arial" w:eastAsia="Arial" w:hAnsi="Arial"/>
                <w:sz w:val="19"/>
                <w:szCs w:val="19"/>
                <w:color w:val="auto"/>
              </w:rPr>
              <w:t>Derivative assets</w:t>
            </w:r>
          </w:p>
        </w:tc>
        <w:tc>
          <w:tcPr>
            <w:tcW w:w="102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100,052</w:t>
            </w:r>
          </w:p>
        </w:tc>
      </w:tr>
      <w:tr>
        <w:trPr>
          <w:trHeight w:val="229"/>
        </w:trPr>
        <w:tc>
          <w:tcPr>
            <w:tcW w:w="8660" w:type="dxa"/>
            <w:vAlign w:val="bottom"/>
          </w:tcPr>
          <w:p>
            <w:pPr>
              <w:ind w:left="260"/>
              <w:spacing w:after="0"/>
              <w:rPr>
                <w:sz w:val="20"/>
                <w:szCs w:val="20"/>
                <w:color w:val="auto"/>
              </w:rPr>
            </w:pPr>
            <w:r>
              <w:rPr>
                <w:rFonts w:ascii="Arial" w:cs="Arial" w:eastAsia="Arial" w:hAnsi="Arial"/>
                <w:sz w:val="19"/>
                <w:szCs w:val="19"/>
                <w:color w:val="auto"/>
              </w:rPr>
              <w:t>Restricted cash</w:t>
            </w:r>
          </w:p>
        </w:tc>
        <w:tc>
          <w:tcPr>
            <w:tcW w:w="102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1,123,069</w:t>
            </w:r>
          </w:p>
        </w:tc>
      </w:tr>
      <w:tr>
        <w:trPr>
          <w:trHeight w:val="238"/>
        </w:trPr>
        <w:tc>
          <w:tcPr>
            <w:tcW w:w="866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Other</w:t>
            </w:r>
          </w:p>
        </w:tc>
        <w:tc>
          <w:tcPr>
            <w:tcW w:w="10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15,334</w:t>
            </w:r>
          </w:p>
        </w:tc>
      </w:tr>
      <w:tr>
        <w:trPr>
          <w:trHeight w:val="223"/>
        </w:trPr>
        <w:tc>
          <w:tcPr>
            <w:tcW w:w="866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Total Other Assets</w:t>
            </w:r>
          </w:p>
        </w:tc>
        <w:tc>
          <w:tcPr>
            <w:tcW w:w="10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1,238,455</w:t>
            </w:r>
          </w:p>
        </w:tc>
      </w:tr>
      <w:tr>
        <w:trPr>
          <w:trHeight w:val="223"/>
        </w:trPr>
        <w:tc>
          <w:tcPr>
            <w:tcW w:w="866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Total Assets</w:t>
            </w: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9"/>
                <w:szCs w:val="19"/>
                <w:color w:val="auto"/>
              </w:rPr>
              <w:t>$</w:t>
            </w: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84,806,194</w:t>
            </w:r>
          </w:p>
        </w:tc>
      </w:tr>
      <w:tr>
        <w:trPr>
          <w:trHeight w:val="208"/>
        </w:trPr>
        <w:tc>
          <w:tcPr>
            <w:tcW w:w="8660" w:type="dxa"/>
            <w:vAlign w:val="bottom"/>
          </w:tcPr>
          <w:p>
            <w:pPr>
              <w:spacing w:after="0" w:line="208" w:lineRule="exact"/>
              <w:rPr>
                <w:sz w:val="20"/>
                <w:szCs w:val="20"/>
                <w:color w:val="auto"/>
              </w:rPr>
            </w:pPr>
            <w:r>
              <w:rPr>
                <w:rFonts w:ascii="Arial" w:cs="Arial" w:eastAsia="Arial" w:hAnsi="Arial"/>
                <w:sz w:val="19"/>
                <w:szCs w:val="19"/>
                <w:b w:val="1"/>
                <w:bCs w:val="1"/>
                <w:color w:val="auto"/>
              </w:rPr>
              <w:t>Liabilities and Member’s Equity</w:t>
            </w:r>
          </w:p>
        </w:tc>
        <w:tc>
          <w:tcPr>
            <w:tcW w:w="10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6"/>
        </w:trPr>
        <w:tc>
          <w:tcPr>
            <w:tcW w:w="8660" w:type="dxa"/>
            <w:vAlign w:val="bottom"/>
          </w:tcPr>
          <w:p>
            <w:pPr>
              <w:spacing w:after="0"/>
              <w:rPr>
                <w:sz w:val="20"/>
                <w:szCs w:val="20"/>
                <w:color w:val="auto"/>
              </w:rPr>
            </w:pPr>
            <w:r>
              <w:rPr>
                <w:rFonts w:ascii="Arial" w:cs="Arial" w:eastAsia="Arial" w:hAnsi="Arial"/>
                <w:sz w:val="19"/>
                <w:szCs w:val="19"/>
                <w:b w:val="1"/>
                <w:bCs w:val="1"/>
                <w:color w:val="auto"/>
              </w:rPr>
              <w:t>Current Liabilities</w:t>
            </w:r>
          </w:p>
        </w:tc>
        <w:tc>
          <w:tcPr>
            <w:tcW w:w="10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30"/>
        </w:trPr>
        <w:tc>
          <w:tcPr>
            <w:tcW w:w="8660" w:type="dxa"/>
            <w:vAlign w:val="bottom"/>
          </w:tcPr>
          <w:p>
            <w:pPr>
              <w:ind w:left="260"/>
              <w:spacing w:after="0"/>
              <w:rPr>
                <w:sz w:val="20"/>
                <w:szCs w:val="20"/>
                <w:color w:val="auto"/>
              </w:rPr>
            </w:pPr>
            <w:r>
              <w:rPr>
                <w:rFonts w:ascii="Arial" w:cs="Arial" w:eastAsia="Arial" w:hAnsi="Arial"/>
                <w:sz w:val="19"/>
                <w:szCs w:val="19"/>
                <w:color w:val="auto"/>
              </w:rPr>
              <w:t>Accounts payable</w:t>
            </w:r>
          </w:p>
        </w:tc>
        <w:tc>
          <w:tcPr>
            <w:tcW w:w="1020" w:type="dxa"/>
            <w:vAlign w:val="bottom"/>
          </w:tcPr>
          <w:p>
            <w:pPr>
              <w:jc w:val="right"/>
              <w:ind w:right="226"/>
              <w:spacing w:after="0"/>
              <w:rPr>
                <w:sz w:val="20"/>
                <w:szCs w:val="20"/>
                <w:color w:val="auto"/>
              </w:rPr>
            </w:pPr>
            <w:r>
              <w:rPr>
                <w:rFonts w:ascii="Arial" w:cs="Arial" w:eastAsia="Arial" w:hAnsi="Arial"/>
                <w:sz w:val="19"/>
                <w:szCs w:val="19"/>
                <w:color w:val="auto"/>
              </w:rPr>
              <w:t>$</w:t>
            </w: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4,591,853</w:t>
            </w:r>
          </w:p>
        </w:tc>
      </w:tr>
      <w:tr>
        <w:trPr>
          <w:trHeight w:val="229"/>
        </w:trPr>
        <w:tc>
          <w:tcPr>
            <w:tcW w:w="8660" w:type="dxa"/>
            <w:vAlign w:val="bottom"/>
          </w:tcPr>
          <w:p>
            <w:pPr>
              <w:ind w:left="260"/>
              <w:spacing w:after="0"/>
              <w:rPr>
                <w:sz w:val="20"/>
                <w:szCs w:val="20"/>
                <w:color w:val="auto"/>
              </w:rPr>
            </w:pPr>
            <w:r>
              <w:rPr>
                <w:rFonts w:ascii="Arial" w:cs="Arial" w:eastAsia="Arial" w:hAnsi="Arial"/>
                <w:sz w:val="19"/>
                <w:szCs w:val="19"/>
                <w:color w:val="auto"/>
              </w:rPr>
              <w:t>Revenue payable</w:t>
            </w:r>
          </w:p>
        </w:tc>
        <w:tc>
          <w:tcPr>
            <w:tcW w:w="102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3,494,864</w:t>
            </w:r>
          </w:p>
        </w:tc>
      </w:tr>
      <w:tr>
        <w:trPr>
          <w:trHeight w:val="230"/>
        </w:trPr>
        <w:tc>
          <w:tcPr>
            <w:tcW w:w="8660" w:type="dxa"/>
            <w:vAlign w:val="bottom"/>
          </w:tcPr>
          <w:p>
            <w:pPr>
              <w:ind w:left="260"/>
              <w:spacing w:after="0"/>
              <w:rPr>
                <w:sz w:val="20"/>
                <w:szCs w:val="20"/>
                <w:color w:val="auto"/>
              </w:rPr>
            </w:pPr>
            <w:r>
              <w:rPr>
                <w:rFonts w:ascii="Arial" w:cs="Arial" w:eastAsia="Arial" w:hAnsi="Arial"/>
                <w:sz w:val="19"/>
                <w:szCs w:val="19"/>
                <w:color w:val="auto"/>
              </w:rPr>
              <w:t>Accrued liabilities</w:t>
            </w:r>
          </w:p>
        </w:tc>
        <w:tc>
          <w:tcPr>
            <w:tcW w:w="102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1,005,360</w:t>
            </w:r>
          </w:p>
        </w:tc>
      </w:tr>
      <w:tr>
        <w:trPr>
          <w:trHeight w:val="230"/>
        </w:trPr>
        <w:tc>
          <w:tcPr>
            <w:tcW w:w="8660" w:type="dxa"/>
            <w:vAlign w:val="bottom"/>
          </w:tcPr>
          <w:p>
            <w:pPr>
              <w:ind w:left="260"/>
              <w:spacing w:after="0"/>
              <w:rPr>
                <w:sz w:val="20"/>
                <w:szCs w:val="20"/>
                <w:color w:val="auto"/>
              </w:rPr>
            </w:pPr>
            <w:r>
              <w:rPr>
                <w:rFonts w:ascii="Arial" w:cs="Arial" w:eastAsia="Arial" w:hAnsi="Arial"/>
                <w:sz w:val="19"/>
                <w:szCs w:val="19"/>
                <w:color w:val="auto"/>
              </w:rPr>
              <w:t>Derivative liabilities</w:t>
            </w:r>
          </w:p>
        </w:tc>
        <w:tc>
          <w:tcPr>
            <w:tcW w:w="102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5,185,147</w:t>
            </w:r>
          </w:p>
        </w:tc>
      </w:tr>
      <w:tr>
        <w:trPr>
          <w:trHeight w:val="238"/>
        </w:trPr>
        <w:tc>
          <w:tcPr>
            <w:tcW w:w="866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Current portion of asset retirement obligations</w:t>
            </w:r>
          </w:p>
        </w:tc>
        <w:tc>
          <w:tcPr>
            <w:tcW w:w="10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780,292</w:t>
            </w:r>
          </w:p>
        </w:tc>
      </w:tr>
      <w:tr>
        <w:trPr>
          <w:trHeight w:val="208"/>
        </w:trPr>
        <w:tc>
          <w:tcPr>
            <w:tcW w:w="8660" w:type="dxa"/>
            <w:vAlign w:val="bottom"/>
          </w:tcPr>
          <w:p>
            <w:pPr>
              <w:spacing w:after="0" w:line="208" w:lineRule="exact"/>
              <w:rPr>
                <w:sz w:val="20"/>
                <w:szCs w:val="20"/>
                <w:color w:val="auto"/>
              </w:rPr>
            </w:pPr>
            <w:r>
              <w:rPr>
                <w:rFonts w:ascii="Arial" w:cs="Arial" w:eastAsia="Arial" w:hAnsi="Arial"/>
                <w:sz w:val="19"/>
                <w:szCs w:val="19"/>
                <w:b w:val="1"/>
                <w:bCs w:val="1"/>
                <w:color w:val="auto"/>
              </w:rPr>
              <w:t>Total Current Liabilities</w:t>
            </w:r>
          </w:p>
        </w:tc>
        <w:tc>
          <w:tcPr>
            <w:tcW w:w="1020" w:type="dxa"/>
            <w:vAlign w:val="bottom"/>
          </w:tcPr>
          <w:p>
            <w:pPr>
              <w:spacing w:after="0"/>
              <w:rPr>
                <w:sz w:val="18"/>
                <w:szCs w:val="18"/>
                <w:color w:val="auto"/>
              </w:rPr>
            </w:pPr>
          </w:p>
        </w:tc>
        <w:tc>
          <w:tcPr>
            <w:tcW w:w="1560" w:type="dxa"/>
            <w:vAlign w:val="bottom"/>
          </w:tcPr>
          <w:p>
            <w:pPr>
              <w:jc w:val="right"/>
              <w:ind w:right="26"/>
              <w:spacing w:after="0" w:line="208" w:lineRule="exact"/>
              <w:rPr>
                <w:sz w:val="20"/>
                <w:szCs w:val="20"/>
                <w:color w:val="auto"/>
              </w:rPr>
            </w:pPr>
            <w:r>
              <w:rPr>
                <w:rFonts w:ascii="Arial" w:cs="Arial" w:eastAsia="Arial" w:hAnsi="Arial"/>
                <w:sz w:val="19"/>
                <w:szCs w:val="19"/>
                <w:color w:val="auto"/>
              </w:rPr>
              <w:t>15,057,516</w:t>
            </w:r>
          </w:p>
        </w:tc>
      </w:tr>
      <w:tr>
        <w:trPr>
          <w:trHeight w:val="236"/>
        </w:trPr>
        <w:tc>
          <w:tcPr>
            <w:tcW w:w="8660" w:type="dxa"/>
            <w:vAlign w:val="bottom"/>
          </w:tcPr>
          <w:p>
            <w:pPr>
              <w:spacing w:after="0"/>
              <w:rPr>
                <w:sz w:val="20"/>
                <w:szCs w:val="20"/>
                <w:color w:val="auto"/>
              </w:rPr>
            </w:pPr>
            <w:r>
              <w:rPr>
                <w:rFonts w:ascii="Arial" w:cs="Arial" w:eastAsia="Arial" w:hAnsi="Arial"/>
                <w:sz w:val="19"/>
                <w:szCs w:val="19"/>
                <w:b w:val="1"/>
                <w:bCs w:val="1"/>
                <w:color w:val="auto"/>
              </w:rPr>
              <w:t>Long-Term Liabilities</w:t>
            </w:r>
          </w:p>
        </w:tc>
        <w:tc>
          <w:tcPr>
            <w:tcW w:w="10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29"/>
        </w:trPr>
        <w:tc>
          <w:tcPr>
            <w:tcW w:w="8660" w:type="dxa"/>
            <w:vAlign w:val="bottom"/>
          </w:tcPr>
          <w:p>
            <w:pPr>
              <w:ind w:left="260"/>
              <w:spacing w:after="0"/>
              <w:rPr>
                <w:sz w:val="20"/>
                <w:szCs w:val="20"/>
                <w:color w:val="auto"/>
              </w:rPr>
            </w:pPr>
            <w:r>
              <w:rPr>
                <w:rFonts w:ascii="Arial" w:cs="Arial" w:eastAsia="Arial" w:hAnsi="Arial"/>
                <w:sz w:val="19"/>
                <w:szCs w:val="19"/>
                <w:color w:val="auto"/>
              </w:rPr>
              <w:t>Derivative liabilities</w:t>
            </w:r>
          </w:p>
        </w:tc>
        <w:tc>
          <w:tcPr>
            <w:tcW w:w="102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1,689,999</w:t>
            </w:r>
          </w:p>
        </w:tc>
      </w:tr>
      <w:tr>
        <w:trPr>
          <w:trHeight w:val="230"/>
        </w:trPr>
        <w:tc>
          <w:tcPr>
            <w:tcW w:w="8660" w:type="dxa"/>
            <w:vAlign w:val="bottom"/>
          </w:tcPr>
          <w:p>
            <w:pPr>
              <w:ind w:left="260"/>
              <w:spacing w:after="0"/>
              <w:rPr>
                <w:sz w:val="20"/>
                <w:szCs w:val="20"/>
                <w:color w:val="auto"/>
              </w:rPr>
            </w:pPr>
            <w:r>
              <w:rPr>
                <w:rFonts w:ascii="Arial" w:cs="Arial" w:eastAsia="Arial" w:hAnsi="Arial"/>
                <w:sz w:val="19"/>
                <w:szCs w:val="19"/>
                <w:color w:val="auto"/>
              </w:rPr>
              <w:t>Asset Retirement Obligations, net of current portion</w:t>
            </w:r>
          </w:p>
        </w:tc>
        <w:tc>
          <w:tcPr>
            <w:tcW w:w="102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4,447,549</w:t>
            </w:r>
          </w:p>
        </w:tc>
      </w:tr>
      <w:tr>
        <w:trPr>
          <w:trHeight w:val="238"/>
        </w:trPr>
        <w:tc>
          <w:tcPr>
            <w:tcW w:w="866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Long-Term Debt, net</w:t>
            </w:r>
          </w:p>
        </w:tc>
        <w:tc>
          <w:tcPr>
            <w:tcW w:w="10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41,253,592</w:t>
            </w:r>
          </w:p>
        </w:tc>
      </w:tr>
      <w:tr>
        <w:trPr>
          <w:trHeight w:val="208"/>
        </w:trPr>
        <w:tc>
          <w:tcPr>
            <w:tcW w:w="8660" w:type="dxa"/>
            <w:vAlign w:val="bottom"/>
          </w:tcPr>
          <w:p>
            <w:pPr>
              <w:spacing w:after="0" w:line="208" w:lineRule="exact"/>
              <w:rPr>
                <w:sz w:val="20"/>
                <w:szCs w:val="20"/>
                <w:color w:val="auto"/>
              </w:rPr>
            </w:pPr>
            <w:r>
              <w:rPr>
                <w:rFonts w:ascii="Arial" w:cs="Arial" w:eastAsia="Arial" w:hAnsi="Arial"/>
                <w:sz w:val="19"/>
                <w:szCs w:val="19"/>
                <w:b w:val="1"/>
                <w:bCs w:val="1"/>
                <w:color w:val="auto"/>
              </w:rPr>
              <w:t>Total Long-Term Liabilities</w:t>
            </w:r>
          </w:p>
        </w:tc>
        <w:tc>
          <w:tcPr>
            <w:tcW w:w="1020" w:type="dxa"/>
            <w:vAlign w:val="bottom"/>
          </w:tcPr>
          <w:p>
            <w:pPr>
              <w:spacing w:after="0"/>
              <w:rPr>
                <w:sz w:val="18"/>
                <w:szCs w:val="18"/>
                <w:color w:val="auto"/>
              </w:rPr>
            </w:pPr>
          </w:p>
        </w:tc>
        <w:tc>
          <w:tcPr>
            <w:tcW w:w="1560" w:type="dxa"/>
            <w:vAlign w:val="bottom"/>
          </w:tcPr>
          <w:p>
            <w:pPr>
              <w:jc w:val="right"/>
              <w:ind w:right="26"/>
              <w:spacing w:after="0" w:line="208" w:lineRule="exact"/>
              <w:rPr>
                <w:sz w:val="20"/>
                <w:szCs w:val="20"/>
                <w:color w:val="auto"/>
              </w:rPr>
            </w:pPr>
            <w:r>
              <w:rPr>
                <w:rFonts w:ascii="Arial" w:cs="Arial" w:eastAsia="Arial" w:hAnsi="Arial"/>
                <w:sz w:val="19"/>
                <w:szCs w:val="19"/>
                <w:color w:val="auto"/>
              </w:rPr>
              <w:t>47,391,140</w:t>
            </w:r>
          </w:p>
        </w:tc>
      </w:tr>
      <w:tr>
        <w:trPr>
          <w:trHeight w:val="230"/>
        </w:trPr>
        <w:tc>
          <w:tcPr>
            <w:tcW w:w="8660" w:type="dxa"/>
            <w:vAlign w:val="bottom"/>
          </w:tcPr>
          <w:p>
            <w:pPr>
              <w:spacing w:after="0"/>
              <w:rPr>
                <w:sz w:val="20"/>
                <w:szCs w:val="20"/>
                <w:color w:val="auto"/>
              </w:rPr>
            </w:pPr>
            <w:r>
              <w:rPr>
                <w:rFonts w:ascii="Arial" w:cs="Arial" w:eastAsia="Arial" w:hAnsi="Arial"/>
                <w:sz w:val="19"/>
                <w:szCs w:val="19"/>
                <w:b w:val="1"/>
                <w:bCs w:val="1"/>
                <w:color w:val="auto"/>
              </w:rPr>
              <w:t>Commitments and Contingencies (Note 8)</w:t>
            </w:r>
          </w:p>
        </w:tc>
        <w:tc>
          <w:tcPr>
            <w:tcW w:w="10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44"/>
        </w:trPr>
        <w:tc>
          <w:tcPr>
            <w:tcW w:w="866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Member’s Equity</w:t>
            </w:r>
          </w:p>
        </w:tc>
        <w:tc>
          <w:tcPr>
            <w:tcW w:w="10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22,357,538</w:t>
            </w:r>
          </w:p>
        </w:tc>
      </w:tr>
      <w:tr>
        <w:trPr>
          <w:trHeight w:val="223"/>
        </w:trPr>
        <w:tc>
          <w:tcPr>
            <w:tcW w:w="866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Total Liabilities and Member’s Equity</w:t>
            </w: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9"/>
                <w:szCs w:val="19"/>
                <w:color w:val="auto"/>
              </w:rPr>
              <w:t>$</w:t>
            </w: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84,806,194</w:t>
            </w: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328"/>
        </w:trPr>
        <w:tc>
          <w:tcPr>
            <w:tcW w:w="8660" w:type="dxa"/>
            <w:vAlign w:val="bottom"/>
          </w:tcPr>
          <w:p>
            <w:pPr>
              <w:ind w:left="3200"/>
              <w:spacing w:after="0"/>
              <w:rPr>
                <w:sz w:val="20"/>
                <w:szCs w:val="20"/>
                <w:color w:val="auto"/>
              </w:rPr>
            </w:pPr>
            <w:r>
              <w:rPr>
                <w:rFonts w:ascii="Arial" w:cs="Arial" w:eastAsia="Arial" w:hAnsi="Arial"/>
                <w:sz w:val="25"/>
                <w:szCs w:val="25"/>
                <w:b w:val="1"/>
                <w:bCs w:val="1"/>
                <w:color w:val="auto"/>
              </w:rPr>
              <w:t>RAM Energy Holdings LLC and Subsidiaries</w:t>
            </w:r>
          </w:p>
        </w:tc>
        <w:tc>
          <w:tcPr>
            <w:tcW w:w="10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44"/>
        </w:trPr>
        <w:tc>
          <w:tcPr>
            <w:tcW w:w="8660" w:type="dxa"/>
            <w:vAlign w:val="bottom"/>
            <w:tcBorders>
              <w:bottom w:val="single" w:sz="8" w:color="auto"/>
            </w:tcBorders>
          </w:tcPr>
          <w:p>
            <w:pPr>
              <w:ind w:left="3880"/>
              <w:spacing w:after="0"/>
              <w:rPr>
                <w:sz w:val="20"/>
                <w:szCs w:val="20"/>
                <w:color w:val="auto"/>
              </w:rPr>
            </w:pPr>
            <w:r>
              <w:rPr>
                <w:rFonts w:ascii="Arial" w:cs="Arial" w:eastAsia="Arial" w:hAnsi="Arial"/>
                <w:sz w:val="22"/>
                <w:szCs w:val="22"/>
                <w:b w:val="1"/>
                <w:bCs w:val="1"/>
                <w:color w:val="auto"/>
              </w:rPr>
              <w:t>Consolidated Statement of Operations</w:t>
            </w:r>
          </w:p>
        </w:tc>
        <w:tc>
          <w:tcPr>
            <w:tcW w:w="10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r>
        <w:trPr>
          <w:trHeight w:val="446"/>
        </w:trPr>
        <w:tc>
          <w:tcPr>
            <w:tcW w:w="866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i w:val="1"/>
                <w:iCs w:val="1"/>
                <w:color w:val="auto"/>
              </w:rPr>
              <w:t>Year Ended September 30,</w:t>
            </w:r>
          </w:p>
        </w:tc>
        <w:tc>
          <w:tcPr>
            <w:tcW w:w="10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766"/>
              <w:spacing w:after="0"/>
              <w:rPr>
                <w:sz w:val="20"/>
                <w:szCs w:val="20"/>
                <w:color w:val="auto"/>
              </w:rPr>
            </w:pPr>
            <w:r>
              <w:rPr>
                <w:rFonts w:ascii="Arial" w:cs="Arial" w:eastAsia="Arial" w:hAnsi="Arial"/>
                <w:sz w:val="19"/>
                <w:szCs w:val="19"/>
                <w:b w:val="1"/>
                <w:bCs w:val="1"/>
                <w:color w:val="auto"/>
              </w:rPr>
              <w:t>2021</w:t>
            </w:r>
          </w:p>
        </w:tc>
      </w:tr>
      <w:tr>
        <w:trPr>
          <w:trHeight w:val="214"/>
        </w:trPr>
        <w:tc>
          <w:tcPr>
            <w:tcW w:w="8660" w:type="dxa"/>
            <w:vAlign w:val="bottom"/>
          </w:tcPr>
          <w:p>
            <w:pPr>
              <w:spacing w:after="0" w:line="214" w:lineRule="exact"/>
              <w:rPr>
                <w:sz w:val="20"/>
                <w:szCs w:val="20"/>
                <w:color w:val="auto"/>
              </w:rPr>
            </w:pPr>
            <w:r>
              <w:rPr>
                <w:rFonts w:ascii="Arial" w:cs="Arial" w:eastAsia="Arial" w:hAnsi="Arial"/>
                <w:sz w:val="19"/>
                <w:szCs w:val="19"/>
                <w:b w:val="1"/>
                <w:bCs w:val="1"/>
                <w:color w:val="auto"/>
              </w:rPr>
              <w:t>Revenues</w:t>
            </w:r>
          </w:p>
        </w:tc>
        <w:tc>
          <w:tcPr>
            <w:tcW w:w="10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8660" w:type="dxa"/>
            <w:vAlign w:val="bottom"/>
          </w:tcPr>
          <w:p>
            <w:pPr>
              <w:ind w:left="260"/>
              <w:spacing w:after="0"/>
              <w:rPr>
                <w:sz w:val="20"/>
                <w:szCs w:val="20"/>
                <w:color w:val="auto"/>
              </w:rPr>
            </w:pPr>
            <w:r>
              <w:rPr>
                <w:rFonts w:ascii="Arial" w:cs="Arial" w:eastAsia="Arial" w:hAnsi="Arial"/>
                <w:sz w:val="19"/>
                <w:szCs w:val="19"/>
                <w:color w:val="auto"/>
              </w:rPr>
              <w:t>Crude oil sales</w:t>
            </w:r>
          </w:p>
        </w:tc>
        <w:tc>
          <w:tcPr>
            <w:tcW w:w="1020" w:type="dxa"/>
            <w:vAlign w:val="bottom"/>
          </w:tcPr>
          <w:p>
            <w:pPr>
              <w:jc w:val="right"/>
              <w:ind w:right="226"/>
              <w:spacing w:after="0"/>
              <w:rPr>
                <w:sz w:val="20"/>
                <w:szCs w:val="20"/>
                <w:color w:val="auto"/>
              </w:rPr>
            </w:pPr>
            <w:r>
              <w:rPr>
                <w:rFonts w:ascii="Arial" w:cs="Arial" w:eastAsia="Arial" w:hAnsi="Arial"/>
                <w:sz w:val="19"/>
                <w:szCs w:val="19"/>
                <w:color w:val="auto"/>
              </w:rPr>
              <w:t>$</w:t>
            </w: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19,730,676</w:t>
            </w:r>
          </w:p>
        </w:tc>
      </w:tr>
      <w:tr>
        <w:trPr>
          <w:trHeight w:val="229"/>
        </w:trPr>
        <w:tc>
          <w:tcPr>
            <w:tcW w:w="8660" w:type="dxa"/>
            <w:vAlign w:val="bottom"/>
          </w:tcPr>
          <w:p>
            <w:pPr>
              <w:ind w:left="260"/>
              <w:spacing w:after="0"/>
              <w:rPr>
                <w:sz w:val="20"/>
                <w:szCs w:val="20"/>
                <w:color w:val="auto"/>
              </w:rPr>
            </w:pPr>
            <w:r>
              <w:rPr>
                <w:rFonts w:ascii="Arial" w:cs="Arial" w:eastAsia="Arial" w:hAnsi="Arial"/>
                <w:sz w:val="19"/>
                <w:szCs w:val="19"/>
                <w:color w:val="auto"/>
              </w:rPr>
              <w:t>Natural gas sales</w:t>
            </w:r>
          </w:p>
        </w:tc>
        <w:tc>
          <w:tcPr>
            <w:tcW w:w="102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24,629,252</w:t>
            </w:r>
          </w:p>
        </w:tc>
      </w:tr>
      <w:tr>
        <w:trPr>
          <w:trHeight w:val="230"/>
        </w:trPr>
        <w:tc>
          <w:tcPr>
            <w:tcW w:w="8660" w:type="dxa"/>
            <w:vAlign w:val="bottom"/>
          </w:tcPr>
          <w:p>
            <w:pPr>
              <w:ind w:left="260"/>
              <w:spacing w:after="0"/>
              <w:rPr>
                <w:sz w:val="20"/>
                <w:szCs w:val="20"/>
                <w:color w:val="auto"/>
              </w:rPr>
            </w:pPr>
            <w:r>
              <w:rPr>
                <w:rFonts w:ascii="Arial" w:cs="Arial" w:eastAsia="Arial" w:hAnsi="Arial"/>
                <w:sz w:val="19"/>
                <w:szCs w:val="19"/>
                <w:color w:val="auto"/>
              </w:rPr>
              <w:t>Natural gas liquids sales</w:t>
            </w:r>
          </w:p>
        </w:tc>
        <w:tc>
          <w:tcPr>
            <w:tcW w:w="102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10,706,765</w:t>
            </w:r>
          </w:p>
        </w:tc>
      </w:tr>
      <w:tr>
        <w:trPr>
          <w:trHeight w:val="229"/>
        </w:trPr>
        <w:tc>
          <w:tcPr>
            <w:tcW w:w="8660" w:type="dxa"/>
            <w:vAlign w:val="bottom"/>
          </w:tcPr>
          <w:p>
            <w:pPr>
              <w:ind w:left="260"/>
              <w:spacing w:after="0"/>
              <w:rPr>
                <w:sz w:val="20"/>
                <w:szCs w:val="20"/>
                <w:color w:val="auto"/>
              </w:rPr>
            </w:pPr>
            <w:r>
              <w:rPr>
                <w:rFonts w:ascii="Arial" w:cs="Arial" w:eastAsia="Arial" w:hAnsi="Arial"/>
                <w:sz w:val="19"/>
                <w:szCs w:val="19"/>
                <w:color w:val="auto"/>
              </w:rPr>
              <w:t>Water supply services</w:t>
            </w:r>
          </w:p>
        </w:tc>
        <w:tc>
          <w:tcPr>
            <w:tcW w:w="102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384,205</w:t>
            </w:r>
          </w:p>
        </w:tc>
      </w:tr>
      <w:tr>
        <w:trPr>
          <w:trHeight w:val="238"/>
        </w:trPr>
        <w:tc>
          <w:tcPr>
            <w:tcW w:w="866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Gathering fees</w:t>
            </w:r>
          </w:p>
        </w:tc>
        <w:tc>
          <w:tcPr>
            <w:tcW w:w="10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2,480,249</w:t>
            </w:r>
          </w:p>
        </w:tc>
      </w:tr>
      <w:tr>
        <w:trPr>
          <w:trHeight w:val="424"/>
        </w:trPr>
        <w:tc>
          <w:tcPr>
            <w:tcW w:w="8660" w:type="dxa"/>
            <w:vAlign w:val="bottom"/>
          </w:tcPr>
          <w:p>
            <w:pPr>
              <w:spacing w:after="0"/>
              <w:rPr>
                <w:sz w:val="20"/>
                <w:szCs w:val="20"/>
                <w:color w:val="auto"/>
              </w:rPr>
            </w:pPr>
            <w:r>
              <w:rPr>
                <w:rFonts w:ascii="Arial" w:cs="Arial" w:eastAsia="Arial" w:hAnsi="Arial"/>
                <w:sz w:val="19"/>
                <w:szCs w:val="19"/>
                <w:b w:val="1"/>
                <w:bCs w:val="1"/>
                <w:color w:val="auto"/>
              </w:rPr>
              <w:t>Total Revenues</w:t>
            </w:r>
          </w:p>
        </w:tc>
        <w:tc>
          <w:tcPr>
            <w:tcW w:w="1020" w:type="dxa"/>
            <w:vAlign w:val="bottom"/>
          </w:tcPr>
          <w:p>
            <w:pPr>
              <w:spacing w:after="0"/>
              <w:rPr>
                <w:sz w:val="24"/>
                <w:szCs w:val="24"/>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57,931,147</w:t>
            </w:r>
          </w:p>
        </w:tc>
      </w:tr>
      <w:tr>
        <w:trPr>
          <w:trHeight w:val="236"/>
        </w:trPr>
        <w:tc>
          <w:tcPr>
            <w:tcW w:w="8660" w:type="dxa"/>
            <w:vAlign w:val="bottom"/>
          </w:tcPr>
          <w:p>
            <w:pPr>
              <w:spacing w:after="0"/>
              <w:rPr>
                <w:sz w:val="20"/>
                <w:szCs w:val="20"/>
                <w:color w:val="auto"/>
              </w:rPr>
            </w:pPr>
            <w:r>
              <w:rPr>
                <w:rFonts w:ascii="Arial" w:cs="Arial" w:eastAsia="Arial" w:hAnsi="Arial"/>
                <w:sz w:val="19"/>
                <w:szCs w:val="19"/>
                <w:b w:val="1"/>
                <w:bCs w:val="1"/>
                <w:color w:val="auto"/>
              </w:rPr>
              <w:t>Operating Expenses</w:t>
            </w:r>
          </w:p>
        </w:tc>
        <w:tc>
          <w:tcPr>
            <w:tcW w:w="10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29"/>
        </w:trPr>
        <w:tc>
          <w:tcPr>
            <w:tcW w:w="8660" w:type="dxa"/>
            <w:vAlign w:val="bottom"/>
          </w:tcPr>
          <w:p>
            <w:pPr>
              <w:ind w:left="260"/>
              <w:spacing w:after="0"/>
              <w:rPr>
                <w:sz w:val="20"/>
                <w:szCs w:val="20"/>
                <w:color w:val="auto"/>
              </w:rPr>
            </w:pPr>
            <w:r>
              <w:rPr>
                <w:rFonts w:ascii="Arial" w:cs="Arial" w:eastAsia="Arial" w:hAnsi="Arial"/>
                <w:sz w:val="19"/>
                <w:szCs w:val="19"/>
                <w:color w:val="auto"/>
              </w:rPr>
              <w:t>Oil and natural gas operating expenses</w:t>
            </w:r>
          </w:p>
        </w:tc>
        <w:tc>
          <w:tcPr>
            <w:tcW w:w="102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14,980,252</w:t>
            </w:r>
          </w:p>
        </w:tc>
      </w:tr>
      <w:tr>
        <w:trPr>
          <w:trHeight w:val="229"/>
        </w:trPr>
        <w:tc>
          <w:tcPr>
            <w:tcW w:w="8660" w:type="dxa"/>
            <w:vAlign w:val="bottom"/>
          </w:tcPr>
          <w:p>
            <w:pPr>
              <w:ind w:left="260"/>
              <w:spacing w:after="0"/>
              <w:rPr>
                <w:sz w:val="20"/>
                <w:szCs w:val="20"/>
                <w:color w:val="auto"/>
              </w:rPr>
            </w:pPr>
            <w:r>
              <w:rPr>
                <w:rFonts w:ascii="Arial" w:cs="Arial" w:eastAsia="Arial" w:hAnsi="Arial"/>
                <w:sz w:val="19"/>
                <w:szCs w:val="19"/>
                <w:color w:val="auto"/>
              </w:rPr>
              <w:t>Oil and natural gas production taxes</w:t>
            </w:r>
          </w:p>
        </w:tc>
        <w:tc>
          <w:tcPr>
            <w:tcW w:w="102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1,803,035</w:t>
            </w:r>
          </w:p>
        </w:tc>
      </w:tr>
      <w:tr>
        <w:trPr>
          <w:trHeight w:val="230"/>
        </w:trPr>
        <w:tc>
          <w:tcPr>
            <w:tcW w:w="8660" w:type="dxa"/>
            <w:vAlign w:val="bottom"/>
          </w:tcPr>
          <w:p>
            <w:pPr>
              <w:ind w:left="260"/>
              <w:spacing w:after="0"/>
              <w:rPr>
                <w:sz w:val="20"/>
                <w:szCs w:val="20"/>
                <w:color w:val="auto"/>
              </w:rPr>
            </w:pPr>
            <w:r>
              <w:rPr>
                <w:rFonts w:ascii="Arial" w:cs="Arial" w:eastAsia="Arial" w:hAnsi="Arial"/>
                <w:sz w:val="19"/>
                <w:szCs w:val="19"/>
                <w:color w:val="auto"/>
              </w:rPr>
              <w:t>Water usage</w:t>
            </w:r>
          </w:p>
        </w:tc>
        <w:tc>
          <w:tcPr>
            <w:tcW w:w="102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75,000</w:t>
            </w:r>
          </w:p>
        </w:tc>
      </w:tr>
      <w:tr>
        <w:trPr>
          <w:trHeight w:val="229"/>
        </w:trPr>
        <w:tc>
          <w:tcPr>
            <w:tcW w:w="8660" w:type="dxa"/>
            <w:vAlign w:val="bottom"/>
          </w:tcPr>
          <w:p>
            <w:pPr>
              <w:ind w:left="260"/>
              <w:spacing w:after="0"/>
              <w:rPr>
                <w:sz w:val="20"/>
                <w:szCs w:val="20"/>
                <w:color w:val="auto"/>
              </w:rPr>
            </w:pPr>
            <w:r>
              <w:rPr>
                <w:rFonts w:ascii="Arial" w:cs="Arial" w:eastAsia="Arial" w:hAnsi="Arial"/>
                <w:sz w:val="19"/>
                <w:szCs w:val="19"/>
                <w:color w:val="auto"/>
              </w:rPr>
              <w:t>Depreciation, depletion and amortization</w:t>
            </w:r>
          </w:p>
        </w:tc>
        <w:tc>
          <w:tcPr>
            <w:tcW w:w="102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9,402,159</w:t>
            </w:r>
          </w:p>
        </w:tc>
      </w:tr>
      <w:tr>
        <w:trPr>
          <w:trHeight w:val="229"/>
        </w:trPr>
        <w:tc>
          <w:tcPr>
            <w:tcW w:w="8660" w:type="dxa"/>
            <w:vAlign w:val="bottom"/>
          </w:tcPr>
          <w:p>
            <w:pPr>
              <w:ind w:left="260"/>
              <w:spacing w:after="0"/>
              <w:rPr>
                <w:sz w:val="20"/>
                <w:szCs w:val="20"/>
                <w:color w:val="auto"/>
              </w:rPr>
            </w:pPr>
            <w:r>
              <w:rPr>
                <w:rFonts w:ascii="Arial" w:cs="Arial" w:eastAsia="Arial" w:hAnsi="Arial"/>
                <w:sz w:val="19"/>
                <w:szCs w:val="19"/>
                <w:color w:val="auto"/>
              </w:rPr>
              <w:t>Accretion of asset retirement obligations</w:t>
            </w:r>
          </w:p>
        </w:tc>
        <w:tc>
          <w:tcPr>
            <w:tcW w:w="102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608,494</w:t>
            </w:r>
          </w:p>
        </w:tc>
      </w:tr>
      <w:tr>
        <w:trPr>
          <w:trHeight w:val="216"/>
        </w:trPr>
        <w:tc>
          <w:tcPr>
            <w:tcW w:w="8660" w:type="dxa"/>
            <w:vAlign w:val="bottom"/>
          </w:tcPr>
          <w:p>
            <w:pPr>
              <w:ind w:left="260"/>
              <w:spacing w:after="0" w:line="216" w:lineRule="exact"/>
              <w:rPr>
                <w:sz w:val="20"/>
                <w:szCs w:val="20"/>
                <w:color w:val="auto"/>
              </w:rPr>
            </w:pPr>
            <w:r>
              <w:rPr>
                <w:rFonts w:ascii="Arial" w:cs="Arial" w:eastAsia="Arial" w:hAnsi="Arial"/>
                <w:sz w:val="19"/>
                <w:szCs w:val="19"/>
                <w:color w:val="auto"/>
              </w:rPr>
              <w:t>General and administrative, overhead and other</w:t>
            </w:r>
          </w:p>
        </w:tc>
        <w:tc>
          <w:tcPr>
            <w:tcW w:w="10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8"/>
        </w:trPr>
        <w:tc>
          <w:tcPr>
            <w:tcW w:w="8660" w:type="dxa"/>
            <w:vAlign w:val="bottom"/>
            <w:tcBorders>
              <w:bottom w:val="single" w:sz="8" w:color="auto"/>
            </w:tcBorders>
          </w:tcPr>
          <w:p>
            <w:pPr>
              <w:ind w:left="400"/>
              <w:spacing w:after="0"/>
              <w:rPr>
                <w:sz w:val="20"/>
                <w:szCs w:val="20"/>
                <w:color w:val="auto"/>
              </w:rPr>
            </w:pPr>
            <w:r>
              <w:rPr>
                <w:rFonts w:ascii="Arial" w:cs="Arial" w:eastAsia="Arial" w:hAnsi="Arial"/>
                <w:sz w:val="19"/>
                <w:szCs w:val="19"/>
                <w:color w:val="auto"/>
              </w:rPr>
              <w:t>expenses, net of operator's overhead fees</w:t>
            </w:r>
          </w:p>
        </w:tc>
        <w:tc>
          <w:tcPr>
            <w:tcW w:w="10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4,475,254</w:t>
            </w:r>
          </w:p>
        </w:tc>
      </w:tr>
      <w:tr>
        <w:trPr>
          <w:trHeight w:val="439"/>
        </w:trPr>
        <w:tc>
          <w:tcPr>
            <w:tcW w:w="866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Total Operating Expenses</w:t>
            </w:r>
          </w:p>
        </w:tc>
        <w:tc>
          <w:tcPr>
            <w:tcW w:w="10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31,344,194</w:t>
            </w:r>
          </w:p>
        </w:tc>
      </w:tr>
      <w:tr>
        <w:trPr>
          <w:trHeight w:val="424"/>
        </w:trPr>
        <w:tc>
          <w:tcPr>
            <w:tcW w:w="8660" w:type="dxa"/>
            <w:vAlign w:val="bottom"/>
          </w:tcPr>
          <w:p>
            <w:pPr>
              <w:spacing w:after="0"/>
              <w:rPr>
                <w:sz w:val="20"/>
                <w:szCs w:val="20"/>
                <w:color w:val="auto"/>
              </w:rPr>
            </w:pPr>
            <w:r>
              <w:rPr>
                <w:rFonts w:ascii="Arial" w:cs="Arial" w:eastAsia="Arial" w:hAnsi="Arial"/>
                <w:sz w:val="19"/>
                <w:szCs w:val="19"/>
                <w:b w:val="1"/>
                <w:bCs w:val="1"/>
                <w:color w:val="auto"/>
              </w:rPr>
              <w:t>Income from Operations</w:t>
            </w:r>
          </w:p>
        </w:tc>
        <w:tc>
          <w:tcPr>
            <w:tcW w:w="1020" w:type="dxa"/>
            <w:vAlign w:val="bottom"/>
          </w:tcPr>
          <w:p>
            <w:pPr>
              <w:spacing w:after="0"/>
              <w:rPr>
                <w:sz w:val="24"/>
                <w:szCs w:val="24"/>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26,586,953</w:t>
            </w:r>
          </w:p>
        </w:tc>
      </w:tr>
      <w:tr>
        <w:trPr>
          <w:trHeight w:val="235"/>
        </w:trPr>
        <w:tc>
          <w:tcPr>
            <w:tcW w:w="8660" w:type="dxa"/>
            <w:vAlign w:val="bottom"/>
          </w:tcPr>
          <w:p>
            <w:pPr>
              <w:spacing w:after="0"/>
              <w:rPr>
                <w:sz w:val="20"/>
                <w:szCs w:val="20"/>
                <w:color w:val="auto"/>
              </w:rPr>
            </w:pPr>
            <w:r>
              <w:rPr>
                <w:rFonts w:ascii="Arial" w:cs="Arial" w:eastAsia="Arial" w:hAnsi="Arial"/>
                <w:sz w:val="19"/>
                <w:szCs w:val="19"/>
                <w:b w:val="1"/>
                <w:bCs w:val="1"/>
                <w:color w:val="auto"/>
              </w:rPr>
              <w:t>Other Income (Expense)</w:t>
            </w:r>
          </w:p>
        </w:tc>
        <w:tc>
          <w:tcPr>
            <w:tcW w:w="10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30"/>
        </w:trPr>
        <w:tc>
          <w:tcPr>
            <w:tcW w:w="8660" w:type="dxa"/>
            <w:vAlign w:val="bottom"/>
          </w:tcPr>
          <w:p>
            <w:pPr>
              <w:ind w:left="260"/>
              <w:spacing w:after="0"/>
              <w:rPr>
                <w:sz w:val="20"/>
                <w:szCs w:val="20"/>
                <w:color w:val="auto"/>
              </w:rPr>
            </w:pPr>
            <w:r>
              <w:rPr>
                <w:rFonts w:ascii="Arial" w:cs="Arial" w:eastAsia="Arial" w:hAnsi="Arial"/>
                <w:sz w:val="19"/>
                <w:szCs w:val="19"/>
                <w:color w:val="auto"/>
              </w:rPr>
              <w:t>Interest expense</w:t>
            </w:r>
          </w:p>
        </w:tc>
        <w:tc>
          <w:tcPr>
            <w:tcW w:w="10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(1,529,501)</w:t>
            </w:r>
          </w:p>
        </w:tc>
      </w:tr>
      <w:tr>
        <w:trPr>
          <w:trHeight w:val="229"/>
        </w:trPr>
        <w:tc>
          <w:tcPr>
            <w:tcW w:w="8660" w:type="dxa"/>
            <w:vAlign w:val="bottom"/>
          </w:tcPr>
          <w:p>
            <w:pPr>
              <w:ind w:left="260"/>
              <w:spacing w:after="0"/>
              <w:rPr>
                <w:sz w:val="20"/>
                <w:szCs w:val="20"/>
                <w:color w:val="auto"/>
              </w:rPr>
            </w:pPr>
            <w:r>
              <w:rPr>
                <w:rFonts w:ascii="Arial" w:cs="Arial" w:eastAsia="Arial" w:hAnsi="Arial"/>
                <w:sz w:val="19"/>
                <w:szCs w:val="19"/>
                <w:color w:val="auto"/>
              </w:rPr>
              <w:t>Interest income</w:t>
            </w:r>
          </w:p>
        </w:tc>
        <w:tc>
          <w:tcPr>
            <w:tcW w:w="102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14,591</w:t>
            </w:r>
          </w:p>
        </w:tc>
      </w:tr>
      <w:tr>
        <w:trPr>
          <w:trHeight w:val="230"/>
        </w:trPr>
        <w:tc>
          <w:tcPr>
            <w:tcW w:w="8660" w:type="dxa"/>
            <w:vAlign w:val="bottom"/>
          </w:tcPr>
          <w:p>
            <w:pPr>
              <w:ind w:left="260"/>
              <w:spacing w:after="0"/>
              <w:rPr>
                <w:sz w:val="20"/>
                <w:szCs w:val="20"/>
                <w:color w:val="auto"/>
              </w:rPr>
            </w:pPr>
            <w:r>
              <w:rPr>
                <w:rFonts w:ascii="Arial" w:cs="Arial" w:eastAsia="Arial" w:hAnsi="Arial"/>
                <w:sz w:val="19"/>
                <w:szCs w:val="19"/>
                <w:color w:val="auto"/>
              </w:rPr>
              <w:t>Loss on derivative instruments</w:t>
            </w:r>
          </w:p>
        </w:tc>
        <w:tc>
          <w:tcPr>
            <w:tcW w:w="10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(7,841,401)</w:t>
            </w:r>
          </w:p>
        </w:tc>
      </w:tr>
      <w:tr>
        <w:trPr>
          <w:trHeight w:val="238"/>
        </w:trPr>
        <w:tc>
          <w:tcPr>
            <w:tcW w:w="866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Other income, net</w:t>
            </w:r>
          </w:p>
        </w:tc>
        <w:tc>
          <w:tcPr>
            <w:tcW w:w="10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1,189,321</w:t>
            </w:r>
          </w:p>
        </w:tc>
      </w:tr>
      <w:tr>
        <w:trPr>
          <w:trHeight w:val="439"/>
        </w:trPr>
        <w:tc>
          <w:tcPr>
            <w:tcW w:w="866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Total Other Income (Expense)</w:t>
            </w:r>
          </w:p>
        </w:tc>
        <w:tc>
          <w:tcPr>
            <w:tcW w:w="10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(8,166,990)</w:t>
            </w:r>
          </w:p>
        </w:tc>
      </w:tr>
      <w:tr>
        <w:trPr>
          <w:trHeight w:val="439"/>
        </w:trPr>
        <w:tc>
          <w:tcPr>
            <w:tcW w:w="866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Net Income</w:t>
            </w: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9"/>
                <w:szCs w:val="19"/>
                <w:color w:val="auto"/>
              </w:rPr>
              <w:t>$</w:t>
            </w: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18,419,963</w:t>
            </w: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 of Member’s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3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jc w:val="right"/>
              <w:ind w:right="406"/>
              <w:spacing w:after="0"/>
              <w:rPr>
                <w:sz w:val="20"/>
                <w:szCs w:val="20"/>
                <w:color w:val="auto"/>
              </w:rPr>
            </w:pPr>
            <w:r>
              <w:rPr>
                <w:rFonts w:ascii="Arial" w:cs="Arial" w:eastAsia="Arial" w:hAnsi="Arial"/>
                <w:sz w:val="19"/>
                <w:szCs w:val="19"/>
                <w:b w:val="1"/>
                <w:bCs w:val="1"/>
                <w:color w:val="auto"/>
              </w:rPr>
              <w:t>Member’s</w:t>
            </w:r>
          </w:p>
        </w:tc>
      </w:tr>
      <w:tr>
        <w:trPr>
          <w:trHeight w:val="244"/>
        </w:trPr>
        <w:tc>
          <w:tcPr>
            <w:tcW w:w="5300" w:type="dxa"/>
            <w:vAlign w:val="bottom"/>
            <w:tcBorders>
              <w:bottom w:val="single" w:sz="8" w:color="auto"/>
            </w:tcBorders>
          </w:tcPr>
          <w:p>
            <w:pPr>
              <w:spacing w:after="0"/>
              <w:rPr>
                <w:sz w:val="21"/>
                <w:szCs w:val="21"/>
                <w:color w:val="auto"/>
              </w:rPr>
            </w:pPr>
          </w:p>
        </w:tc>
        <w:tc>
          <w:tcPr>
            <w:tcW w:w="4120" w:type="dxa"/>
            <w:vAlign w:val="bottom"/>
            <w:tcBorders>
              <w:bottom w:val="single" w:sz="8" w:color="auto"/>
            </w:tcBorders>
          </w:tcPr>
          <w:p>
            <w:pPr>
              <w:jc w:val="right"/>
              <w:ind w:right="606"/>
              <w:spacing w:after="0"/>
              <w:rPr>
                <w:sz w:val="20"/>
                <w:szCs w:val="20"/>
                <w:color w:val="auto"/>
              </w:rPr>
            </w:pPr>
            <w:r>
              <w:rPr>
                <w:rFonts w:ascii="Arial" w:cs="Arial" w:eastAsia="Arial" w:hAnsi="Arial"/>
                <w:sz w:val="19"/>
                <w:szCs w:val="19"/>
                <w:b w:val="1"/>
                <w:bCs w:val="1"/>
                <w:color w:val="auto"/>
              </w:rPr>
              <w:t>Units</w:t>
            </w:r>
          </w:p>
        </w:tc>
        <w:tc>
          <w:tcPr>
            <w:tcW w:w="3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46"/>
              <w:spacing w:after="0"/>
              <w:rPr>
                <w:sz w:val="20"/>
                <w:szCs w:val="20"/>
                <w:color w:val="auto"/>
              </w:rPr>
            </w:pPr>
            <w:r>
              <w:rPr>
                <w:rFonts w:ascii="Arial" w:cs="Arial" w:eastAsia="Arial" w:hAnsi="Arial"/>
                <w:sz w:val="19"/>
                <w:szCs w:val="19"/>
                <w:b w:val="1"/>
                <w:bCs w:val="1"/>
                <w:color w:val="auto"/>
              </w:rPr>
              <w:t>Equity</w:t>
            </w:r>
          </w:p>
        </w:tc>
      </w:tr>
      <w:tr>
        <w:trPr>
          <w:trHeight w:val="424"/>
        </w:trPr>
        <w:tc>
          <w:tcPr>
            <w:tcW w:w="5300" w:type="dxa"/>
            <w:vAlign w:val="bottom"/>
          </w:tcPr>
          <w:p>
            <w:pPr>
              <w:spacing w:after="0"/>
              <w:rPr>
                <w:sz w:val="20"/>
                <w:szCs w:val="20"/>
                <w:color w:val="auto"/>
              </w:rPr>
            </w:pPr>
            <w:r>
              <w:rPr>
                <w:rFonts w:ascii="Arial" w:cs="Arial" w:eastAsia="Arial" w:hAnsi="Arial"/>
                <w:sz w:val="19"/>
                <w:szCs w:val="19"/>
                <w:b w:val="1"/>
                <w:bCs w:val="1"/>
                <w:color w:val="auto"/>
              </w:rPr>
              <w:t>Balance, October 1, 2020</w:t>
            </w:r>
          </w:p>
        </w:tc>
        <w:tc>
          <w:tcPr>
            <w:tcW w:w="4120" w:type="dxa"/>
            <w:vAlign w:val="bottom"/>
          </w:tcPr>
          <w:p>
            <w:pPr>
              <w:jc w:val="right"/>
              <w:ind w:right="66"/>
              <w:spacing w:after="0"/>
              <w:rPr>
                <w:sz w:val="20"/>
                <w:szCs w:val="20"/>
                <w:color w:val="auto"/>
              </w:rPr>
            </w:pPr>
            <w:r>
              <w:rPr>
                <w:rFonts w:ascii="Arial" w:cs="Arial" w:eastAsia="Arial" w:hAnsi="Arial"/>
                <w:sz w:val="19"/>
                <w:szCs w:val="19"/>
                <w:color w:val="auto"/>
              </w:rPr>
              <w:t>180,805</w:t>
            </w:r>
          </w:p>
        </w:tc>
        <w:tc>
          <w:tcPr>
            <w:tcW w:w="380" w:type="dxa"/>
            <w:vAlign w:val="bottom"/>
          </w:tcPr>
          <w:p>
            <w:pPr>
              <w:jc w:val="right"/>
              <w:ind w:right="46"/>
              <w:spacing w:after="0"/>
              <w:rPr>
                <w:sz w:val="20"/>
                <w:szCs w:val="20"/>
                <w:color w:val="auto"/>
              </w:rPr>
            </w:pPr>
            <w:r>
              <w:rPr>
                <w:rFonts w:ascii="Arial" w:cs="Arial" w:eastAsia="Arial" w:hAnsi="Arial"/>
                <w:sz w:val="19"/>
                <w:szCs w:val="19"/>
                <w:color w:val="auto"/>
              </w:rPr>
              <w:t>$</w:t>
            </w:r>
          </w:p>
        </w:tc>
        <w:tc>
          <w:tcPr>
            <w:tcW w:w="1440" w:type="dxa"/>
            <w:vAlign w:val="bottom"/>
          </w:tcPr>
          <w:p>
            <w:pPr>
              <w:jc w:val="right"/>
              <w:ind w:right="46"/>
              <w:spacing w:after="0"/>
              <w:rPr>
                <w:sz w:val="20"/>
                <w:szCs w:val="20"/>
                <w:color w:val="auto"/>
              </w:rPr>
            </w:pPr>
            <w:r>
              <w:rPr>
                <w:rFonts w:ascii="Arial" w:cs="Arial" w:eastAsia="Arial" w:hAnsi="Arial"/>
                <w:sz w:val="19"/>
                <w:szCs w:val="19"/>
                <w:color w:val="auto"/>
              </w:rPr>
              <w:t>3,937,575</w:t>
            </w:r>
          </w:p>
        </w:tc>
      </w:tr>
      <w:tr>
        <w:trPr>
          <w:trHeight w:val="244"/>
        </w:trPr>
        <w:tc>
          <w:tcPr>
            <w:tcW w:w="53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Net income</w:t>
            </w:r>
          </w:p>
        </w:tc>
        <w:tc>
          <w:tcPr>
            <w:tcW w:w="4120" w:type="dxa"/>
            <w:vAlign w:val="bottom"/>
            <w:tcBorders>
              <w:bottom w:val="single" w:sz="8" w:color="auto"/>
            </w:tcBorders>
          </w:tcPr>
          <w:p>
            <w:pPr>
              <w:jc w:val="right"/>
              <w:ind w:right="66"/>
              <w:spacing w:after="0"/>
              <w:rPr>
                <w:sz w:val="20"/>
                <w:szCs w:val="20"/>
                <w:color w:val="auto"/>
              </w:rPr>
            </w:pPr>
            <w:r>
              <w:rPr>
                <w:rFonts w:ascii="Arial" w:cs="Arial" w:eastAsia="Arial" w:hAnsi="Arial"/>
                <w:sz w:val="19"/>
                <w:szCs w:val="19"/>
                <w:color w:val="auto"/>
              </w:rPr>
              <w:t>-</w:t>
            </w:r>
          </w:p>
        </w:tc>
        <w:tc>
          <w:tcPr>
            <w:tcW w:w="3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18,419,963</w:t>
            </w:r>
          </w:p>
        </w:tc>
      </w:tr>
      <w:tr>
        <w:trPr>
          <w:trHeight w:val="439"/>
        </w:trPr>
        <w:tc>
          <w:tcPr>
            <w:tcW w:w="53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Balance, September 30, 2021</w:t>
            </w:r>
          </w:p>
        </w:tc>
        <w:tc>
          <w:tcPr>
            <w:tcW w:w="4120" w:type="dxa"/>
            <w:vAlign w:val="bottom"/>
            <w:tcBorders>
              <w:bottom w:val="single" w:sz="8" w:color="auto"/>
            </w:tcBorders>
          </w:tcPr>
          <w:p>
            <w:pPr>
              <w:jc w:val="right"/>
              <w:ind w:right="66"/>
              <w:spacing w:after="0"/>
              <w:rPr>
                <w:sz w:val="20"/>
                <w:szCs w:val="20"/>
                <w:color w:val="auto"/>
              </w:rPr>
            </w:pPr>
            <w:r>
              <w:rPr>
                <w:rFonts w:ascii="Arial" w:cs="Arial" w:eastAsia="Arial" w:hAnsi="Arial"/>
                <w:sz w:val="19"/>
                <w:szCs w:val="19"/>
                <w:color w:val="auto"/>
              </w:rPr>
              <w:t>180,805</w:t>
            </w:r>
          </w:p>
        </w:tc>
        <w:tc>
          <w:tcPr>
            <w:tcW w:w="38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w:t>
            </w:r>
          </w:p>
        </w:tc>
        <w:tc>
          <w:tcPr>
            <w:tcW w:w="144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22,357,538</w:t>
            </w: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328"/>
        </w:trPr>
        <w:tc>
          <w:tcPr>
            <w:tcW w:w="20" w:type="dxa"/>
            <w:vAlign w:val="bottom"/>
          </w:tcPr>
          <w:p>
            <w:pPr>
              <w:spacing w:after="0"/>
              <w:rPr>
                <w:sz w:val="24"/>
                <w:szCs w:val="24"/>
                <w:color w:val="auto"/>
              </w:rPr>
            </w:pPr>
          </w:p>
        </w:tc>
        <w:tc>
          <w:tcPr>
            <w:tcW w:w="8640" w:type="dxa"/>
            <w:vAlign w:val="bottom"/>
          </w:tcPr>
          <w:p>
            <w:pPr>
              <w:ind w:left="3180"/>
              <w:spacing w:after="0"/>
              <w:rPr>
                <w:sz w:val="20"/>
                <w:szCs w:val="20"/>
                <w:color w:val="auto"/>
              </w:rPr>
            </w:pPr>
            <w:r>
              <w:rPr>
                <w:rFonts w:ascii="Arial" w:cs="Arial" w:eastAsia="Arial" w:hAnsi="Arial"/>
                <w:sz w:val="25"/>
                <w:szCs w:val="25"/>
                <w:b w:val="1"/>
                <w:bCs w:val="1"/>
                <w:color w:val="auto"/>
              </w:rPr>
              <w:t>RAM Energy Holdings LLC and Subsidiaries</w:t>
            </w:r>
          </w:p>
        </w:tc>
        <w:tc>
          <w:tcPr>
            <w:tcW w:w="10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04"/>
        </w:trPr>
        <w:tc>
          <w:tcPr>
            <w:tcW w:w="20" w:type="dxa"/>
            <w:vAlign w:val="bottom"/>
          </w:tcPr>
          <w:p>
            <w:pPr>
              <w:spacing w:after="0"/>
              <w:rPr>
                <w:sz w:val="24"/>
                <w:szCs w:val="24"/>
                <w:color w:val="auto"/>
              </w:rPr>
            </w:pPr>
          </w:p>
        </w:tc>
        <w:tc>
          <w:tcPr>
            <w:tcW w:w="8640" w:type="dxa"/>
            <w:vAlign w:val="bottom"/>
            <w:tcBorders>
              <w:bottom w:val="single" w:sz="8" w:color="auto"/>
            </w:tcBorders>
          </w:tcPr>
          <w:p>
            <w:pPr>
              <w:ind w:left="3840"/>
              <w:spacing w:after="0"/>
              <w:rPr>
                <w:sz w:val="20"/>
                <w:szCs w:val="20"/>
                <w:color w:val="auto"/>
              </w:rPr>
            </w:pPr>
            <w:r>
              <w:rPr>
                <w:rFonts w:ascii="Arial" w:cs="Arial" w:eastAsia="Arial" w:hAnsi="Arial"/>
                <w:sz w:val="22"/>
                <w:szCs w:val="22"/>
                <w:b w:val="1"/>
                <w:bCs w:val="1"/>
                <w:color w:val="auto"/>
              </w:rPr>
              <w:t>Consolidated Statement of Cash Flows</w:t>
            </w:r>
          </w:p>
        </w:tc>
        <w:tc>
          <w:tcPr>
            <w:tcW w:w="10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r>
        <w:trPr>
          <w:trHeight w:val="513"/>
        </w:trPr>
        <w:tc>
          <w:tcPr>
            <w:tcW w:w="8660" w:type="dxa"/>
            <w:vAlign w:val="bottom"/>
            <w:tcBorders>
              <w:bottom w:val="single" w:sz="8" w:color="auto"/>
            </w:tcBorders>
            <w:gridSpan w:val="2"/>
          </w:tcPr>
          <w:p>
            <w:pPr>
              <w:spacing w:after="0"/>
              <w:rPr>
                <w:sz w:val="20"/>
                <w:szCs w:val="20"/>
                <w:color w:val="auto"/>
              </w:rPr>
            </w:pPr>
            <w:r>
              <w:rPr>
                <w:rFonts w:ascii="Arial" w:cs="Arial" w:eastAsia="Arial" w:hAnsi="Arial"/>
                <w:sz w:val="19"/>
                <w:szCs w:val="19"/>
                <w:b w:val="1"/>
                <w:bCs w:val="1"/>
                <w:color w:val="auto"/>
              </w:rPr>
              <w:t>Year Ended September 30,</w:t>
            </w:r>
          </w:p>
        </w:tc>
        <w:tc>
          <w:tcPr>
            <w:tcW w:w="10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766"/>
              <w:spacing w:after="0"/>
              <w:rPr>
                <w:sz w:val="20"/>
                <w:szCs w:val="20"/>
                <w:color w:val="auto"/>
              </w:rPr>
            </w:pPr>
            <w:r>
              <w:rPr>
                <w:rFonts w:ascii="Arial" w:cs="Arial" w:eastAsia="Arial" w:hAnsi="Arial"/>
                <w:sz w:val="19"/>
                <w:szCs w:val="19"/>
                <w:b w:val="1"/>
                <w:bCs w:val="1"/>
                <w:color w:val="auto"/>
              </w:rPr>
              <w:t>2021</w:t>
            </w:r>
          </w:p>
        </w:tc>
      </w:tr>
      <w:tr>
        <w:trPr>
          <w:trHeight w:val="214"/>
        </w:trPr>
        <w:tc>
          <w:tcPr>
            <w:tcW w:w="8660" w:type="dxa"/>
            <w:vAlign w:val="bottom"/>
            <w:gridSpan w:val="2"/>
          </w:tcPr>
          <w:p>
            <w:pPr>
              <w:spacing w:after="0" w:line="214" w:lineRule="exact"/>
              <w:rPr>
                <w:sz w:val="20"/>
                <w:szCs w:val="20"/>
                <w:color w:val="auto"/>
              </w:rPr>
            </w:pPr>
            <w:r>
              <w:rPr>
                <w:rFonts w:ascii="Arial" w:cs="Arial" w:eastAsia="Arial" w:hAnsi="Arial"/>
                <w:sz w:val="19"/>
                <w:szCs w:val="19"/>
                <w:b w:val="1"/>
                <w:bCs w:val="1"/>
                <w:color w:val="auto"/>
              </w:rPr>
              <w:t>Cash Flows from Operating Activities</w:t>
            </w:r>
          </w:p>
        </w:tc>
        <w:tc>
          <w:tcPr>
            <w:tcW w:w="10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640" w:type="dxa"/>
            <w:vAlign w:val="bottom"/>
          </w:tcPr>
          <w:p>
            <w:pPr>
              <w:ind w:left="240"/>
              <w:spacing w:after="0"/>
              <w:rPr>
                <w:sz w:val="20"/>
                <w:szCs w:val="20"/>
                <w:color w:val="auto"/>
              </w:rPr>
            </w:pPr>
            <w:r>
              <w:rPr>
                <w:rFonts w:ascii="Arial" w:cs="Arial" w:eastAsia="Arial" w:hAnsi="Arial"/>
                <w:sz w:val="19"/>
                <w:szCs w:val="19"/>
                <w:color w:val="auto"/>
              </w:rPr>
              <w:t>Net income</w:t>
            </w:r>
          </w:p>
        </w:tc>
        <w:tc>
          <w:tcPr>
            <w:tcW w:w="1020" w:type="dxa"/>
            <w:vAlign w:val="bottom"/>
          </w:tcPr>
          <w:p>
            <w:pPr>
              <w:jc w:val="right"/>
              <w:ind w:right="226"/>
              <w:spacing w:after="0"/>
              <w:rPr>
                <w:sz w:val="20"/>
                <w:szCs w:val="20"/>
                <w:color w:val="auto"/>
              </w:rPr>
            </w:pPr>
            <w:r>
              <w:rPr>
                <w:rFonts w:ascii="Arial" w:cs="Arial" w:eastAsia="Arial" w:hAnsi="Arial"/>
                <w:sz w:val="19"/>
                <w:szCs w:val="19"/>
                <w:color w:val="auto"/>
              </w:rPr>
              <w:t>$</w:t>
            </w: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18,419,963</w:t>
            </w:r>
          </w:p>
        </w:tc>
      </w:tr>
      <w:tr>
        <w:trPr>
          <w:trHeight w:val="216"/>
        </w:trPr>
        <w:tc>
          <w:tcPr>
            <w:tcW w:w="20" w:type="dxa"/>
            <w:vAlign w:val="bottom"/>
          </w:tcPr>
          <w:p>
            <w:pPr>
              <w:spacing w:after="0"/>
              <w:rPr>
                <w:sz w:val="18"/>
                <w:szCs w:val="18"/>
                <w:color w:val="auto"/>
              </w:rPr>
            </w:pPr>
          </w:p>
        </w:tc>
        <w:tc>
          <w:tcPr>
            <w:tcW w:w="8640" w:type="dxa"/>
            <w:vAlign w:val="bottom"/>
          </w:tcPr>
          <w:p>
            <w:pPr>
              <w:ind w:left="240"/>
              <w:spacing w:after="0" w:line="216" w:lineRule="exact"/>
              <w:rPr>
                <w:sz w:val="20"/>
                <w:szCs w:val="20"/>
                <w:color w:val="auto"/>
              </w:rPr>
            </w:pPr>
            <w:r>
              <w:rPr>
                <w:rFonts w:ascii="Arial" w:cs="Arial" w:eastAsia="Arial" w:hAnsi="Arial"/>
                <w:sz w:val="19"/>
                <w:szCs w:val="19"/>
                <w:color w:val="auto"/>
              </w:rPr>
              <w:t>Adjustments to reconcile net income to net cash provided</w:t>
            </w:r>
          </w:p>
        </w:tc>
        <w:tc>
          <w:tcPr>
            <w:tcW w:w="10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640" w:type="dxa"/>
            <w:vAlign w:val="bottom"/>
          </w:tcPr>
          <w:p>
            <w:pPr>
              <w:ind w:left="380"/>
              <w:spacing w:after="0"/>
              <w:rPr>
                <w:sz w:val="20"/>
                <w:szCs w:val="20"/>
                <w:color w:val="auto"/>
              </w:rPr>
            </w:pPr>
            <w:r>
              <w:rPr>
                <w:rFonts w:ascii="Arial" w:cs="Arial" w:eastAsia="Arial" w:hAnsi="Arial"/>
                <w:sz w:val="19"/>
                <w:szCs w:val="19"/>
                <w:color w:val="auto"/>
              </w:rPr>
              <w:t>by operating activities:</w:t>
            </w:r>
          </w:p>
        </w:tc>
        <w:tc>
          <w:tcPr>
            <w:tcW w:w="10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640" w:type="dxa"/>
            <w:vAlign w:val="bottom"/>
          </w:tcPr>
          <w:p>
            <w:pPr>
              <w:ind w:left="480"/>
              <w:spacing w:after="0"/>
              <w:rPr>
                <w:sz w:val="20"/>
                <w:szCs w:val="20"/>
                <w:color w:val="auto"/>
              </w:rPr>
            </w:pPr>
            <w:r>
              <w:rPr>
                <w:rFonts w:ascii="Arial" w:cs="Arial" w:eastAsia="Arial" w:hAnsi="Arial"/>
                <w:sz w:val="19"/>
                <w:szCs w:val="19"/>
                <w:color w:val="auto"/>
              </w:rPr>
              <w:t>Depreciation, depletion and amortization</w:t>
            </w:r>
          </w:p>
        </w:tc>
        <w:tc>
          <w:tcPr>
            <w:tcW w:w="102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9,402,159</w:t>
            </w:r>
          </w:p>
        </w:tc>
      </w:tr>
      <w:tr>
        <w:trPr>
          <w:trHeight w:val="230"/>
        </w:trPr>
        <w:tc>
          <w:tcPr>
            <w:tcW w:w="20" w:type="dxa"/>
            <w:vAlign w:val="bottom"/>
          </w:tcPr>
          <w:p>
            <w:pPr>
              <w:spacing w:after="0"/>
              <w:rPr>
                <w:sz w:val="19"/>
                <w:szCs w:val="19"/>
                <w:color w:val="auto"/>
              </w:rPr>
            </w:pPr>
          </w:p>
        </w:tc>
        <w:tc>
          <w:tcPr>
            <w:tcW w:w="8640" w:type="dxa"/>
            <w:vAlign w:val="bottom"/>
          </w:tcPr>
          <w:p>
            <w:pPr>
              <w:ind w:left="480"/>
              <w:spacing w:after="0"/>
              <w:rPr>
                <w:sz w:val="20"/>
                <w:szCs w:val="20"/>
                <w:color w:val="auto"/>
              </w:rPr>
            </w:pPr>
            <w:r>
              <w:rPr>
                <w:rFonts w:ascii="Arial" w:cs="Arial" w:eastAsia="Arial" w:hAnsi="Arial"/>
                <w:sz w:val="19"/>
                <w:szCs w:val="19"/>
                <w:color w:val="auto"/>
              </w:rPr>
              <w:t>Interest expense paid in kind</w:t>
            </w:r>
          </w:p>
        </w:tc>
        <w:tc>
          <w:tcPr>
            <w:tcW w:w="102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1,280,153</w:t>
            </w:r>
          </w:p>
        </w:tc>
      </w:tr>
      <w:tr>
        <w:trPr>
          <w:trHeight w:val="229"/>
        </w:trPr>
        <w:tc>
          <w:tcPr>
            <w:tcW w:w="20" w:type="dxa"/>
            <w:vAlign w:val="bottom"/>
          </w:tcPr>
          <w:p>
            <w:pPr>
              <w:spacing w:after="0"/>
              <w:rPr>
                <w:sz w:val="19"/>
                <w:szCs w:val="19"/>
                <w:color w:val="auto"/>
              </w:rPr>
            </w:pPr>
          </w:p>
        </w:tc>
        <w:tc>
          <w:tcPr>
            <w:tcW w:w="8640" w:type="dxa"/>
            <w:vAlign w:val="bottom"/>
          </w:tcPr>
          <w:p>
            <w:pPr>
              <w:ind w:left="480"/>
              <w:spacing w:after="0"/>
              <w:rPr>
                <w:sz w:val="20"/>
                <w:szCs w:val="20"/>
                <w:color w:val="auto"/>
              </w:rPr>
            </w:pPr>
            <w:r>
              <w:rPr>
                <w:rFonts w:ascii="Arial" w:cs="Arial" w:eastAsia="Arial" w:hAnsi="Arial"/>
                <w:sz w:val="19"/>
                <w:szCs w:val="19"/>
                <w:color w:val="auto"/>
              </w:rPr>
              <w:t>Amortization of deferred loan costs</w:t>
            </w:r>
          </w:p>
        </w:tc>
        <w:tc>
          <w:tcPr>
            <w:tcW w:w="102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209,050</w:t>
            </w:r>
          </w:p>
        </w:tc>
      </w:tr>
      <w:tr>
        <w:trPr>
          <w:trHeight w:val="229"/>
        </w:trPr>
        <w:tc>
          <w:tcPr>
            <w:tcW w:w="20" w:type="dxa"/>
            <w:vAlign w:val="bottom"/>
          </w:tcPr>
          <w:p>
            <w:pPr>
              <w:spacing w:after="0"/>
              <w:rPr>
                <w:sz w:val="19"/>
                <w:szCs w:val="19"/>
                <w:color w:val="auto"/>
              </w:rPr>
            </w:pPr>
          </w:p>
        </w:tc>
        <w:tc>
          <w:tcPr>
            <w:tcW w:w="8640" w:type="dxa"/>
            <w:vAlign w:val="bottom"/>
          </w:tcPr>
          <w:p>
            <w:pPr>
              <w:ind w:left="480"/>
              <w:spacing w:after="0"/>
              <w:rPr>
                <w:sz w:val="20"/>
                <w:szCs w:val="20"/>
                <w:color w:val="auto"/>
              </w:rPr>
            </w:pPr>
            <w:r>
              <w:rPr>
                <w:rFonts w:ascii="Arial" w:cs="Arial" w:eastAsia="Arial" w:hAnsi="Arial"/>
                <w:sz w:val="19"/>
                <w:szCs w:val="19"/>
                <w:color w:val="auto"/>
              </w:rPr>
              <w:t>Accretion of asset retirement obligations</w:t>
            </w:r>
          </w:p>
        </w:tc>
        <w:tc>
          <w:tcPr>
            <w:tcW w:w="102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608,494</w:t>
            </w:r>
          </w:p>
        </w:tc>
      </w:tr>
      <w:tr>
        <w:trPr>
          <w:trHeight w:val="230"/>
        </w:trPr>
        <w:tc>
          <w:tcPr>
            <w:tcW w:w="20" w:type="dxa"/>
            <w:vAlign w:val="bottom"/>
          </w:tcPr>
          <w:p>
            <w:pPr>
              <w:spacing w:after="0"/>
              <w:rPr>
                <w:sz w:val="19"/>
                <w:szCs w:val="19"/>
                <w:color w:val="auto"/>
              </w:rPr>
            </w:pPr>
          </w:p>
        </w:tc>
        <w:tc>
          <w:tcPr>
            <w:tcW w:w="8640" w:type="dxa"/>
            <w:vAlign w:val="bottom"/>
          </w:tcPr>
          <w:p>
            <w:pPr>
              <w:ind w:left="480"/>
              <w:spacing w:after="0"/>
              <w:rPr>
                <w:sz w:val="20"/>
                <w:szCs w:val="20"/>
                <w:color w:val="auto"/>
              </w:rPr>
            </w:pPr>
            <w:r>
              <w:rPr>
                <w:rFonts w:ascii="Arial" w:cs="Arial" w:eastAsia="Arial" w:hAnsi="Arial"/>
                <w:sz w:val="19"/>
                <w:szCs w:val="19"/>
                <w:color w:val="auto"/>
              </w:rPr>
              <w:t>Gain on forgiveness of debt</w:t>
            </w:r>
          </w:p>
        </w:tc>
        <w:tc>
          <w:tcPr>
            <w:tcW w:w="10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(1,025,700)</w:t>
            </w:r>
          </w:p>
        </w:tc>
      </w:tr>
      <w:tr>
        <w:trPr>
          <w:trHeight w:val="229"/>
        </w:trPr>
        <w:tc>
          <w:tcPr>
            <w:tcW w:w="20" w:type="dxa"/>
            <w:vAlign w:val="bottom"/>
          </w:tcPr>
          <w:p>
            <w:pPr>
              <w:spacing w:after="0"/>
              <w:rPr>
                <w:sz w:val="19"/>
                <w:szCs w:val="19"/>
                <w:color w:val="auto"/>
              </w:rPr>
            </w:pPr>
          </w:p>
        </w:tc>
        <w:tc>
          <w:tcPr>
            <w:tcW w:w="8640" w:type="dxa"/>
            <w:vAlign w:val="bottom"/>
          </w:tcPr>
          <w:p>
            <w:pPr>
              <w:ind w:left="480"/>
              <w:spacing w:after="0"/>
              <w:rPr>
                <w:sz w:val="20"/>
                <w:szCs w:val="20"/>
                <w:color w:val="auto"/>
              </w:rPr>
            </w:pPr>
            <w:r>
              <w:rPr>
                <w:rFonts w:ascii="Arial" w:cs="Arial" w:eastAsia="Arial" w:hAnsi="Arial"/>
                <w:sz w:val="19"/>
                <w:szCs w:val="19"/>
                <w:color w:val="auto"/>
              </w:rPr>
              <w:t>Loss on derivative instruments</w:t>
            </w:r>
          </w:p>
        </w:tc>
        <w:tc>
          <w:tcPr>
            <w:tcW w:w="102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7,841,401</w:t>
            </w:r>
          </w:p>
        </w:tc>
      </w:tr>
      <w:tr>
        <w:trPr>
          <w:trHeight w:val="230"/>
        </w:trPr>
        <w:tc>
          <w:tcPr>
            <w:tcW w:w="20" w:type="dxa"/>
            <w:vAlign w:val="bottom"/>
          </w:tcPr>
          <w:p>
            <w:pPr>
              <w:spacing w:after="0"/>
              <w:rPr>
                <w:sz w:val="19"/>
                <w:szCs w:val="19"/>
                <w:color w:val="auto"/>
              </w:rPr>
            </w:pPr>
          </w:p>
        </w:tc>
        <w:tc>
          <w:tcPr>
            <w:tcW w:w="8640" w:type="dxa"/>
            <w:vAlign w:val="bottom"/>
          </w:tcPr>
          <w:p>
            <w:pPr>
              <w:ind w:left="480"/>
              <w:spacing w:after="0"/>
              <w:rPr>
                <w:sz w:val="20"/>
                <w:szCs w:val="20"/>
                <w:color w:val="auto"/>
              </w:rPr>
            </w:pPr>
            <w:r>
              <w:rPr>
                <w:rFonts w:ascii="Arial" w:cs="Arial" w:eastAsia="Arial" w:hAnsi="Arial"/>
                <w:sz w:val="19"/>
                <w:szCs w:val="19"/>
                <w:color w:val="auto"/>
              </w:rPr>
              <w:t>Derivative premiums paid</w:t>
            </w:r>
          </w:p>
        </w:tc>
        <w:tc>
          <w:tcPr>
            <w:tcW w:w="10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(635,011)</w:t>
            </w:r>
          </w:p>
        </w:tc>
      </w:tr>
      <w:tr>
        <w:trPr>
          <w:trHeight w:val="229"/>
        </w:trPr>
        <w:tc>
          <w:tcPr>
            <w:tcW w:w="20" w:type="dxa"/>
            <w:vAlign w:val="bottom"/>
          </w:tcPr>
          <w:p>
            <w:pPr>
              <w:spacing w:after="0"/>
              <w:rPr>
                <w:sz w:val="19"/>
                <w:szCs w:val="19"/>
                <w:color w:val="auto"/>
              </w:rPr>
            </w:pPr>
          </w:p>
        </w:tc>
        <w:tc>
          <w:tcPr>
            <w:tcW w:w="8640" w:type="dxa"/>
            <w:vAlign w:val="bottom"/>
          </w:tcPr>
          <w:p>
            <w:pPr>
              <w:ind w:left="480"/>
              <w:spacing w:after="0"/>
              <w:rPr>
                <w:sz w:val="20"/>
                <w:szCs w:val="20"/>
                <w:color w:val="auto"/>
              </w:rPr>
            </w:pPr>
            <w:r>
              <w:rPr>
                <w:rFonts w:ascii="Arial" w:cs="Arial" w:eastAsia="Arial" w:hAnsi="Arial"/>
                <w:sz w:val="19"/>
                <w:szCs w:val="19"/>
                <w:color w:val="auto"/>
              </w:rPr>
              <w:t>Derivative cash settlements paid</w:t>
            </w:r>
          </w:p>
        </w:tc>
        <w:tc>
          <w:tcPr>
            <w:tcW w:w="10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(983,259)</w:t>
            </w:r>
          </w:p>
        </w:tc>
      </w:tr>
      <w:tr>
        <w:trPr>
          <w:trHeight w:val="229"/>
        </w:trPr>
        <w:tc>
          <w:tcPr>
            <w:tcW w:w="20" w:type="dxa"/>
            <w:vAlign w:val="bottom"/>
          </w:tcPr>
          <w:p>
            <w:pPr>
              <w:spacing w:after="0"/>
              <w:rPr>
                <w:sz w:val="19"/>
                <w:szCs w:val="19"/>
                <w:color w:val="auto"/>
              </w:rPr>
            </w:pPr>
          </w:p>
        </w:tc>
        <w:tc>
          <w:tcPr>
            <w:tcW w:w="8640" w:type="dxa"/>
            <w:vAlign w:val="bottom"/>
          </w:tcPr>
          <w:p>
            <w:pPr>
              <w:ind w:left="480"/>
              <w:spacing w:after="0"/>
              <w:rPr>
                <w:sz w:val="20"/>
                <w:szCs w:val="20"/>
                <w:color w:val="auto"/>
              </w:rPr>
            </w:pPr>
            <w:r>
              <w:rPr>
                <w:rFonts w:ascii="Arial" w:cs="Arial" w:eastAsia="Arial" w:hAnsi="Arial"/>
                <w:sz w:val="19"/>
                <w:szCs w:val="19"/>
                <w:color w:val="auto"/>
              </w:rPr>
              <w:t>Settlements of asset retirement obligations</w:t>
            </w:r>
          </w:p>
        </w:tc>
        <w:tc>
          <w:tcPr>
            <w:tcW w:w="10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(647,654)</w:t>
            </w:r>
          </w:p>
        </w:tc>
      </w:tr>
      <w:tr>
        <w:trPr>
          <w:trHeight w:val="230"/>
        </w:trPr>
        <w:tc>
          <w:tcPr>
            <w:tcW w:w="20" w:type="dxa"/>
            <w:vAlign w:val="bottom"/>
          </w:tcPr>
          <w:p>
            <w:pPr>
              <w:spacing w:after="0"/>
              <w:rPr>
                <w:sz w:val="19"/>
                <w:szCs w:val="19"/>
                <w:color w:val="auto"/>
              </w:rPr>
            </w:pPr>
          </w:p>
        </w:tc>
        <w:tc>
          <w:tcPr>
            <w:tcW w:w="8640" w:type="dxa"/>
            <w:vAlign w:val="bottom"/>
          </w:tcPr>
          <w:p>
            <w:pPr>
              <w:ind w:left="240"/>
              <w:spacing w:after="0"/>
              <w:rPr>
                <w:sz w:val="20"/>
                <w:szCs w:val="20"/>
                <w:color w:val="auto"/>
              </w:rPr>
            </w:pPr>
            <w:r>
              <w:rPr>
                <w:rFonts w:ascii="Arial" w:cs="Arial" w:eastAsia="Arial" w:hAnsi="Arial"/>
                <w:sz w:val="19"/>
                <w:szCs w:val="19"/>
                <w:color w:val="auto"/>
              </w:rPr>
              <w:t>Changes in operating assets and liabilities:</w:t>
            </w:r>
          </w:p>
        </w:tc>
        <w:tc>
          <w:tcPr>
            <w:tcW w:w="10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640" w:type="dxa"/>
            <w:vAlign w:val="bottom"/>
          </w:tcPr>
          <w:p>
            <w:pPr>
              <w:ind w:left="480"/>
              <w:spacing w:after="0"/>
              <w:rPr>
                <w:sz w:val="20"/>
                <w:szCs w:val="20"/>
                <w:color w:val="auto"/>
              </w:rPr>
            </w:pPr>
            <w:r>
              <w:rPr>
                <w:rFonts w:ascii="Arial" w:cs="Arial" w:eastAsia="Arial" w:hAnsi="Arial"/>
                <w:sz w:val="19"/>
                <w:szCs w:val="19"/>
                <w:color w:val="auto"/>
              </w:rPr>
              <w:t>Accounts receivable</w:t>
            </w:r>
          </w:p>
        </w:tc>
        <w:tc>
          <w:tcPr>
            <w:tcW w:w="10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(2,796,241)</w:t>
            </w:r>
          </w:p>
        </w:tc>
      </w:tr>
      <w:tr>
        <w:trPr>
          <w:trHeight w:val="229"/>
        </w:trPr>
        <w:tc>
          <w:tcPr>
            <w:tcW w:w="20" w:type="dxa"/>
            <w:vAlign w:val="bottom"/>
          </w:tcPr>
          <w:p>
            <w:pPr>
              <w:spacing w:after="0"/>
              <w:rPr>
                <w:sz w:val="19"/>
                <w:szCs w:val="19"/>
                <w:color w:val="auto"/>
              </w:rPr>
            </w:pPr>
          </w:p>
        </w:tc>
        <w:tc>
          <w:tcPr>
            <w:tcW w:w="8640" w:type="dxa"/>
            <w:vAlign w:val="bottom"/>
          </w:tcPr>
          <w:p>
            <w:pPr>
              <w:ind w:left="480"/>
              <w:spacing w:after="0"/>
              <w:rPr>
                <w:sz w:val="20"/>
                <w:szCs w:val="20"/>
                <w:color w:val="auto"/>
              </w:rPr>
            </w:pPr>
            <w:r>
              <w:rPr>
                <w:rFonts w:ascii="Arial" w:cs="Arial" w:eastAsia="Arial" w:hAnsi="Arial"/>
                <w:sz w:val="19"/>
                <w:szCs w:val="19"/>
                <w:color w:val="auto"/>
              </w:rPr>
              <w:t>Prepaid expenses and other assets</w:t>
            </w:r>
          </w:p>
        </w:tc>
        <w:tc>
          <w:tcPr>
            <w:tcW w:w="10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(17,941)</w:t>
            </w:r>
          </w:p>
        </w:tc>
      </w:tr>
      <w:tr>
        <w:trPr>
          <w:trHeight w:val="230"/>
        </w:trPr>
        <w:tc>
          <w:tcPr>
            <w:tcW w:w="20" w:type="dxa"/>
            <w:vAlign w:val="bottom"/>
          </w:tcPr>
          <w:p>
            <w:pPr>
              <w:spacing w:after="0"/>
              <w:rPr>
                <w:sz w:val="19"/>
                <w:szCs w:val="19"/>
                <w:color w:val="auto"/>
              </w:rPr>
            </w:pPr>
          </w:p>
        </w:tc>
        <w:tc>
          <w:tcPr>
            <w:tcW w:w="8640" w:type="dxa"/>
            <w:vAlign w:val="bottom"/>
          </w:tcPr>
          <w:p>
            <w:pPr>
              <w:ind w:left="480"/>
              <w:spacing w:after="0"/>
              <w:rPr>
                <w:sz w:val="20"/>
                <w:szCs w:val="20"/>
                <w:color w:val="auto"/>
              </w:rPr>
            </w:pPr>
            <w:r>
              <w:rPr>
                <w:rFonts w:ascii="Arial" w:cs="Arial" w:eastAsia="Arial" w:hAnsi="Arial"/>
                <w:sz w:val="19"/>
                <w:szCs w:val="19"/>
                <w:color w:val="auto"/>
              </w:rPr>
              <w:t>Accounts payable and revenue payable</w:t>
            </w:r>
          </w:p>
        </w:tc>
        <w:tc>
          <w:tcPr>
            <w:tcW w:w="10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(2,740,375)</w:t>
            </w:r>
          </w:p>
        </w:tc>
      </w:tr>
      <w:tr>
        <w:trPr>
          <w:trHeight w:val="238"/>
        </w:trPr>
        <w:tc>
          <w:tcPr>
            <w:tcW w:w="20" w:type="dxa"/>
            <w:vAlign w:val="bottom"/>
            <w:tcBorders>
              <w:bottom w:val="single" w:sz="8" w:color="auto"/>
            </w:tcBorders>
          </w:tcPr>
          <w:p>
            <w:pPr>
              <w:spacing w:after="0"/>
              <w:rPr>
                <w:sz w:val="20"/>
                <w:szCs w:val="20"/>
                <w:color w:val="auto"/>
              </w:rPr>
            </w:pPr>
          </w:p>
        </w:tc>
        <w:tc>
          <w:tcPr>
            <w:tcW w:w="8640" w:type="dxa"/>
            <w:vAlign w:val="bottom"/>
            <w:tcBorders>
              <w:bottom w:val="single" w:sz="8" w:color="auto"/>
            </w:tcBorders>
          </w:tcPr>
          <w:p>
            <w:pPr>
              <w:ind w:left="480"/>
              <w:spacing w:after="0"/>
              <w:rPr>
                <w:sz w:val="20"/>
                <w:szCs w:val="20"/>
                <w:color w:val="auto"/>
              </w:rPr>
            </w:pPr>
            <w:r>
              <w:rPr>
                <w:rFonts w:ascii="Arial" w:cs="Arial" w:eastAsia="Arial" w:hAnsi="Arial"/>
                <w:sz w:val="19"/>
                <w:szCs w:val="19"/>
                <w:color w:val="auto"/>
              </w:rPr>
              <w:t>Accrued liabilities</w:t>
            </w:r>
          </w:p>
        </w:tc>
        <w:tc>
          <w:tcPr>
            <w:tcW w:w="10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35,460</w:t>
            </w:r>
          </w:p>
        </w:tc>
      </w:tr>
      <w:tr>
        <w:trPr>
          <w:trHeight w:val="223"/>
        </w:trPr>
        <w:tc>
          <w:tcPr>
            <w:tcW w:w="8660" w:type="dxa"/>
            <w:vAlign w:val="bottom"/>
            <w:tcBorders>
              <w:bottom w:val="single" w:sz="8" w:color="auto"/>
            </w:tcBorders>
            <w:gridSpan w:val="2"/>
          </w:tcPr>
          <w:p>
            <w:pPr>
              <w:spacing w:after="0"/>
              <w:rPr>
                <w:sz w:val="20"/>
                <w:szCs w:val="20"/>
                <w:color w:val="auto"/>
              </w:rPr>
            </w:pPr>
            <w:r>
              <w:rPr>
                <w:rFonts w:ascii="Arial" w:cs="Arial" w:eastAsia="Arial" w:hAnsi="Arial"/>
                <w:sz w:val="19"/>
                <w:szCs w:val="19"/>
                <w:b w:val="1"/>
                <w:bCs w:val="1"/>
                <w:color w:val="auto"/>
              </w:rPr>
              <w:t>Net Cash Provided by Operating Activities</w:t>
            </w:r>
          </w:p>
        </w:tc>
        <w:tc>
          <w:tcPr>
            <w:tcW w:w="10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28,950,499</w:t>
            </w:r>
          </w:p>
        </w:tc>
      </w:tr>
      <w:tr>
        <w:trPr>
          <w:trHeight w:val="214"/>
        </w:trPr>
        <w:tc>
          <w:tcPr>
            <w:tcW w:w="8660" w:type="dxa"/>
            <w:vAlign w:val="bottom"/>
            <w:gridSpan w:val="2"/>
          </w:tcPr>
          <w:p>
            <w:pPr>
              <w:spacing w:after="0" w:line="214" w:lineRule="exact"/>
              <w:rPr>
                <w:sz w:val="20"/>
                <w:szCs w:val="20"/>
                <w:color w:val="auto"/>
              </w:rPr>
            </w:pPr>
            <w:r>
              <w:rPr>
                <w:rFonts w:ascii="Arial" w:cs="Arial" w:eastAsia="Arial" w:hAnsi="Arial"/>
                <w:sz w:val="19"/>
                <w:szCs w:val="19"/>
                <w:b w:val="1"/>
                <w:bCs w:val="1"/>
                <w:color w:val="auto"/>
              </w:rPr>
              <w:t>Cash Flows from Investing Activities</w:t>
            </w:r>
          </w:p>
        </w:tc>
        <w:tc>
          <w:tcPr>
            <w:tcW w:w="10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640" w:type="dxa"/>
            <w:vAlign w:val="bottom"/>
          </w:tcPr>
          <w:p>
            <w:pPr>
              <w:ind w:left="240"/>
              <w:spacing w:after="0"/>
              <w:rPr>
                <w:sz w:val="20"/>
                <w:szCs w:val="20"/>
                <w:color w:val="auto"/>
              </w:rPr>
            </w:pPr>
            <w:r>
              <w:rPr>
                <w:rFonts w:ascii="Arial" w:cs="Arial" w:eastAsia="Arial" w:hAnsi="Arial"/>
                <w:sz w:val="19"/>
                <w:szCs w:val="19"/>
                <w:color w:val="auto"/>
              </w:rPr>
              <w:t>Payments for oil and natural gas properties and equipment</w:t>
            </w:r>
          </w:p>
        </w:tc>
        <w:tc>
          <w:tcPr>
            <w:tcW w:w="10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(10,153,106)</w:t>
            </w:r>
          </w:p>
        </w:tc>
      </w:tr>
      <w:tr>
        <w:trPr>
          <w:trHeight w:val="238"/>
        </w:trPr>
        <w:tc>
          <w:tcPr>
            <w:tcW w:w="20" w:type="dxa"/>
            <w:vAlign w:val="bottom"/>
            <w:tcBorders>
              <w:bottom w:val="single" w:sz="8" w:color="auto"/>
            </w:tcBorders>
          </w:tcPr>
          <w:p>
            <w:pPr>
              <w:spacing w:after="0"/>
              <w:rPr>
                <w:sz w:val="20"/>
                <w:szCs w:val="20"/>
                <w:color w:val="auto"/>
              </w:rPr>
            </w:pPr>
          </w:p>
        </w:tc>
        <w:tc>
          <w:tcPr>
            <w:tcW w:w="8640" w:type="dxa"/>
            <w:vAlign w:val="bottom"/>
            <w:tcBorders>
              <w:bottom w:val="single" w:sz="8" w:color="auto"/>
            </w:tcBorders>
          </w:tcPr>
          <w:p>
            <w:pPr>
              <w:ind w:left="240"/>
              <w:spacing w:after="0"/>
              <w:rPr>
                <w:sz w:val="20"/>
                <w:szCs w:val="20"/>
                <w:color w:val="auto"/>
              </w:rPr>
            </w:pPr>
            <w:r>
              <w:rPr>
                <w:rFonts w:ascii="Arial" w:cs="Arial" w:eastAsia="Arial" w:hAnsi="Arial"/>
                <w:sz w:val="19"/>
                <w:szCs w:val="19"/>
                <w:color w:val="auto"/>
              </w:rPr>
              <w:t>Payments for other property and equipment</w:t>
            </w:r>
          </w:p>
        </w:tc>
        <w:tc>
          <w:tcPr>
            <w:tcW w:w="10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(116,235)</w:t>
            </w:r>
          </w:p>
        </w:tc>
      </w:tr>
      <w:tr>
        <w:trPr>
          <w:trHeight w:val="223"/>
        </w:trPr>
        <w:tc>
          <w:tcPr>
            <w:tcW w:w="8660" w:type="dxa"/>
            <w:vAlign w:val="bottom"/>
            <w:tcBorders>
              <w:bottom w:val="single" w:sz="8" w:color="auto"/>
            </w:tcBorders>
            <w:gridSpan w:val="2"/>
          </w:tcPr>
          <w:p>
            <w:pPr>
              <w:spacing w:after="0"/>
              <w:rPr>
                <w:sz w:val="20"/>
                <w:szCs w:val="20"/>
                <w:color w:val="auto"/>
              </w:rPr>
            </w:pPr>
            <w:r>
              <w:rPr>
                <w:rFonts w:ascii="Arial" w:cs="Arial" w:eastAsia="Arial" w:hAnsi="Arial"/>
                <w:sz w:val="19"/>
                <w:szCs w:val="19"/>
                <w:b w:val="1"/>
                <w:bCs w:val="1"/>
                <w:color w:val="auto"/>
              </w:rPr>
              <w:t>Net Cash Used in Investing Activities</w:t>
            </w:r>
          </w:p>
        </w:tc>
        <w:tc>
          <w:tcPr>
            <w:tcW w:w="10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(10,269,341)</w:t>
            </w:r>
          </w:p>
        </w:tc>
      </w:tr>
      <w:tr>
        <w:trPr>
          <w:trHeight w:val="214"/>
        </w:trPr>
        <w:tc>
          <w:tcPr>
            <w:tcW w:w="8660" w:type="dxa"/>
            <w:vAlign w:val="bottom"/>
            <w:gridSpan w:val="2"/>
          </w:tcPr>
          <w:p>
            <w:pPr>
              <w:spacing w:after="0" w:line="214" w:lineRule="exact"/>
              <w:rPr>
                <w:sz w:val="20"/>
                <w:szCs w:val="20"/>
                <w:color w:val="auto"/>
              </w:rPr>
            </w:pPr>
            <w:r>
              <w:rPr>
                <w:rFonts w:ascii="Arial" w:cs="Arial" w:eastAsia="Arial" w:hAnsi="Arial"/>
                <w:sz w:val="19"/>
                <w:szCs w:val="19"/>
                <w:b w:val="1"/>
                <w:bCs w:val="1"/>
                <w:color w:val="auto"/>
              </w:rPr>
              <w:t>Cash Flows from Financing Activities</w:t>
            </w:r>
          </w:p>
        </w:tc>
        <w:tc>
          <w:tcPr>
            <w:tcW w:w="10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640" w:type="dxa"/>
            <w:vAlign w:val="bottom"/>
          </w:tcPr>
          <w:p>
            <w:pPr>
              <w:ind w:left="240"/>
              <w:spacing w:after="0"/>
              <w:rPr>
                <w:sz w:val="20"/>
                <w:szCs w:val="20"/>
                <w:color w:val="auto"/>
              </w:rPr>
            </w:pPr>
            <w:r>
              <w:rPr>
                <w:rFonts w:ascii="Arial" w:cs="Arial" w:eastAsia="Arial" w:hAnsi="Arial"/>
                <w:sz w:val="19"/>
                <w:szCs w:val="19"/>
                <w:color w:val="auto"/>
              </w:rPr>
              <w:t>Proceeds from borrowings on long-term debt</w:t>
            </w:r>
          </w:p>
        </w:tc>
        <w:tc>
          <w:tcPr>
            <w:tcW w:w="102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524,700</w:t>
            </w:r>
          </w:p>
        </w:tc>
      </w:tr>
      <w:tr>
        <w:trPr>
          <w:trHeight w:val="238"/>
        </w:trPr>
        <w:tc>
          <w:tcPr>
            <w:tcW w:w="20" w:type="dxa"/>
            <w:vAlign w:val="bottom"/>
            <w:tcBorders>
              <w:bottom w:val="single" w:sz="8" w:color="auto"/>
            </w:tcBorders>
          </w:tcPr>
          <w:p>
            <w:pPr>
              <w:spacing w:after="0"/>
              <w:rPr>
                <w:sz w:val="20"/>
                <w:szCs w:val="20"/>
                <w:color w:val="auto"/>
              </w:rPr>
            </w:pPr>
          </w:p>
        </w:tc>
        <w:tc>
          <w:tcPr>
            <w:tcW w:w="8640" w:type="dxa"/>
            <w:vAlign w:val="bottom"/>
            <w:tcBorders>
              <w:bottom w:val="single" w:sz="8" w:color="auto"/>
            </w:tcBorders>
          </w:tcPr>
          <w:p>
            <w:pPr>
              <w:ind w:left="240"/>
              <w:spacing w:after="0"/>
              <w:rPr>
                <w:sz w:val="20"/>
                <w:szCs w:val="20"/>
                <w:color w:val="auto"/>
              </w:rPr>
            </w:pPr>
            <w:r>
              <w:rPr>
                <w:rFonts w:ascii="Arial" w:cs="Arial" w:eastAsia="Arial" w:hAnsi="Arial"/>
                <w:sz w:val="19"/>
                <w:szCs w:val="19"/>
                <w:color w:val="auto"/>
              </w:rPr>
              <w:t>Deferred loan costs</w:t>
            </w:r>
          </w:p>
        </w:tc>
        <w:tc>
          <w:tcPr>
            <w:tcW w:w="10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(28,157)</w:t>
            </w:r>
          </w:p>
        </w:tc>
      </w:tr>
      <w:tr>
        <w:trPr>
          <w:trHeight w:val="223"/>
        </w:trPr>
        <w:tc>
          <w:tcPr>
            <w:tcW w:w="8660" w:type="dxa"/>
            <w:vAlign w:val="bottom"/>
            <w:tcBorders>
              <w:bottom w:val="single" w:sz="8" w:color="auto"/>
            </w:tcBorders>
            <w:gridSpan w:val="2"/>
          </w:tcPr>
          <w:p>
            <w:pPr>
              <w:spacing w:after="0"/>
              <w:rPr>
                <w:sz w:val="20"/>
                <w:szCs w:val="20"/>
                <w:color w:val="auto"/>
              </w:rPr>
            </w:pPr>
            <w:r>
              <w:rPr>
                <w:rFonts w:ascii="Arial" w:cs="Arial" w:eastAsia="Arial" w:hAnsi="Arial"/>
                <w:sz w:val="19"/>
                <w:szCs w:val="19"/>
                <w:b w:val="1"/>
                <w:bCs w:val="1"/>
                <w:color w:val="auto"/>
              </w:rPr>
              <w:t>Net Cash Provided by Financing Activities</w:t>
            </w:r>
          </w:p>
        </w:tc>
        <w:tc>
          <w:tcPr>
            <w:tcW w:w="10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496,543</w:t>
            </w:r>
          </w:p>
        </w:tc>
      </w:tr>
      <w:tr>
        <w:trPr>
          <w:trHeight w:val="208"/>
        </w:trPr>
        <w:tc>
          <w:tcPr>
            <w:tcW w:w="8660" w:type="dxa"/>
            <w:vAlign w:val="bottom"/>
            <w:gridSpan w:val="2"/>
          </w:tcPr>
          <w:p>
            <w:pPr>
              <w:spacing w:after="0" w:line="208" w:lineRule="exact"/>
              <w:rPr>
                <w:sz w:val="20"/>
                <w:szCs w:val="20"/>
                <w:color w:val="auto"/>
              </w:rPr>
            </w:pPr>
            <w:r>
              <w:rPr>
                <w:rFonts w:ascii="Arial" w:cs="Arial" w:eastAsia="Arial" w:hAnsi="Arial"/>
                <w:sz w:val="19"/>
                <w:szCs w:val="19"/>
                <w:b w:val="1"/>
                <w:bCs w:val="1"/>
                <w:color w:val="auto"/>
              </w:rPr>
              <w:t>Net Increase in Cash, Cash Equivalents and Restricted Cash</w:t>
            </w:r>
          </w:p>
        </w:tc>
        <w:tc>
          <w:tcPr>
            <w:tcW w:w="1020" w:type="dxa"/>
            <w:vAlign w:val="bottom"/>
          </w:tcPr>
          <w:p>
            <w:pPr>
              <w:spacing w:after="0"/>
              <w:rPr>
                <w:sz w:val="18"/>
                <w:szCs w:val="18"/>
                <w:color w:val="auto"/>
              </w:rPr>
            </w:pPr>
          </w:p>
        </w:tc>
        <w:tc>
          <w:tcPr>
            <w:tcW w:w="1560" w:type="dxa"/>
            <w:vAlign w:val="bottom"/>
          </w:tcPr>
          <w:p>
            <w:pPr>
              <w:jc w:val="right"/>
              <w:ind w:right="26"/>
              <w:spacing w:after="0" w:line="208" w:lineRule="exact"/>
              <w:rPr>
                <w:sz w:val="20"/>
                <w:szCs w:val="20"/>
                <w:color w:val="auto"/>
              </w:rPr>
            </w:pPr>
            <w:r>
              <w:rPr>
                <w:rFonts w:ascii="Arial" w:cs="Arial" w:eastAsia="Arial" w:hAnsi="Arial"/>
                <w:sz w:val="19"/>
                <w:szCs w:val="19"/>
                <w:color w:val="auto"/>
              </w:rPr>
              <w:t>19,177,701</w:t>
            </w:r>
          </w:p>
        </w:tc>
      </w:tr>
      <w:tr>
        <w:trPr>
          <w:trHeight w:val="244"/>
        </w:trPr>
        <w:tc>
          <w:tcPr>
            <w:tcW w:w="8660" w:type="dxa"/>
            <w:vAlign w:val="bottom"/>
            <w:tcBorders>
              <w:bottom w:val="single" w:sz="8" w:color="auto"/>
            </w:tcBorders>
            <w:gridSpan w:val="2"/>
          </w:tcPr>
          <w:p>
            <w:pPr>
              <w:spacing w:after="0"/>
              <w:rPr>
                <w:sz w:val="20"/>
                <w:szCs w:val="20"/>
                <w:color w:val="auto"/>
              </w:rPr>
            </w:pPr>
            <w:r>
              <w:rPr>
                <w:rFonts w:ascii="Arial" w:cs="Arial" w:eastAsia="Arial" w:hAnsi="Arial"/>
                <w:sz w:val="19"/>
                <w:szCs w:val="19"/>
                <w:b w:val="1"/>
                <w:bCs w:val="1"/>
                <w:color w:val="auto"/>
              </w:rPr>
              <w:t>Cash, Cash Equivalents and Restricted Cash - Beginning of Year</w:t>
            </w:r>
          </w:p>
        </w:tc>
        <w:tc>
          <w:tcPr>
            <w:tcW w:w="10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9,411,670</w:t>
            </w:r>
          </w:p>
        </w:tc>
      </w:tr>
      <w:tr>
        <w:trPr>
          <w:trHeight w:val="223"/>
        </w:trPr>
        <w:tc>
          <w:tcPr>
            <w:tcW w:w="8660" w:type="dxa"/>
            <w:vAlign w:val="bottom"/>
            <w:tcBorders>
              <w:bottom w:val="single" w:sz="8" w:color="auto"/>
            </w:tcBorders>
            <w:gridSpan w:val="2"/>
          </w:tcPr>
          <w:p>
            <w:pPr>
              <w:spacing w:after="0"/>
              <w:rPr>
                <w:sz w:val="20"/>
                <w:szCs w:val="20"/>
                <w:color w:val="auto"/>
              </w:rPr>
            </w:pPr>
            <w:r>
              <w:rPr>
                <w:rFonts w:ascii="Arial" w:cs="Arial" w:eastAsia="Arial" w:hAnsi="Arial"/>
                <w:sz w:val="19"/>
                <w:szCs w:val="19"/>
                <w:b w:val="1"/>
                <w:bCs w:val="1"/>
                <w:color w:val="auto"/>
              </w:rPr>
              <w:t>Cash, Cash Equivalents and Restricted Cash - End of Year</w:t>
            </w: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9"/>
                <w:szCs w:val="19"/>
                <w:color w:val="auto"/>
              </w:rPr>
              <w:t>$</w:t>
            </w: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28,589,371</w:t>
            </w:r>
          </w:p>
        </w:tc>
      </w:tr>
      <w:tr>
        <w:trPr>
          <w:trHeight w:val="214"/>
        </w:trPr>
        <w:tc>
          <w:tcPr>
            <w:tcW w:w="8660" w:type="dxa"/>
            <w:vAlign w:val="bottom"/>
            <w:gridSpan w:val="2"/>
          </w:tcPr>
          <w:p>
            <w:pPr>
              <w:spacing w:after="0" w:line="214" w:lineRule="exact"/>
              <w:rPr>
                <w:sz w:val="20"/>
                <w:szCs w:val="20"/>
                <w:color w:val="auto"/>
              </w:rPr>
            </w:pPr>
            <w:r>
              <w:rPr>
                <w:rFonts w:ascii="Arial" w:cs="Arial" w:eastAsia="Arial" w:hAnsi="Arial"/>
                <w:sz w:val="19"/>
                <w:szCs w:val="19"/>
                <w:b w:val="1"/>
                <w:bCs w:val="1"/>
                <w:color w:val="auto"/>
              </w:rPr>
              <w:t>Non-Cash Investing and Financing Activities</w:t>
            </w:r>
          </w:p>
        </w:tc>
        <w:tc>
          <w:tcPr>
            <w:tcW w:w="10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640" w:type="dxa"/>
            <w:vAlign w:val="bottom"/>
          </w:tcPr>
          <w:p>
            <w:pPr>
              <w:ind w:left="240"/>
              <w:spacing w:after="0"/>
              <w:rPr>
                <w:sz w:val="20"/>
                <w:szCs w:val="20"/>
                <w:color w:val="auto"/>
              </w:rPr>
            </w:pPr>
            <w:r>
              <w:rPr>
                <w:rFonts w:ascii="Arial" w:cs="Arial" w:eastAsia="Arial" w:hAnsi="Arial"/>
                <w:sz w:val="19"/>
                <w:szCs w:val="19"/>
                <w:color w:val="auto"/>
              </w:rPr>
              <w:t>Oil and natural gas properties accrued</w:t>
            </w:r>
          </w:p>
        </w:tc>
        <w:tc>
          <w:tcPr>
            <w:tcW w:w="1020" w:type="dxa"/>
            <w:vAlign w:val="bottom"/>
          </w:tcPr>
          <w:p>
            <w:pPr>
              <w:jc w:val="right"/>
              <w:ind w:right="226"/>
              <w:spacing w:after="0"/>
              <w:rPr>
                <w:sz w:val="20"/>
                <w:szCs w:val="20"/>
                <w:color w:val="auto"/>
              </w:rPr>
            </w:pPr>
            <w:r>
              <w:rPr>
                <w:rFonts w:ascii="Arial" w:cs="Arial" w:eastAsia="Arial" w:hAnsi="Arial"/>
                <w:sz w:val="19"/>
                <w:szCs w:val="19"/>
                <w:color w:val="auto"/>
              </w:rPr>
              <w:t>$</w:t>
            </w: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3,050</w:t>
            </w:r>
          </w:p>
        </w:tc>
      </w:tr>
      <w:tr>
        <w:trPr>
          <w:trHeight w:val="238"/>
        </w:trPr>
        <w:tc>
          <w:tcPr>
            <w:tcW w:w="20" w:type="dxa"/>
            <w:vAlign w:val="bottom"/>
            <w:tcBorders>
              <w:bottom w:val="single" w:sz="8" w:color="auto"/>
            </w:tcBorders>
          </w:tcPr>
          <w:p>
            <w:pPr>
              <w:spacing w:after="0"/>
              <w:rPr>
                <w:sz w:val="20"/>
                <w:szCs w:val="20"/>
                <w:color w:val="auto"/>
              </w:rPr>
            </w:pPr>
          </w:p>
        </w:tc>
        <w:tc>
          <w:tcPr>
            <w:tcW w:w="8640" w:type="dxa"/>
            <w:vAlign w:val="bottom"/>
            <w:tcBorders>
              <w:bottom w:val="single" w:sz="8" w:color="auto"/>
            </w:tcBorders>
          </w:tcPr>
          <w:p>
            <w:pPr>
              <w:ind w:left="240"/>
              <w:spacing w:after="0"/>
              <w:rPr>
                <w:sz w:val="20"/>
                <w:szCs w:val="20"/>
                <w:color w:val="auto"/>
              </w:rPr>
            </w:pPr>
            <w:r>
              <w:rPr>
                <w:rFonts w:ascii="Arial" w:cs="Arial" w:eastAsia="Arial" w:hAnsi="Arial"/>
                <w:sz w:val="19"/>
                <w:szCs w:val="19"/>
                <w:color w:val="auto"/>
              </w:rPr>
              <w:t>Asset retirement obligations</w:t>
            </w: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9"/>
                <w:szCs w:val="19"/>
                <w:color w:val="auto"/>
              </w:rPr>
              <w:t>$</w:t>
            </w: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464,020</w:t>
            </w:r>
          </w:p>
        </w:tc>
      </w:tr>
    </w:tbl>
    <w:p>
      <w:pPr>
        <w:spacing w:after="0" w:line="261"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40" w:lineRule="exact"/>
        <w:rPr>
          <w:sz w:val="20"/>
          <w:szCs w:val="20"/>
          <w:color w:val="auto"/>
        </w:rPr>
      </w:pPr>
    </w:p>
    <w:p>
      <w:pPr>
        <w:ind w:left="420" w:hanging="412"/>
        <w:spacing w:after="0"/>
        <w:tabs>
          <w:tab w:leader="none" w:pos="420" w:val="left"/>
        </w:tabs>
        <w:numPr>
          <w:ilvl w:val="0"/>
          <w:numId w:val="130"/>
        </w:numPr>
        <w:rPr>
          <w:rFonts w:ascii="Arial" w:cs="Arial" w:eastAsia="Arial" w:hAnsi="Arial"/>
          <w:sz w:val="22"/>
          <w:szCs w:val="22"/>
          <w:b w:val="1"/>
          <w:bCs w:val="1"/>
          <w:color w:val="auto"/>
        </w:rPr>
      </w:pPr>
      <w:r>
        <w:rPr>
          <w:rFonts w:ascii="Arial" w:cs="Arial" w:eastAsia="Arial" w:hAnsi="Arial"/>
          <w:sz w:val="22"/>
          <w:szCs w:val="22"/>
          <w:b w:val="1"/>
          <w:bCs w:val="1"/>
          <w:color w:val="auto"/>
        </w:rPr>
        <w:t>Nature of Operations and Organization</w:t>
      </w:r>
    </w:p>
    <w:p>
      <w:pPr>
        <w:spacing w:after="0" w:line="211"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RAM Energy Holdings LLC (“Holdings” or the “Company”) is a Delaware limited liability company, formed in July 2014 and originally was wholly-owned by PennantPark Investment Corporation (“PennantPark”). In May 2021, PennantPark contributed its ownership in Holdings to PNNT Investment Holdings, LLC (“PNNT Investment”), its wholly-owned subsidiary. As a result, Holdings is wholly-owned by PNNT Investment on September 30, 2021.</w:t>
      </w:r>
    </w:p>
    <w:p>
      <w:pPr>
        <w:spacing w:after="0" w:line="188"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Holdings was formed as a holding company for interest ownership in RAM Energy LLC (“RAM”). RAMFayette LLC (“Fayette”) was formed in September 2017 and Fayette Service Company LLC (“Service”) was formed in June 2018, both as wholly-owned subsidiaries of RAM. On October 1, 2019,RAM contributed its ownership in Service to Holdings and Service became wholly-owned by Holdings.Holdings, RAM, Fayette and Service are herein referred to as the “Company.”</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RAM was formed in April 2012 as a privately held, independent oil and natural gas company engaged in the acquisition, exploration, exploitation, development and production of oil and natural gas.</w:t>
      </w:r>
    </w:p>
    <w:p>
      <w:pPr>
        <w:spacing w:after="0" w:line="173"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In July 2018, the Company began a drilling program in the Austin Chalk formation. Fayette was formed to be an owner in the new wells drilled, and Service was formed to invest in gathering andfacilities infrastructure.</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RAM operates exclusively in the upstream segment of the oil and gas industry with activities including the drilling, completion, and operation of oil and natural gas wells. RAM conducts the majority of its operations in the state of Texas, with minor operations in the states of Arkansas, New Mexico and Oklahoma.</w:t>
      </w:r>
    </w:p>
    <w:p>
      <w:pPr>
        <w:spacing w:after="0" w:line="206" w:lineRule="exact"/>
        <w:rPr>
          <w:sz w:val="20"/>
          <w:szCs w:val="20"/>
          <w:color w:val="auto"/>
        </w:rPr>
      </w:pPr>
    </w:p>
    <w:p>
      <w:pPr>
        <w:ind w:left="420" w:hanging="412"/>
        <w:spacing w:after="0"/>
        <w:tabs>
          <w:tab w:leader="none" w:pos="420" w:val="left"/>
        </w:tabs>
        <w:numPr>
          <w:ilvl w:val="0"/>
          <w:numId w:val="131"/>
        </w:numPr>
        <w:rPr>
          <w:rFonts w:ascii="Arial" w:cs="Arial" w:eastAsia="Arial" w:hAnsi="Arial"/>
          <w:sz w:val="22"/>
          <w:szCs w:val="22"/>
          <w:b w:val="1"/>
          <w:bCs w:val="1"/>
          <w:color w:val="auto"/>
        </w:rPr>
      </w:pPr>
      <w:r>
        <w:rPr>
          <w:rFonts w:ascii="Arial" w:cs="Arial" w:eastAsia="Arial" w:hAnsi="Arial"/>
          <w:sz w:val="22"/>
          <w:szCs w:val="22"/>
          <w:b w:val="1"/>
          <w:bCs w:val="1"/>
          <w:color w:val="auto"/>
        </w:rPr>
        <w:t>Summary of Significant Accounting Policies</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Basis of Presentation</w:t>
      </w:r>
    </w:p>
    <w:p>
      <w:pPr>
        <w:spacing w:after="0" w:line="106" w:lineRule="exact"/>
        <w:rPr>
          <w:sz w:val="20"/>
          <w:szCs w:val="20"/>
          <w:color w:val="auto"/>
        </w:rPr>
      </w:pPr>
    </w:p>
    <w:p>
      <w:pPr>
        <w:jc w:val="both"/>
        <w:ind w:right="20"/>
        <w:spacing w:after="0" w:line="289" w:lineRule="auto"/>
        <w:rPr>
          <w:sz w:val="20"/>
          <w:szCs w:val="20"/>
          <w:color w:val="auto"/>
        </w:rPr>
      </w:pPr>
      <w:r>
        <w:rPr>
          <w:rFonts w:ascii="Arial" w:cs="Arial" w:eastAsia="Arial" w:hAnsi="Arial"/>
          <w:sz w:val="18"/>
          <w:szCs w:val="18"/>
          <w:color w:val="auto"/>
        </w:rPr>
        <w:t>The accompanying consolidated financial statements include the accounts of Holdings, its wholly- owned subsidiaries, RAM and Service, and RAM’s wholly-owned subsidiary, Fayette. All significant intercompany accounts and transactions have been eliminated in consolidation.</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Property and Equipment</w:t>
      </w:r>
    </w:p>
    <w:p>
      <w:pPr>
        <w:spacing w:after="0" w:line="10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follows the full cost method of accounting for oil and natural gas properties. Under this method, all productive and nonproductive costs incurred in connection with the acquisition, exploration, and development of oil and natural gas reserves are capitalized. No gains or losses are recognized upon the sale or other disposition of oil and natural gas properties except in transactions that would significantly alter the relationship between capitalized costs and proved reserves. The costs of unproved oil and natural gas properties are excluded from the amortizable base until the time that either proven reserves are found or it has been determined that such properties are impaired. As properties become evaluated, the related costs are transferred to proved oil and natural gas properties.</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Under the full cost method, the net book value of oil and natural gas properties may not exceed theestimated after-tax future net revenues from proved oil and natural gas properties, discounted at 10% (the “Ceiling Limitation”). In arriving at estimated future net revenues, estimated lease operating expenses, development costs, and certain production-related and ad valorem taxes are deducted.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In calculating future net revenues, prices and costs are held constant indefinitely, except for changes that are fixed and determinable by existing contracts. The net book value is compared to the Ceiling Limitation and the excess, if any, of the net book value above the Ceiling Limitation is charged to expense in the period in which it occurs and is not subsequently reinstated. At September30, 2021, the net book value of the Company’s oil and natural gas properties did not exceed the Ceiling Limitation.</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costs directly associated with unevaluated oil and natural gas properties are not initially included in the amortization base and relate to unproved leasehold acreage, seismic data, wells and production facilities in progress and wells pending determination. Unevaluated leasehold costs are transferred to the amortization base once determination has been made or upon expiration of a lease. Geological and geophysical costs and cumulative drilling costs to date associated with a specific unproved property are transferred to the amortization base with the associated leasehold costs on a specific project basis. Costs associated with wells in progress and wells pending determination are transferred to the amortization base once a determination is made whether or not proved reserves can be assigned to the property. All costs included in the Company’s unprovedproperty balance are assessed on a periodic basis for possible impairment or reduction in value. The assessment includes consideration of numerous factors, including intent to drill, remaining lease term, geological and geophysical evaluations, drilling results and activity, assignment of proved reserves and economic viability of development if proved reserves are assigned. Any impairments of unevaluated properties are transferred to the amortization base. The Company did not have anyimpairment of its unproved oil and gas properties for the year ended September 30, 2021.</w:t>
      </w:r>
    </w:p>
    <w:p>
      <w:pPr>
        <w:spacing w:after="0" w:line="16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Other property and equipment consists principally of furniture and equipment and leasehold improvements. Other property and equipment and related accumulated depreciation and amortization are relieved upon retirement or sale and the gain or loss is included in operations. Renewals and replacements that extend the useful life of property and equipment are treated as capital additions.</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Depreciation, Depletion and Amortization</w:t>
      </w:r>
    </w:p>
    <w:p>
      <w:pPr>
        <w:spacing w:after="0" w:line="106"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All capitalized costs of oil and natural gas properties and equipment, including the estimated future costs to develop proved reserves, are amortized using the unit-of-production method based on total proved reserves. Depreciation of gathering assets and related facilities, and other equipment is computed on the straight-line method over the estimated useful lives of the assets, generally ranging from 3 to 30 years. Amortization of leasehold improvements is computed based on the straight-line method over the term of the associated lease or estimated useful life, whichever is shorter.</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color w:val="auto"/>
        </w:rPr>
        <w:t>Depreciation expense of other property and equipment for the year ended September 30, 2021 wasapproximately $616 thousand.</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and Cash Equivalents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All highly liquid unrestricted investments with a maturity of three months or less when purchased are considered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Restricted Cash</w:t>
      </w:r>
    </w:p>
    <w:p>
      <w:pPr>
        <w:spacing w:after="0" w:line="10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At September 30, 2021, the Company had approximately $1.1 million in certificates of deposit held as collateral for letters of credit for the beneficiary of states for the purpose of plugging and abandonment costs of the wells in which the Company has an interest. Such amounts are classifiedas restricted cash in the accompanying consolidated balance sheet.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right="20"/>
        <w:spacing w:after="0" w:line="261" w:lineRule="auto"/>
        <w:rPr>
          <w:sz w:val="20"/>
          <w:szCs w:val="20"/>
          <w:color w:val="auto"/>
        </w:rPr>
      </w:pPr>
      <w:r>
        <w:rPr>
          <w:rFonts w:ascii="Arial" w:cs="Arial" w:eastAsia="Arial" w:hAnsi="Arial"/>
          <w:sz w:val="19"/>
          <w:szCs w:val="19"/>
          <w:color w:val="auto"/>
        </w:rPr>
        <w:t>The following table provides a reconciliation of cash, cash equivalents, and restricted cash reportedwithin the statement of financial position that sum to the total of the same such amounts shown inthe consolidated statement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62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i w:val="1"/>
                <w:iCs w:val="1"/>
                <w:color w:val="auto"/>
              </w:rPr>
              <w:t>September 30,</w:t>
            </w:r>
          </w:p>
        </w:tc>
        <w:tc>
          <w:tcPr>
            <w:tcW w:w="20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766"/>
              <w:spacing w:after="0"/>
              <w:rPr>
                <w:sz w:val="20"/>
                <w:szCs w:val="20"/>
                <w:color w:val="auto"/>
              </w:rPr>
            </w:pPr>
            <w:r>
              <w:rPr>
                <w:rFonts w:ascii="Arial" w:cs="Arial" w:eastAsia="Arial" w:hAnsi="Arial"/>
                <w:sz w:val="19"/>
                <w:szCs w:val="19"/>
                <w:b w:val="1"/>
                <w:bCs w:val="1"/>
                <w:color w:val="auto"/>
              </w:rPr>
              <w:t>2021</w:t>
            </w:r>
          </w:p>
        </w:tc>
      </w:tr>
      <w:tr>
        <w:trPr>
          <w:trHeight w:val="214"/>
        </w:trPr>
        <w:tc>
          <w:tcPr>
            <w:tcW w:w="7620" w:type="dxa"/>
            <w:vAlign w:val="bottom"/>
          </w:tcPr>
          <w:p>
            <w:pPr>
              <w:spacing w:after="0" w:line="214" w:lineRule="exact"/>
              <w:rPr>
                <w:sz w:val="20"/>
                <w:szCs w:val="20"/>
                <w:color w:val="auto"/>
              </w:rPr>
            </w:pPr>
            <w:r>
              <w:rPr>
                <w:rFonts w:ascii="Arial" w:cs="Arial" w:eastAsia="Arial" w:hAnsi="Arial"/>
                <w:sz w:val="19"/>
                <w:szCs w:val="19"/>
                <w:color w:val="auto"/>
              </w:rPr>
              <w:t>Cash and cash equivalents</w:t>
            </w:r>
          </w:p>
        </w:tc>
        <w:tc>
          <w:tcPr>
            <w:tcW w:w="2060" w:type="dxa"/>
            <w:vAlign w:val="bottom"/>
          </w:tcPr>
          <w:p>
            <w:pPr>
              <w:jc w:val="right"/>
              <w:ind w:right="226"/>
              <w:spacing w:after="0" w:line="214" w:lineRule="exact"/>
              <w:rPr>
                <w:sz w:val="20"/>
                <w:szCs w:val="20"/>
                <w:color w:val="auto"/>
              </w:rPr>
            </w:pPr>
            <w:r>
              <w:rPr>
                <w:rFonts w:ascii="Arial" w:cs="Arial" w:eastAsia="Arial" w:hAnsi="Arial"/>
                <w:sz w:val="19"/>
                <w:szCs w:val="19"/>
                <w:color w:val="auto"/>
              </w:rPr>
              <w:t>$</w:t>
            </w:r>
          </w:p>
        </w:tc>
        <w:tc>
          <w:tcPr>
            <w:tcW w:w="1560" w:type="dxa"/>
            <w:vAlign w:val="bottom"/>
          </w:tcPr>
          <w:p>
            <w:pPr>
              <w:jc w:val="right"/>
              <w:ind w:right="26"/>
              <w:spacing w:after="0" w:line="214" w:lineRule="exact"/>
              <w:rPr>
                <w:sz w:val="20"/>
                <w:szCs w:val="20"/>
                <w:color w:val="auto"/>
              </w:rPr>
            </w:pPr>
            <w:r>
              <w:rPr>
                <w:rFonts w:ascii="Arial" w:cs="Arial" w:eastAsia="Arial" w:hAnsi="Arial"/>
                <w:sz w:val="19"/>
                <w:szCs w:val="19"/>
                <w:color w:val="auto"/>
              </w:rPr>
              <w:t>27,466,302</w:t>
            </w:r>
          </w:p>
        </w:tc>
      </w:tr>
      <w:tr>
        <w:trPr>
          <w:trHeight w:val="238"/>
        </w:trPr>
        <w:tc>
          <w:tcPr>
            <w:tcW w:w="762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Restricted cash included in other long-term assets</w:t>
            </w:r>
          </w:p>
        </w:tc>
        <w:tc>
          <w:tcPr>
            <w:tcW w:w="20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1,123,069</w:t>
            </w:r>
          </w:p>
        </w:tc>
      </w:tr>
      <w:tr>
        <w:trPr>
          <w:trHeight w:val="195"/>
        </w:trPr>
        <w:tc>
          <w:tcPr>
            <w:tcW w:w="7620" w:type="dxa"/>
            <w:vAlign w:val="bottom"/>
          </w:tcPr>
          <w:p>
            <w:pPr>
              <w:spacing w:after="0" w:line="194" w:lineRule="exact"/>
              <w:rPr>
                <w:sz w:val="20"/>
                <w:szCs w:val="20"/>
                <w:color w:val="auto"/>
              </w:rPr>
            </w:pPr>
            <w:r>
              <w:rPr>
                <w:rFonts w:ascii="Arial" w:cs="Arial" w:eastAsia="Arial" w:hAnsi="Arial"/>
                <w:sz w:val="19"/>
                <w:szCs w:val="19"/>
                <w:b w:val="1"/>
                <w:bCs w:val="1"/>
                <w:color w:val="auto"/>
              </w:rPr>
              <w:t>Total cash, cash equivalents, and restricted cash shown in the statement of</w:t>
            </w:r>
          </w:p>
        </w:tc>
        <w:tc>
          <w:tcPr>
            <w:tcW w:w="206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44"/>
        </w:trPr>
        <w:tc>
          <w:tcPr>
            <w:tcW w:w="7620" w:type="dxa"/>
            <w:vAlign w:val="bottom"/>
            <w:tcBorders>
              <w:bottom w:val="single" w:sz="8" w:color="auto"/>
            </w:tcBorders>
          </w:tcPr>
          <w:p>
            <w:pPr>
              <w:ind w:left="140"/>
              <w:spacing w:after="0"/>
              <w:rPr>
                <w:sz w:val="20"/>
                <w:szCs w:val="20"/>
                <w:color w:val="auto"/>
              </w:rPr>
            </w:pPr>
            <w:r>
              <w:rPr>
                <w:rFonts w:ascii="Arial" w:cs="Arial" w:eastAsia="Arial" w:hAnsi="Arial"/>
                <w:sz w:val="19"/>
                <w:szCs w:val="19"/>
                <w:b w:val="1"/>
                <w:bCs w:val="1"/>
                <w:color w:val="auto"/>
              </w:rPr>
              <w:t>cash flows</w:t>
            </w:r>
          </w:p>
        </w:tc>
        <w:tc>
          <w:tcPr>
            <w:tcW w:w="2060" w:type="dxa"/>
            <w:vAlign w:val="bottom"/>
            <w:tcBorders>
              <w:bottom w:val="single" w:sz="8" w:color="auto"/>
            </w:tcBorders>
          </w:tcPr>
          <w:p>
            <w:pPr>
              <w:jc w:val="right"/>
              <w:ind w:right="226"/>
              <w:spacing w:after="0"/>
              <w:rPr>
                <w:sz w:val="20"/>
                <w:szCs w:val="20"/>
                <w:color w:val="auto"/>
              </w:rPr>
            </w:pPr>
            <w:r>
              <w:rPr>
                <w:rFonts w:ascii="Arial" w:cs="Arial" w:eastAsia="Arial" w:hAnsi="Arial"/>
                <w:sz w:val="19"/>
                <w:szCs w:val="19"/>
                <w:color w:val="auto"/>
              </w:rPr>
              <w:t>$</w:t>
            </w: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28,589,371</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Concentrations of Credit Risk</w:t>
      </w:r>
    </w:p>
    <w:p>
      <w:pPr>
        <w:spacing w:after="0" w:line="1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Company sells oil and natural gas to various customers and participates with other parties in the drilling, completion and operation of oil and natural gas wells. Joint interest and oil and natural gas sales receivables related to these operations are generally unsecured. For the year ended September 30, 2021, over 90% of total revenues and total receivables were from two customers. The Company provides an allowance for doubtful accounts for certain purchasers and certain joint interest owners’ receivable balances when the Company believes the receivable balance may not be collected. Accounts receivable are presented net of the related allowance for doubtful accounts. At September 30, 2021, the allowance for doubtful accounts was $4 thousand.</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In 2021, the Company had cash deposits in certain banks that at times exceeded the maximum insured by the Federal Deposit Insurance Corporation.</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The Company monitors the financial conditionof the banks and has experienced no losses on these accounts.</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 and Administrative Expenses</w:t>
      </w:r>
    </w:p>
    <w:p>
      <w:pPr>
        <w:spacing w:after="0" w:line="106"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The Company receives fees for the operation of jointly owned oil and natural gas properties and records such reimbursements as reductions of general and administrative expenses. Such fees totaled approximately $0.5 million for the year ended September 30, 2021.</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Use of Estimates</w:t>
      </w:r>
    </w:p>
    <w:p>
      <w:pPr>
        <w:spacing w:after="0" w:line="10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Estimates and assumptions that, in the opinion of management are significant, include oil and natural gas reserves which are utilized in the calculations of, depreciation, depletion and amortization related to oil and natural gas properties, asset retirement obligations and derivative instrument valuations. The Company evaluates its estimates and assumptions on a regular basis. Estimates are based on historical experience and various other assumptions that are believed to be reasonable under the circumstances. Actual results may differ from these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Oil and Natural Gas Reserves Estimates</w:t>
      </w:r>
    </w:p>
    <w:p>
      <w:pPr>
        <w:spacing w:after="0" w:line="10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Independent petroleum and geological engineers prepare estimates of the Company’s oil and natural gas reserves. Proved reserves and the estimated future net revenues are estimated based upon a combination of historical data and estimates of future activity. Consistent with Topic 932 – </w:t>
      </w:r>
      <w:r>
        <w:rPr>
          <w:rFonts w:ascii="Arial" w:cs="Arial" w:eastAsia="Arial" w:hAnsi="Arial"/>
          <w:sz w:val="18"/>
          <w:szCs w:val="18"/>
          <w:i w:val="1"/>
          <w:iCs w:val="1"/>
          <w:color w:val="auto"/>
        </w:rPr>
        <w:t>Extractive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Activities-Oil and Gas </w:t>
      </w:r>
      <w:r>
        <w:rPr>
          <w:rFonts w:ascii="Arial" w:cs="Arial" w:eastAsia="Arial" w:hAnsi="Arial"/>
          <w:sz w:val="18"/>
          <w:szCs w:val="18"/>
          <w:color w:val="auto"/>
        </w:rPr>
        <w:t>of the Codification, at September 30, 2021, the Company calculated its estimate of proved reserves using a twelve month</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price, calculated as the unweighted arithmetic average of the first-day-of-the-month price for each period within the twelve-month period prior to the end of the reporting period. The reserve estimates are used in the assessment of the Company’s ceiling limitation and in calculating depreciation, depletion and amortization. Significant assumptions are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353" w:lineRule="exact"/>
        <w:rPr>
          <w:sz w:val="20"/>
          <w:szCs w:val="20"/>
          <w:color w:val="auto"/>
        </w:rPr>
      </w:pPr>
    </w:p>
    <w:p>
      <w:pPr>
        <w:jc w:val="both"/>
        <w:ind w:right="20"/>
        <w:spacing w:after="0" w:line="261" w:lineRule="auto"/>
        <w:rPr>
          <w:sz w:val="20"/>
          <w:szCs w:val="20"/>
          <w:color w:val="auto"/>
        </w:rPr>
      </w:pPr>
      <w:r>
        <w:rPr>
          <w:rFonts w:ascii="Arial" w:cs="Arial" w:eastAsia="Arial" w:hAnsi="Arial"/>
          <w:sz w:val="19"/>
          <w:szCs w:val="19"/>
          <w:color w:val="auto"/>
        </w:rPr>
        <w:t>required in the valuation of proved oil and natural gas reserves which, as described herein, may affect the amount at which oil and natural gas propertiesare recorded. Actual results could differ materially from these estimates.</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Asset Retirement Obligations</w:t>
      </w:r>
    </w:p>
    <w:p>
      <w:pPr>
        <w:spacing w:after="0" w:line="92" w:lineRule="exact"/>
        <w:rPr>
          <w:sz w:val="20"/>
          <w:szCs w:val="20"/>
          <w:color w:val="auto"/>
        </w:rPr>
      </w:pPr>
    </w:p>
    <w:p>
      <w:pPr>
        <w:jc w:val="both"/>
        <w:ind w:right="20"/>
        <w:spacing w:after="0" w:line="243" w:lineRule="auto"/>
        <w:rPr>
          <w:sz w:val="20"/>
          <w:szCs w:val="20"/>
          <w:color w:val="auto"/>
        </w:rPr>
      </w:pPr>
      <w:r>
        <w:rPr>
          <w:rFonts w:ascii="Arial" w:cs="Arial" w:eastAsia="Arial" w:hAnsi="Arial"/>
          <w:sz w:val="19"/>
          <w:szCs w:val="19"/>
          <w:color w:val="auto"/>
        </w:rPr>
        <w:t>The fair value of a liability for an asset retirement obligation is recognized in the period in which it is incurred if a reasonable estimate of fair value can be made, and the associated asset retirementcosts are capitalized as part of the carrying amount of the long-lived asset. The Company determines its asset retirement obligations on its oil and natural gas properties by calculating the present value of the estimated cash flows related to the estimated liability. Periodic accretion of the discount ofthe estimated liability associated with the Company’s oil and natural gas properties is recorded in the consolidated statement of operations.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940" w:type="dxa"/>
            <w:vAlign w:val="bottom"/>
          </w:tcPr>
          <w:p>
            <w:pPr>
              <w:spacing w:after="0"/>
              <w:rPr>
                <w:sz w:val="20"/>
                <w:szCs w:val="20"/>
                <w:color w:val="auto"/>
              </w:rPr>
            </w:pPr>
            <w:r>
              <w:rPr>
                <w:rFonts w:ascii="Arial" w:cs="Arial" w:eastAsia="Arial" w:hAnsi="Arial"/>
                <w:sz w:val="19"/>
                <w:szCs w:val="19"/>
                <w:color w:val="auto"/>
              </w:rPr>
              <w:t>The Company recorded the following activity related to the asset retirement obligations:</w:t>
            </w:r>
          </w:p>
        </w:tc>
        <w:tc>
          <w:tcPr>
            <w:tcW w:w="17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30"/>
        </w:trPr>
        <w:tc>
          <w:tcPr>
            <w:tcW w:w="79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i w:val="1"/>
                <w:iCs w:val="1"/>
                <w:color w:val="auto"/>
              </w:rPr>
              <w:t>Year Ended September 30,</w:t>
            </w:r>
          </w:p>
        </w:tc>
        <w:tc>
          <w:tcPr>
            <w:tcW w:w="17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766"/>
              <w:spacing w:after="0"/>
              <w:rPr>
                <w:sz w:val="20"/>
                <w:szCs w:val="20"/>
                <w:color w:val="auto"/>
              </w:rPr>
            </w:pPr>
            <w:r>
              <w:rPr>
                <w:rFonts w:ascii="Arial" w:cs="Arial" w:eastAsia="Arial" w:hAnsi="Arial"/>
                <w:sz w:val="19"/>
                <w:szCs w:val="19"/>
                <w:b w:val="1"/>
                <w:bCs w:val="1"/>
                <w:color w:val="auto"/>
              </w:rPr>
              <w:t>2021</w:t>
            </w:r>
          </w:p>
        </w:tc>
      </w:tr>
      <w:tr>
        <w:trPr>
          <w:trHeight w:val="214"/>
        </w:trPr>
        <w:tc>
          <w:tcPr>
            <w:tcW w:w="7940" w:type="dxa"/>
            <w:vAlign w:val="bottom"/>
          </w:tcPr>
          <w:p>
            <w:pPr>
              <w:spacing w:after="0" w:line="214" w:lineRule="exact"/>
              <w:rPr>
                <w:sz w:val="20"/>
                <w:szCs w:val="20"/>
                <w:color w:val="auto"/>
              </w:rPr>
            </w:pPr>
            <w:r>
              <w:rPr>
                <w:rFonts w:ascii="Arial" w:cs="Arial" w:eastAsia="Arial" w:hAnsi="Arial"/>
                <w:sz w:val="19"/>
                <w:szCs w:val="19"/>
                <w:b w:val="1"/>
                <w:bCs w:val="1"/>
                <w:color w:val="auto"/>
              </w:rPr>
              <w:t>Liability for Asset Retirement Obligations, Beginning of Year</w:t>
            </w:r>
          </w:p>
        </w:tc>
        <w:tc>
          <w:tcPr>
            <w:tcW w:w="1740" w:type="dxa"/>
            <w:vAlign w:val="bottom"/>
          </w:tcPr>
          <w:p>
            <w:pPr>
              <w:jc w:val="right"/>
              <w:ind w:right="226"/>
              <w:spacing w:after="0" w:line="214" w:lineRule="exact"/>
              <w:rPr>
                <w:sz w:val="20"/>
                <w:szCs w:val="20"/>
                <w:color w:val="auto"/>
              </w:rPr>
            </w:pPr>
            <w:r>
              <w:rPr>
                <w:rFonts w:ascii="Arial" w:cs="Arial" w:eastAsia="Arial" w:hAnsi="Arial"/>
                <w:sz w:val="19"/>
                <w:szCs w:val="19"/>
                <w:color w:val="auto"/>
              </w:rPr>
              <w:t>$</w:t>
            </w:r>
          </w:p>
        </w:tc>
        <w:tc>
          <w:tcPr>
            <w:tcW w:w="1560" w:type="dxa"/>
            <w:vAlign w:val="bottom"/>
          </w:tcPr>
          <w:p>
            <w:pPr>
              <w:jc w:val="right"/>
              <w:ind w:right="26"/>
              <w:spacing w:after="0" w:line="214" w:lineRule="exact"/>
              <w:rPr>
                <w:sz w:val="20"/>
                <w:szCs w:val="20"/>
                <w:color w:val="auto"/>
              </w:rPr>
            </w:pPr>
            <w:r>
              <w:rPr>
                <w:rFonts w:ascii="Arial" w:cs="Arial" w:eastAsia="Arial" w:hAnsi="Arial"/>
                <w:sz w:val="19"/>
                <w:szCs w:val="19"/>
                <w:color w:val="auto"/>
              </w:rPr>
              <w:t>5,731,021</w:t>
            </w:r>
          </w:p>
        </w:tc>
      </w:tr>
      <w:tr>
        <w:trPr>
          <w:trHeight w:val="230"/>
        </w:trPr>
        <w:tc>
          <w:tcPr>
            <w:tcW w:w="7940" w:type="dxa"/>
            <w:vAlign w:val="bottom"/>
          </w:tcPr>
          <w:p>
            <w:pPr>
              <w:ind w:left="260"/>
              <w:spacing w:after="0"/>
              <w:rPr>
                <w:sz w:val="20"/>
                <w:szCs w:val="20"/>
                <w:color w:val="auto"/>
              </w:rPr>
            </w:pPr>
            <w:r>
              <w:rPr>
                <w:rFonts w:ascii="Arial" w:cs="Arial" w:eastAsia="Arial" w:hAnsi="Arial"/>
                <w:sz w:val="19"/>
                <w:szCs w:val="19"/>
                <w:color w:val="auto"/>
              </w:rPr>
              <w:t>Accretion expense</w:t>
            </w:r>
          </w:p>
        </w:tc>
        <w:tc>
          <w:tcPr>
            <w:tcW w:w="174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608,494</w:t>
            </w:r>
          </w:p>
        </w:tc>
      </w:tr>
      <w:tr>
        <w:trPr>
          <w:trHeight w:val="229"/>
        </w:trPr>
        <w:tc>
          <w:tcPr>
            <w:tcW w:w="7940" w:type="dxa"/>
            <w:vAlign w:val="bottom"/>
          </w:tcPr>
          <w:p>
            <w:pPr>
              <w:ind w:left="260"/>
              <w:spacing w:after="0"/>
              <w:rPr>
                <w:sz w:val="20"/>
                <w:szCs w:val="20"/>
                <w:color w:val="auto"/>
              </w:rPr>
            </w:pPr>
            <w:r>
              <w:rPr>
                <w:rFonts w:ascii="Arial" w:cs="Arial" w:eastAsia="Arial" w:hAnsi="Arial"/>
                <w:sz w:val="19"/>
                <w:szCs w:val="19"/>
                <w:color w:val="auto"/>
              </w:rPr>
              <w:t>Additions</w:t>
            </w:r>
          </w:p>
        </w:tc>
        <w:tc>
          <w:tcPr>
            <w:tcW w:w="174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132,169</w:t>
            </w:r>
          </w:p>
        </w:tc>
      </w:tr>
      <w:tr>
        <w:trPr>
          <w:trHeight w:val="229"/>
        </w:trPr>
        <w:tc>
          <w:tcPr>
            <w:tcW w:w="7940" w:type="dxa"/>
            <w:vAlign w:val="bottom"/>
          </w:tcPr>
          <w:p>
            <w:pPr>
              <w:ind w:left="260"/>
              <w:spacing w:after="0"/>
              <w:rPr>
                <w:sz w:val="20"/>
                <w:szCs w:val="20"/>
                <w:color w:val="auto"/>
              </w:rPr>
            </w:pPr>
            <w:r>
              <w:rPr>
                <w:rFonts w:ascii="Arial" w:cs="Arial" w:eastAsia="Arial" w:hAnsi="Arial"/>
                <w:sz w:val="19"/>
                <w:szCs w:val="19"/>
                <w:color w:val="auto"/>
              </w:rPr>
              <w:t>Obligations for wells sold</w:t>
            </w:r>
          </w:p>
        </w:tc>
        <w:tc>
          <w:tcPr>
            <w:tcW w:w="17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(568,413)</w:t>
            </w:r>
          </w:p>
        </w:tc>
      </w:tr>
      <w:tr>
        <w:trPr>
          <w:trHeight w:val="230"/>
        </w:trPr>
        <w:tc>
          <w:tcPr>
            <w:tcW w:w="7940" w:type="dxa"/>
            <w:vAlign w:val="bottom"/>
          </w:tcPr>
          <w:p>
            <w:pPr>
              <w:ind w:left="260"/>
              <w:spacing w:after="0"/>
              <w:rPr>
                <w:sz w:val="20"/>
                <w:szCs w:val="20"/>
                <w:color w:val="auto"/>
              </w:rPr>
            </w:pPr>
            <w:r>
              <w:rPr>
                <w:rFonts w:ascii="Arial" w:cs="Arial" w:eastAsia="Arial" w:hAnsi="Arial"/>
                <w:sz w:val="19"/>
                <w:szCs w:val="19"/>
                <w:color w:val="auto"/>
              </w:rPr>
              <w:t>Settlements</w:t>
            </w:r>
          </w:p>
        </w:tc>
        <w:tc>
          <w:tcPr>
            <w:tcW w:w="17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(647,654)</w:t>
            </w:r>
          </w:p>
        </w:tc>
      </w:tr>
      <w:tr>
        <w:trPr>
          <w:trHeight w:val="238"/>
        </w:trPr>
        <w:tc>
          <w:tcPr>
            <w:tcW w:w="794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Changes in estimates</w:t>
            </w:r>
          </w:p>
        </w:tc>
        <w:tc>
          <w:tcPr>
            <w:tcW w:w="17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(27,776)</w:t>
            </w:r>
          </w:p>
        </w:tc>
      </w:tr>
      <w:tr>
        <w:trPr>
          <w:trHeight w:val="214"/>
        </w:trPr>
        <w:tc>
          <w:tcPr>
            <w:tcW w:w="7940" w:type="dxa"/>
            <w:vAlign w:val="bottom"/>
          </w:tcPr>
          <w:p>
            <w:pPr>
              <w:spacing w:after="0" w:line="214" w:lineRule="exact"/>
              <w:rPr>
                <w:sz w:val="20"/>
                <w:szCs w:val="20"/>
                <w:color w:val="auto"/>
              </w:rPr>
            </w:pPr>
            <w:r>
              <w:rPr>
                <w:rFonts w:ascii="Arial" w:cs="Arial" w:eastAsia="Arial" w:hAnsi="Arial"/>
                <w:sz w:val="19"/>
                <w:szCs w:val="19"/>
                <w:b w:val="1"/>
                <w:bCs w:val="1"/>
                <w:color w:val="auto"/>
              </w:rPr>
              <w:t>Liability for Asset Retirement Obligations, End of Year</w:t>
            </w:r>
          </w:p>
        </w:tc>
        <w:tc>
          <w:tcPr>
            <w:tcW w:w="1740" w:type="dxa"/>
            <w:vAlign w:val="bottom"/>
          </w:tcPr>
          <w:p>
            <w:pPr>
              <w:spacing w:after="0"/>
              <w:rPr>
                <w:sz w:val="18"/>
                <w:szCs w:val="18"/>
                <w:color w:val="auto"/>
              </w:rPr>
            </w:pPr>
          </w:p>
        </w:tc>
        <w:tc>
          <w:tcPr>
            <w:tcW w:w="1560" w:type="dxa"/>
            <w:vAlign w:val="bottom"/>
          </w:tcPr>
          <w:p>
            <w:pPr>
              <w:jc w:val="right"/>
              <w:ind w:right="26"/>
              <w:spacing w:after="0" w:line="214" w:lineRule="exact"/>
              <w:rPr>
                <w:sz w:val="20"/>
                <w:szCs w:val="20"/>
                <w:color w:val="auto"/>
              </w:rPr>
            </w:pPr>
            <w:r>
              <w:rPr>
                <w:rFonts w:ascii="Arial" w:cs="Arial" w:eastAsia="Arial" w:hAnsi="Arial"/>
                <w:sz w:val="19"/>
                <w:szCs w:val="19"/>
                <w:color w:val="auto"/>
              </w:rPr>
              <w:t>5,227,841</w:t>
            </w:r>
          </w:p>
        </w:tc>
      </w:tr>
      <w:tr>
        <w:trPr>
          <w:trHeight w:val="238"/>
        </w:trPr>
        <w:tc>
          <w:tcPr>
            <w:tcW w:w="79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Less: Current asset retirement obligations</w:t>
            </w:r>
          </w:p>
        </w:tc>
        <w:tc>
          <w:tcPr>
            <w:tcW w:w="17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780,292</w:t>
            </w:r>
          </w:p>
        </w:tc>
      </w:tr>
      <w:tr>
        <w:trPr>
          <w:trHeight w:val="223"/>
        </w:trPr>
        <w:tc>
          <w:tcPr>
            <w:tcW w:w="79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Long-Term Asset Retirement Obligations</w:t>
            </w:r>
          </w:p>
        </w:tc>
        <w:tc>
          <w:tcPr>
            <w:tcW w:w="1740" w:type="dxa"/>
            <w:vAlign w:val="bottom"/>
            <w:tcBorders>
              <w:bottom w:val="single" w:sz="8" w:color="auto"/>
            </w:tcBorders>
          </w:tcPr>
          <w:p>
            <w:pPr>
              <w:jc w:val="right"/>
              <w:ind w:right="226"/>
              <w:spacing w:after="0"/>
              <w:rPr>
                <w:sz w:val="20"/>
                <w:szCs w:val="20"/>
                <w:color w:val="auto"/>
              </w:rPr>
            </w:pPr>
            <w:r>
              <w:rPr>
                <w:rFonts w:ascii="Arial" w:cs="Arial" w:eastAsia="Arial" w:hAnsi="Arial"/>
                <w:sz w:val="19"/>
                <w:szCs w:val="19"/>
                <w:color w:val="auto"/>
              </w:rPr>
              <w:t>$</w:t>
            </w: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4,447,549</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Revenue Recognition</w:t>
      </w:r>
    </w:p>
    <w:p>
      <w:pPr>
        <w:spacing w:after="0" w:line="92"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On October 1, 2020, the Company adopted Accounting Standards update (“ASU”) No. 2019-09, Revenue from Contracts with Customers (“ASC 606”), which supersedes the revenue recognition requirements in Accounting Standards Codification 605, Revenue Recognition. The Financial Accounting Standards Board (“FASB”) has also issued several amendments (ASU 2015-14, ASU 2016- 10, ASU 2016-12 and ASU 2016-20) clarifying different aspects of ASC 606. See Note 3 – Revenue from Contracts with Customers.</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Income Taxes</w:t>
      </w:r>
    </w:p>
    <w:p>
      <w:pPr>
        <w:spacing w:after="0" w:line="92"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auto"/>
        </w:rPr>
        <w:t>RAM, Fayette and Service are disregarded subsidiaries of Holdings. Upon its formation, Holdings elected to be classified as a corporation. On May 31, 2021, Holdings became a wholly-owned subsidiary of PNNT Investment and elected to be a disregarded entity after this change in ownership. There was no tax impact to the Company as this was treated as a tax-free reorganization under Section 368(a)(1)(D) of the Internal Revenue Code. The following table presents the deferred tax balances as of May 31, 2021.</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May 31, 2021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800" w:type="dxa"/>
            <w:vAlign w:val="bottom"/>
            <w:tcBorders>
              <w:top w:val="single" w:sz="8" w:color="auto"/>
            </w:tcBorders>
          </w:tcPr>
          <w:p>
            <w:pPr>
              <w:spacing w:after="0" w:line="214" w:lineRule="exact"/>
              <w:rPr>
                <w:sz w:val="20"/>
                <w:szCs w:val="20"/>
                <w:color w:val="auto"/>
              </w:rPr>
            </w:pPr>
            <w:r>
              <w:rPr>
                <w:rFonts w:ascii="Arial" w:cs="Arial" w:eastAsia="Arial" w:hAnsi="Arial"/>
                <w:sz w:val="19"/>
                <w:szCs w:val="19"/>
                <w:color w:val="auto"/>
              </w:rPr>
              <w:t>Depreciable/depletable property, plant and equipment</w:t>
            </w:r>
          </w:p>
        </w:tc>
        <w:tc>
          <w:tcPr>
            <w:tcW w:w="4980" w:type="dxa"/>
            <w:vAlign w:val="bottom"/>
            <w:tcBorders>
              <w:top w:val="single" w:sz="8" w:color="auto"/>
            </w:tcBorders>
          </w:tcPr>
          <w:p>
            <w:pPr>
              <w:jc w:val="right"/>
              <w:ind w:right="326"/>
              <w:spacing w:after="0" w:line="214" w:lineRule="exact"/>
              <w:rPr>
                <w:sz w:val="20"/>
                <w:szCs w:val="20"/>
                <w:color w:val="auto"/>
              </w:rPr>
            </w:pPr>
            <w:r>
              <w:rPr>
                <w:rFonts w:ascii="Arial" w:cs="Arial" w:eastAsia="Arial" w:hAnsi="Arial"/>
                <w:sz w:val="19"/>
                <w:szCs w:val="19"/>
                <w:color w:val="auto"/>
              </w:rPr>
              <w:t>$</w:t>
            </w:r>
          </w:p>
        </w:tc>
        <w:tc>
          <w:tcPr>
            <w:tcW w:w="1460" w:type="dxa"/>
            <w:vAlign w:val="bottom"/>
            <w:tcBorders>
              <w:top w:val="single" w:sz="8" w:color="auto"/>
            </w:tcBorders>
          </w:tcPr>
          <w:p>
            <w:pPr>
              <w:jc w:val="right"/>
              <w:ind w:right="26"/>
              <w:spacing w:after="0" w:line="214" w:lineRule="exact"/>
              <w:rPr>
                <w:sz w:val="20"/>
                <w:szCs w:val="20"/>
                <w:color w:val="auto"/>
              </w:rPr>
            </w:pPr>
            <w:r>
              <w:rPr>
                <w:rFonts w:ascii="Arial" w:cs="Arial" w:eastAsia="Arial" w:hAnsi="Arial"/>
                <w:sz w:val="19"/>
                <w:szCs w:val="19"/>
                <w:color w:val="auto"/>
              </w:rPr>
              <w:t>12,614,509</w:t>
            </w:r>
          </w:p>
        </w:tc>
        <w:tc>
          <w:tcPr>
            <w:tcW w:w="20" w:type="dxa"/>
            <w:vAlign w:val="bottom"/>
          </w:tcPr>
          <w:p>
            <w:pPr>
              <w:spacing w:after="0"/>
              <w:rPr>
                <w:sz w:val="18"/>
                <w:szCs w:val="18"/>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9"/>
                <w:szCs w:val="19"/>
                <w:color w:val="auto"/>
              </w:rPr>
              <w:t>Asset retirement obligation</w:t>
            </w:r>
          </w:p>
        </w:tc>
        <w:tc>
          <w:tcPr>
            <w:tcW w:w="4980" w:type="dxa"/>
            <w:vAlign w:val="bottom"/>
          </w:tcPr>
          <w:p>
            <w:pPr>
              <w:spacing w:after="0"/>
              <w:rPr>
                <w:sz w:val="19"/>
                <w:szCs w:val="19"/>
                <w:color w:val="auto"/>
              </w:rPr>
            </w:pPr>
          </w:p>
        </w:tc>
        <w:tc>
          <w:tcPr>
            <w:tcW w:w="1460" w:type="dxa"/>
            <w:vAlign w:val="bottom"/>
          </w:tcPr>
          <w:p>
            <w:pPr>
              <w:jc w:val="right"/>
              <w:ind w:right="26"/>
              <w:spacing w:after="0"/>
              <w:rPr>
                <w:sz w:val="20"/>
                <w:szCs w:val="20"/>
                <w:color w:val="auto"/>
              </w:rPr>
            </w:pPr>
            <w:r>
              <w:rPr>
                <w:rFonts w:ascii="Arial" w:cs="Arial" w:eastAsia="Arial" w:hAnsi="Arial"/>
                <w:sz w:val="19"/>
                <w:szCs w:val="19"/>
                <w:color w:val="auto"/>
              </w:rPr>
              <w:t>1,446,615</w:t>
            </w:r>
          </w:p>
        </w:tc>
        <w:tc>
          <w:tcPr>
            <w:tcW w:w="20" w:type="dxa"/>
            <w:vAlign w:val="bottom"/>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9"/>
                <w:szCs w:val="19"/>
                <w:color w:val="auto"/>
              </w:rPr>
              <w:t>Derivative assets</w:t>
            </w:r>
          </w:p>
        </w:tc>
        <w:tc>
          <w:tcPr>
            <w:tcW w:w="4980" w:type="dxa"/>
            <w:vAlign w:val="bottom"/>
          </w:tcPr>
          <w:p>
            <w:pPr>
              <w:spacing w:after="0"/>
              <w:rPr>
                <w:sz w:val="19"/>
                <w:szCs w:val="19"/>
                <w:color w:val="auto"/>
              </w:rPr>
            </w:pPr>
          </w:p>
        </w:tc>
        <w:tc>
          <w:tcPr>
            <w:tcW w:w="1460" w:type="dxa"/>
            <w:vAlign w:val="bottom"/>
          </w:tcPr>
          <w:p>
            <w:pPr>
              <w:jc w:val="right"/>
              <w:ind w:right="26"/>
              <w:spacing w:after="0"/>
              <w:rPr>
                <w:sz w:val="20"/>
                <w:szCs w:val="20"/>
                <w:color w:val="auto"/>
              </w:rPr>
            </w:pPr>
            <w:r>
              <w:rPr>
                <w:rFonts w:ascii="Arial" w:cs="Arial" w:eastAsia="Arial" w:hAnsi="Arial"/>
                <w:sz w:val="19"/>
                <w:szCs w:val="19"/>
                <w:color w:val="auto"/>
              </w:rPr>
              <w:t>579,373</w:t>
            </w:r>
          </w:p>
        </w:tc>
        <w:tc>
          <w:tcPr>
            <w:tcW w:w="20" w:type="dxa"/>
            <w:vAlign w:val="bottom"/>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9"/>
                <w:szCs w:val="19"/>
                <w:color w:val="auto"/>
              </w:rPr>
              <w:t>Reserves and other</w:t>
            </w:r>
          </w:p>
        </w:tc>
        <w:tc>
          <w:tcPr>
            <w:tcW w:w="4980" w:type="dxa"/>
            <w:vAlign w:val="bottom"/>
          </w:tcPr>
          <w:p>
            <w:pPr>
              <w:spacing w:after="0"/>
              <w:rPr>
                <w:sz w:val="19"/>
                <w:szCs w:val="19"/>
                <w:color w:val="auto"/>
              </w:rPr>
            </w:pPr>
          </w:p>
        </w:tc>
        <w:tc>
          <w:tcPr>
            <w:tcW w:w="1460" w:type="dxa"/>
            <w:vAlign w:val="bottom"/>
          </w:tcPr>
          <w:p>
            <w:pPr>
              <w:jc w:val="right"/>
              <w:ind w:right="26"/>
              <w:spacing w:after="0"/>
              <w:rPr>
                <w:sz w:val="20"/>
                <w:szCs w:val="20"/>
                <w:color w:val="auto"/>
              </w:rPr>
            </w:pPr>
            <w:r>
              <w:rPr>
                <w:rFonts w:ascii="Arial" w:cs="Arial" w:eastAsia="Arial" w:hAnsi="Arial"/>
                <w:sz w:val="19"/>
                <w:szCs w:val="19"/>
                <w:color w:val="auto"/>
              </w:rPr>
              <w:t>25,359</w:t>
            </w:r>
          </w:p>
        </w:tc>
        <w:tc>
          <w:tcPr>
            <w:tcW w:w="20" w:type="dxa"/>
            <w:vAlign w:val="bottom"/>
          </w:tcPr>
          <w:p>
            <w:pPr>
              <w:spacing w:after="0"/>
              <w:rPr>
                <w:sz w:val="19"/>
                <w:szCs w:val="19"/>
                <w:color w:val="auto"/>
              </w:rPr>
            </w:pPr>
          </w:p>
        </w:tc>
      </w:tr>
      <w:tr>
        <w:trPr>
          <w:trHeight w:val="238"/>
        </w:trPr>
        <w:tc>
          <w:tcPr>
            <w:tcW w:w="480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Net operating loss carryforward</w:t>
            </w:r>
          </w:p>
        </w:tc>
        <w:tc>
          <w:tcPr>
            <w:tcW w:w="49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15,119,086</w:t>
            </w:r>
          </w:p>
        </w:tc>
        <w:tc>
          <w:tcPr>
            <w:tcW w:w="20" w:type="dxa"/>
            <w:vAlign w:val="bottom"/>
          </w:tcPr>
          <w:p>
            <w:pPr>
              <w:spacing w:after="0"/>
              <w:rPr>
                <w:sz w:val="20"/>
                <w:szCs w:val="20"/>
                <w:color w:val="auto"/>
              </w:rPr>
            </w:pPr>
          </w:p>
        </w:tc>
      </w:tr>
      <w:tr>
        <w:trPr>
          <w:trHeight w:val="214"/>
        </w:trPr>
        <w:tc>
          <w:tcPr>
            <w:tcW w:w="4800" w:type="dxa"/>
            <w:vAlign w:val="bottom"/>
          </w:tcPr>
          <w:p>
            <w:pPr>
              <w:spacing w:after="0" w:line="214" w:lineRule="exact"/>
              <w:rPr>
                <w:sz w:val="20"/>
                <w:szCs w:val="20"/>
                <w:color w:val="auto"/>
              </w:rPr>
            </w:pPr>
            <w:r>
              <w:rPr>
                <w:rFonts w:ascii="Arial" w:cs="Arial" w:eastAsia="Arial" w:hAnsi="Arial"/>
                <w:sz w:val="19"/>
                <w:szCs w:val="19"/>
                <w:color w:val="auto"/>
              </w:rPr>
              <w:t>Total noncurrent deferred tax assets</w:t>
            </w:r>
          </w:p>
        </w:tc>
        <w:tc>
          <w:tcPr>
            <w:tcW w:w="4980" w:type="dxa"/>
            <w:vAlign w:val="bottom"/>
          </w:tcPr>
          <w:p>
            <w:pPr>
              <w:spacing w:after="0"/>
              <w:rPr>
                <w:sz w:val="18"/>
                <w:szCs w:val="18"/>
                <w:color w:val="auto"/>
              </w:rPr>
            </w:pPr>
          </w:p>
        </w:tc>
        <w:tc>
          <w:tcPr>
            <w:tcW w:w="1460" w:type="dxa"/>
            <w:vAlign w:val="bottom"/>
          </w:tcPr>
          <w:p>
            <w:pPr>
              <w:jc w:val="right"/>
              <w:ind w:right="26"/>
              <w:spacing w:after="0" w:line="214" w:lineRule="exact"/>
              <w:rPr>
                <w:sz w:val="20"/>
                <w:szCs w:val="20"/>
                <w:color w:val="auto"/>
              </w:rPr>
            </w:pPr>
            <w:r>
              <w:rPr>
                <w:rFonts w:ascii="Arial" w:cs="Arial" w:eastAsia="Arial" w:hAnsi="Arial"/>
                <w:sz w:val="19"/>
                <w:szCs w:val="19"/>
                <w:color w:val="auto"/>
              </w:rPr>
              <w:t>29,784,942</w:t>
            </w:r>
          </w:p>
        </w:tc>
        <w:tc>
          <w:tcPr>
            <w:tcW w:w="20" w:type="dxa"/>
            <w:vAlign w:val="bottom"/>
          </w:tcPr>
          <w:p>
            <w:pPr>
              <w:spacing w:after="0"/>
              <w:rPr>
                <w:sz w:val="18"/>
                <w:szCs w:val="18"/>
                <w:color w:val="auto"/>
              </w:rPr>
            </w:pPr>
          </w:p>
        </w:tc>
      </w:tr>
      <w:tr>
        <w:trPr>
          <w:trHeight w:val="238"/>
        </w:trPr>
        <w:tc>
          <w:tcPr>
            <w:tcW w:w="480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Valuation allowance</w:t>
            </w:r>
          </w:p>
        </w:tc>
        <w:tc>
          <w:tcPr>
            <w:tcW w:w="49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(29,784,942)</w:t>
            </w:r>
          </w:p>
        </w:tc>
        <w:tc>
          <w:tcPr>
            <w:tcW w:w="20" w:type="dxa"/>
            <w:vAlign w:val="bottom"/>
          </w:tcPr>
          <w:p>
            <w:pPr>
              <w:spacing w:after="0"/>
              <w:rPr>
                <w:sz w:val="20"/>
                <w:szCs w:val="20"/>
                <w:color w:val="auto"/>
              </w:rPr>
            </w:pPr>
          </w:p>
        </w:tc>
      </w:tr>
      <w:tr>
        <w:trPr>
          <w:trHeight w:val="223"/>
        </w:trPr>
        <w:tc>
          <w:tcPr>
            <w:tcW w:w="48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Net noncurrent deferred tax assets</w:t>
            </w:r>
          </w:p>
        </w:tc>
        <w:tc>
          <w:tcPr>
            <w:tcW w:w="4980" w:type="dxa"/>
            <w:vAlign w:val="bottom"/>
            <w:tcBorders>
              <w:bottom w:val="single" w:sz="8" w:color="auto"/>
            </w:tcBorders>
          </w:tcPr>
          <w:p>
            <w:pPr>
              <w:jc w:val="right"/>
              <w:ind w:right="326"/>
              <w:spacing w:after="0"/>
              <w:rPr>
                <w:sz w:val="20"/>
                <w:szCs w:val="20"/>
                <w:color w:val="auto"/>
              </w:rPr>
            </w:pPr>
            <w:r>
              <w:rPr>
                <w:rFonts w:ascii="Arial" w:cs="Arial" w:eastAsia="Arial" w:hAnsi="Arial"/>
                <w:sz w:val="19"/>
                <w:szCs w:val="19"/>
                <w:color w:val="auto"/>
              </w:rPr>
              <w:t>$</w:t>
            </w:r>
          </w:p>
        </w:tc>
        <w:tc>
          <w:tcPr>
            <w:tcW w:w="14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19"/>
                <w:szCs w:val="19"/>
                <w:color w:val="auto"/>
              </w:rPr>
            </w:pPr>
          </w:p>
        </w:tc>
      </w:tr>
      <w:tr>
        <w:trPr>
          <w:trHeight w:val="644"/>
        </w:trPr>
        <w:tc>
          <w:tcPr>
            <w:tcW w:w="4800" w:type="dxa"/>
            <w:vAlign w:val="bottom"/>
          </w:tcPr>
          <w:p>
            <w:pPr>
              <w:spacing w:after="0"/>
              <w:rPr>
                <w:sz w:val="24"/>
                <w:szCs w:val="24"/>
                <w:color w:val="auto"/>
              </w:rPr>
            </w:pPr>
          </w:p>
        </w:tc>
        <w:tc>
          <w:tcPr>
            <w:tcW w:w="4980" w:type="dxa"/>
            <w:vAlign w:val="bottom"/>
          </w:tcPr>
          <w:p>
            <w:pPr>
              <w:jc w:val="right"/>
              <w:ind w:right="3966"/>
              <w:spacing w:after="0"/>
              <w:rPr>
                <w:sz w:val="20"/>
                <w:szCs w:val="20"/>
                <w:color w:val="auto"/>
              </w:rPr>
            </w:pPr>
            <w:r>
              <w:rPr>
                <w:rFonts w:ascii="Arial" w:cs="Arial" w:eastAsia="Arial" w:hAnsi="Arial"/>
                <w:sz w:val="19"/>
                <w:szCs w:val="19"/>
                <w:color w:val="auto"/>
              </w:rPr>
              <w:t>13</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3"/>
        </w:trPr>
        <w:tc>
          <w:tcPr>
            <w:tcW w:w="4800" w:type="dxa"/>
            <w:vAlign w:val="bottom"/>
            <w:tcBorders>
              <w:bottom w:val="single" w:sz="8" w:color="9A9A9A"/>
            </w:tcBorders>
          </w:tcPr>
          <w:p>
            <w:pPr>
              <w:spacing w:after="0"/>
              <w:rPr>
                <w:sz w:val="9"/>
                <w:szCs w:val="9"/>
                <w:color w:val="auto"/>
              </w:rPr>
            </w:pPr>
          </w:p>
        </w:tc>
        <w:tc>
          <w:tcPr>
            <w:tcW w:w="49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As the Company is now considered a disregarded entity for tax purposes as of May 31, 2021, a provision for federal income taxes associated with the Company has not been recorded in the accompanying consolidated financial statements. Taxable income or losses generated by the Company as of the date of the election will only be taxed at the Company’s parent’s tax return.</w:t>
      </w:r>
    </w:p>
    <w:p>
      <w:pPr>
        <w:spacing w:after="0" w:line="184"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The Company follows guidance issued by the FASB in accounting for uncertainty in income taxes. This guidance clarifies the accounting for income taxes by prescribing the minimum recognition threshold an income tax position is required to meet before being recognized in the consolidated financial statements and applies to all income tax positions. Each income tax position is assessed using a two-step process. A determination is first made as to whether it is more likely than not that the income tax position will be sustained, based upon technical merits, upon examination by the taxing authorities. If the income tax position is expected to meet the more likely than not criteria, the benefit recorded in the consolidated financial statements equals the largest amount that is greater than 50% likely to be realized upon its ultimate settlement. The Company had no uncertaintax positions as of September 30, 2021.</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records income tax-related interest and penalties, if applicable, as a component of the provision for income tax expense. There were no amounts recognized relating to interest and penalties in the consolidated statement of income for the fiscal year ended September 30, 2021. Furthermore, none of the Company’s federal or state income tax returns are currently under examination by federal or state authorities. Fiscal year 2017 and forward remain subject to examination by federal and state authorities.</w:t>
      </w:r>
    </w:p>
    <w:p>
      <w:pPr>
        <w:spacing w:after="0" w:line="168" w:lineRule="exact"/>
        <w:rPr>
          <w:sz w:val="20"/>
          <w:szCs w:val="20"/>
          <w:color w:val="auto"/>
        </w:rPr>
      </w:pPr>
    </w:p>
    <w:p>
      <w:pPr>
        <w:ind w:left="420" w:hanging="412"/>
        <w:spacing w:after="0"/>
        <w:tabs>
          <w:tab w:leader="none" w:pos="420" w:val="left"/>
        </w:tabs>
        <w:numPr>
          <w:ilvl w:val="0"/>
          <w:numId w:val="132"/>
        </w:numPr>
        <w:rPr>
          <w:rFonts w:ascii="Arial" w:cs="Arial" w:eastAsia="Arial" w:hAnsi="Arial"/>
          <w:sz w:val="22"/>
          <w:szCs w:val="22"/>
          <w:b w:val="1"/>
          <w:bCs w:val="1"/>
          <w:color w:val="auto"/>
        </w:rPr>
      </w:pPr>
      <w:r>
        <w:rPr>
          <w:rFonts w:ascii="Arial" w:cs="Arial" w:eastAsia="Arial" w:hAnsi="Arial"/>
          <w:sz w:val="22"/>
          <w:szCs w:val="22"/>
          <w:b w:val="1"/>
          <w:bCs w:val="1"/>
          <w:color w:val="auto"/>
        </w:rPr>
        <w:t>Revenue from Contracts with Customers</w:t>
      </w:r>
    </w:p>
    <w:p>
      <w:pPr>
        <w:spacing w:after="0" w:line="211"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Effective October 1, 2020, the Company adopted ASC 606 using the modified retrospective method of adoption. There were no impacts to the Company’s net income or cash flows from operations asa result of the Company’s adoption of ASC 606. However, there were certain changes to the presentation of revenues and related expenses beginning October 1,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800" w:type="dxa"/>
            <w:vAlign w:val="bottom"/>
          </w:tcPr>
          <w:p>
            <w:pPr>
              <w:spacing w:after="0"/>
              <w:rPr>
                <w:sz w:val="20"/>
                <w:szCs w:val="20"/>
                <w:color w:val="auto"/>
              </w:rPr>
            </w:pPr>
            <w:r>
              <w:rPr>
                <w:rFonts w:ascii="Arial" w:cs="Arial" w:eastAsia="Arial" w:hAnsi="Arial"/>
                <w:sz w:val="19"/>
                <w:szCs w:val="19"/>
                <w:color w:val="auto"/>
              </w:rPr>
              <w:t>The impact of adoption in the current period results is as follows:</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3"/>
        </w:trPr>
        <w:tc>
          <w:tcPr>
            <w:tcW w:w="5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5"/>
          </w:tcPr>
          <w:p>
            <w:pPr>
              <w:jc w:val="center"/>
              <w:ind w:right="226"/>
              <w:spacing w:after="0"/>
              <w:rPr>
                <w:sz w:val="20"/>
                <w:szCs w:val="20"/>
                <w:color w:val="auto"/>
              </w:rPr>
            </w:pPr>
            <w:r>
              <w:rPr>
                <w:rFonts w:ascii="Arial" w:cs="Arial" w:eastAsia="Arial" w:hAnsi="Arial"/>
                <w:sz w:val="19"/>
                <w:szCs w:val="19"/>
                <w:b w:val="1"/>
                <w:bCs w:val="1"/>
                <w:color w:val="auto"/>
                <w:w w:val="89"/>
              </w:rPr>
              <w:t>Year Ended September 30, 2021</w:t>
            </w:r>
          </w:p>
        </w:tc>
        <w:tc>
          <w:tcPr>
            <w:tcW w:w="0" w:type="dxa"/>
            <w:vAlign w:val="bottom"/>
          </w:tcPr>
          <w:p>
            <w:pPr>
              <w:spacing w:after="0"/>
              <w:rPr>
                <w:sz w:val="1"/>
                <w:szCs w:val="1"/>
                <w:color w:val="auto"/>
              </w:rPr>
            </w:pPr>
          </w:p>
        </w:tc>
      </w:tr>
      <w:tr>
        <w:trPr>
          <w:trHeight w:val="195"/>
        </w:trPr>
        <w:tc>
          <w:tcPr>
            <w:tcW w:w="5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46"/>
              <w:spacing w:after="0" w:line="194" w:lineRule="exact"/>
              <w:rPr>
                <w:sz w:val="20"/>
                <w:szCs w:val="20"/>
                <w:color w:val="auto"/>
              </w:rPr>
            </w:pPr>
            <w:r>
              <w:rPr>
                <w:rFonts w:ascii="Arial" w:cs="Arial" w:eastAsia="Arial" w:hAnsi="Arial"/>
                <w:sz w:val="19"/>
                <w:szCs w:val="19"/>
                <w:b w:val="1"/>
                <w:bCs w:val="1"/>
                <w:color w:val="auto"/>
              </w:rPr>
              <w:t>Under</w:t>
            </w:r>
          </w:p>
        </w:tc>
        <w:tc>
          <w:tcPr>
            <w:tcW w:w="320" w:type="dxa"/>
            <w:vAlign w:val="bottom"/>
          </w:tcPr>
          <w:p>
            <w:pPr>
              <w:spacing w:after="0"/>
              <w:rPr>
                <w:sz w:val="16"/>
                <w:szCs w:val="16"/>
                <w:color w:val="auto"/>
              </w:rPr>
            </w:pPr>
          </w:p>
        </w:tc>
        <w:tc>
          <w:tcPr>
            <w:tcW w:w="1260" w:type="dxa"/>
            <w:vAlign w:val="bottom"/>
          </w:tcPr>
          <w:p>
            <w:pPr>
              <w:jc w:val="center"/>
              <w:ind w:right="246"/>
              <w:spacing w:after="0" w:line="194" w:lineRule="exact"/>
              <w:rPr>
                <w:sz w:val="20"/>
                <w:szCs w:val="20"/>
                <w:color w:val="auto"/>
              </w:rPr>
            </w:pPr>
            <w:r>
              <w:rPr>
                <w:rFonts w:ascii="Arial" w:cs="Arial" w:eastAsia="Arial" w:hAnsi="Arial"/>
                <w:sz w:val="19"/>
                <w:szCs w:val="19"/>
                <w:b w:val="1"/>
                <w:bCs w:val="1"/>
                <w:color w:val="auto"/>
                <w:w w:val="94"/>
              </w:rPr>
              <w:t>Under</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800" w:type="dxa"/>
            <w:vAlign w:val="bottom"/>
            <w:vMerge w:val="restart"/>
          </w:tcPr>
          <w:p>
            <w:pPr>
              <w:spacing w:after="0"/>
              <w:rPr>
                <w:sz w:val="20"/>
                <w:szCs w:val="20"/>
                <w:color w:val="auto"/>
              </w:rPr>
            </w:pPr>
            <w:r>
              <w:rPr>
                <w:rFonts w:ascii="Arial" w:cs="Arial" w:eastAsia="Arial" w:hAnsi="Arial"/>
                <w:sz w:val="19"/>
                <w:szCs w:val="19"/>
                <w:b w:val="1"/>
                <w:bCs w:val="1"/>
                <w:color w:val="auto"/>
              </w:rPr>
              <w:t>Operating Revenues</w:t>
            </w:r>
          </w:p>
        </w:tc>
        <w:tc>
          <w:tcPr>
            <w:tcW w:w="8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46"/>
              <w:spacing w:after="0"/>
              <w:rPr>
                <w:sz w:val="20"/>
                <w:szCs w:val="20"/>
                <w:color w:val="auto"/>
              </w:rPr>
            </w:pPr>
            <w:r>
              <w:rPr>
                <w:rFonts w:ascii="Arial" w:cs="Arial" w:eastAsia="Arial" w:hAnsi="Arial"/>
                <w:sz w:val="19"/>
                <w:szCs w:val="19"/>
                <w:b w:val="1"/>
                <w:bCs w:val="1"/>
                <w:color w:val="auto"/>
              </w:rPr>
              <w:t>ASC 606</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246"/>
              <w:spacing w:after="0"/>
              <w:rPr>
                <w:sz w:val="20"/>
                <w:szCs w:val="20"/>
                <w:color w:val="auto"/>
              </w:rPr>
            </w:pPr>
            <w:r>
              <w:rPr>
                <w:rFonts w:ascii="Arial" w:cs="Arial" w:eastAsia="Arial" w:hAnsi="Arial"/>
                <w:sz w:val="19"/>
                <w:szCs w:val="19"/>
                <w:b w:val="1"/>
                <w:bCs w:val="1"/>
                <w:color w:val="auto"/>
                <w:w w:val="93"/>
              </w:rPr>
              <w:t>ASC 605</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66"/>
              <w:spacing w:after="0"/>
              <w:rPr>
                <w:sz w:val="20"/>
                <w:szCs w:val="20"/>
                <w:color w:val="auto"/>
              </w:rPr>
            </w:pPr>
            <w:r>
              <w:rPr>
                <w:rFonts w:ascii="Arial" w:cs="Arial" w:eastAsia="Arial" w:hAnsi="Arial"/>
                <w:sz w:val="19"/>
                <w:szCs w:val="19"/>
                <w:b w:val="1"/>
                <w:bCs w:val="1"/>
                <w:color w:val="auto"/>
              </w:rPr>
              <w:t>Change</w:t>
            </w:r>
          </w:p>
        </w:tc>
        <w:tc>
          <w:tcPr>
            <w:tcW w:w="0" w:type="dxa"/>
            <w:vAlign w:val="bottom"/>
          </w:tcPr>
          <w:p>
            <w:pPr>
              <w:spacing w:after="0"/>
              <w:rPr>
                <w:sz w:val="1"/>
                <w:szCs w:val="1"/>
                <w:color w:val="auto"/>
              </w:rPr>
            </w:pPr>
          </w:p>
        </w:tc>
      </w:tr>
      <w:tr>
        <w:trPr>
          <w:trHeight w:val="214"/>
        </w:trPr>
        <w:tc>
          <w:tcPr>
            <w:tcW w:w="580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60"/>
              <w:spacing w:after="0"/>
              <w:rPr>
                <w:sz w:val="20"/>
                <w:szCs w:val="20"/>
                <w:color w:val="auto"/>
              </w:rPr>
            </w:pPr>
            <w:r>
              <w:rPr>
                <w:rFonts w:ascii="Arial" w:cs="Arial" w:eastAsia="Arial" w:hAnsi="Arial"/>
                <w:sz w:val="19"/>
                <w:szCs w:val="19"/>
                <w:color w:val="auto"/>
              </w:rPr>
              <w:t>Crude oil sales</w:t>
            </w:r>
          </w:p>
        </w:tc>
        <w:tc>
          <w:tcPr>
            <w:tcW w:w="106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1240" w:type="dxa"/>
            <w:vAlign w:val="bottom"/>
          </w:tcPr>
          <w:p>
            <w:pPr>
              <w:jc w:val="right"/>
              <w:ind w:right="46"/>
              <w:spacing w:after="0"/>
              <w:rPr>
                <w:sz w:val="20"/>
                <w:szCs w:val="20"/>
                <w:color w:val="auto"/>
              </w:rPr>
            </w:pPr>
            <w:r>
              <w:rPr>
                <w:rFonts w:ascii="Arial" w:cs="Arial" w:eastAsia="Arial" w:hAnsi="Arial"/>
                <w:sz w:val="19"/>
                <w:szCs w:val="19"/>
                <w:color w:val="auto"/>
              </w:rPr>
              <w:t>19,730,676</w:t>
            </w:r>
          </w:p>
        </w:tc>
        <w:tc>
          <w:tcPr>
            <w:tcW w:w="320" w:type="dxa"/>
            <w:vAlign w:val="bottom"/>
          </w:tcPr>
          <w:p>
            <w:pPr>
              <w:jc w:val="right"/>
              <w:ind w:right="6"/>
              <w:spacing w:after="0"/>
              <w:rPr>
                <w:sz w:val="20"/>
                <w:szCs w:val="20"/>
                <w:color w:val="auto"/>
              </w:rPr>
            </w:pPr>
            <w:r>
              <w:rPr>
                <w:rFonts w:ascii="Arial" w:cs="Arial" w:eastAsia="Arial" w:hAnsi="Arial"/>
                <w:sz w:val="19"/>
                <w:szCs w:val="19"/>
                <w:color w:val="auto"/>
              </w:rPr>
              <w:t>$</w:t>
            </w:r>
          </w:p>
        </w:tc>
        <w:tc>
          <w:tcPr>
            <w:tcW w:w="1260" w:type="dxa"/>
            <w:vAlign w:val="bottom"/>
          </w:tcPr>
          <w:p>
            <w:pPr>
              <w:jc w:val="right"/>
              <w:ind w:right="46"/>
              <w:spacing w:after="0"/>
              <w:rPr>
                <w:sz w:val="20"/>
                <w:szCs w:val="20"/>
                <w:color w:val="auto"/>
              </w:rPr>
            </w:pPr>
            <w:r>
              <w:rPr>
                <w:rFonts w:ascii="Arial" w:cs="Arial" w:eastAsia="Arial" w:hAnsi="Arial"/>
                <w:sz w:val="19"/>
                <w:szCs w:val="19"/>
                <w:color w:val="auto"/>
              </w:rPr>
              <w:t>19,730,676</w:t>
            </w:r>
          </w:p>
        </w:tc>
        <w:tc>
          <w:tcPr>
            <w:tcW w:w="340" w:type="dxa"/>
            <w:vAlign w:val="bottom"/>
          </w:tcPr>
          <w:p>
            <w:pPr>
              <w:jc w:val="right"/>
              <w:ind w:right="26"/>
              <w:spacing w:after="0"/>
              <w:rPr>
                <w:sz w:val="20"/>
                <w:szCs w:val="20"/>
                <w:color w:val="auto"/>
              </w:rPr>
            </w:pPr>
            <w:r>
              <w:rPr>
                <w:rFonts w:ascii="Arial" w:cs="Arial" w:eastAsia="Arial" w:hAnsi="Arial"/>
                <w:sz w:val="19"/>
                <w:szCs w:val="19"/>
                <w:color w:val="auto"/>
              </w:rPr>
              <w:t>$</w:t>
            </w:r>
          </w:p>
        </w:tc>
        <w:tc>
          <w:tcPr>
            <w:tcW w:w="1220" w:type="dxa"/>
            <w:vAlign w:val="bottom"/>
          </w:tcPr>
          <w:p>
            <w:pPr>
              <w:jc w:val="right"/>
              <w:ind w:right="26"/>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9"/>
        </w:trPr>
        <w:tc>
          <w:tcPr>
            <w:tcW w:w="5800" w:type="dxa"/>
            <w:vAlign w:val="bottom"/>
          </w:tcPr>
          <w:p>
            <w:pPr>
              <w:ind w:left="260"/>
              <w:spacing w:after="0"/>
              <w:rPr>
                <w:sz w:val="20"/>
                <w:szCs w:val="20"/>
                <w:color w:val="auto"/>
              </w:rPr>
            </w:pPr>
            <w:r>
              <w:rPr>
                <w:rFonts w:ascii="Arial" w:cs="Arial" w:eastAsia="Arial" w:hAnsi="Arial"/>
                <w:sz w:val="19"/>
                <w:szCs w:val="19"/>
                <w:color w:val="auto"/>
              </w:rPr>
              <w:t>Natural gas sales</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46"/>
              <w:spacing w:after="0"/>
              <w:rPr>
                <w:sz w:val="20"/>
                <w:szCs w:val="20"/>
                <w:color w:val="auto"/>
              </w:rPr>
            </w:pPr>
            <w:r>
              <w:rPr>
                <w:rFonts w:ascii="Arial" w:cs="Arial" w:eastAsia="Arial" w:hAnsi="Arial"/>
                <w:sz w:val="19"/>
                <w:szCs w:val="19"/>
                <w:color w:val="auto"/>
              </w:rPr>
              <w:t>24,629,252</w:t>
            </w:r>
          </w:p>
        </w:tc>
        <w:tc>
          <w:tcPr>
            <w:tcW w:w="320" w:type="dxa"/>
            <w:vAlign w:val="bottom"/>
          </w:tcPr>
          <w:p>
            <w:pPr>
              <w:spacing w:after="0"/>
              <w:rPr>
                <w:sz w:val="19"/>
                <w:szCs w:val="19"/>
                <w:color w:val="auto"/>
              </w:rPr>
            </w:pPr>
          </w:p>
        </w:tc>
        <w:tc>
          <w:tcPr>
            <w:tcW w:w="1260" w:type="dxa"/>
            <w:vAlign w:val="bottom"/>
          </w:tcPr>
          <w:p>
            <w:pPr>
              <w:jc w:val="right"/>
              <w:ind w:right="46"/>
              <w:spacing w:after="0"/>
              <w:rPr>
                <w:sz w:val="20"/>
                <w:szCs w:val="20"/>
                <w:color w:val="auto"/>
              </w:rPr>
            </w:pPr>
            <w:r>
              <w:rPr>
                <w:rFonts w:ascii="Arial" w:cs="Arial" w:eastAsia="Arial" w:hAnsi="Arial"/>
                <w:sz w:val="19"/>
                <w:szCs w:val="19"/>
                <w:color w:val="auto"/>
              </w:rPr>
              <w:t>31,829,590</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9"/>
                <w:szCs w:val="19"/>
                <w:color w:val="auto"/>
              </w:rPr>
              <w:t>(7,200,338)</w:t>
            </w:r>
          </w:p>
        </w:tc>
        <w:tc>
          <w:tcPr>
            <w:tcW w:w="0" w:type="dxa"/>
            <w:vAlign w:val="bottom"/>
          </w:tcPr>
          <w:p>
            <w:pPr>
              <w:spacing w:after="0"/>
              <w:rPr>
                <w:sz w:val="1"/>
                <w:szCs w:val="1"/>
                <w:color w:val="auto"/>
              </w:rPr>
            </w:pPr>
          </w:p>
        </w:tc>
      </w:tr>
      <w:tr>
        <w:trPr>
          <w:trHeight w:val="230"/>
        </w:trPr>
        <w:tc>
          <w:tcPr>
            <w:tcW w:w="5800" w:type="dxa"/>
            <w:vAlign w:val="bottom"/>
          </w:tcPr>
          <w:p>
            <w:pPr>
              <w:ind w:left="260"/>
              <w:spacing w:after="0"/>
              <w:rPr>
                <w:sz w:val="20"/>
                <w:szCs w:val="20"/>
                <w:color w:val="auto"/>
              </w:rPr>
            </w:pPr>
            <w:r>
              <w:rPr>
                <w:rFonts w:ascii="Arial" w:cs="Arial" w:eastAsia="Arial" w:hAnsi="Arial"/>
                <w:sz w:val="19"/>
                <w:szCs w:val="19"/>
                <w:color w:val="auto"/>
              </w:rPr>
              <w:t>Natural gas liquids sales</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46"/>
              <w:spacing w:after="0"/>
              <w:rPr>
                <w:sz w:val="20"/>
                <w:szCs w:val="20"/>
                <w:color w:val="auto"/>
              </w:rPr>
            </w:pPr>
            <w:r>
              <w:rPr>
                <w:rFonts w:ascii="Arial" w:cs="Arial" w:eastAsia="Arial" w:hAnsi="Arial"/>
                <w:sz w:val="19"/>
                <w:szCs w:val="19"/>
                <w:color w:val="auto"/>
              </w:rPr>
              <w:t>10,706,765</w:t>
            </w:r>
          </w:p>
        </w:tc>
        <w:tc>
          <w:tcPr>
            <w:tcW w:w="320" w:type="dxa"/>
            <w:vAlign w:val="bottom"/>
          </w:tcPr>
          <w:p>
            <w:pPr>
              <w:spacing w:after="0"/>
              <w:rPr>
                <w:sz w:val="19"/>
                <w:szCs w:val="19"/>
                <w:color w:val="auto"/>
              </w:rPr>
            </w:pPr>
          </w:p>
        </w:tc>
        <w:tc>
          <w:tcPr>
            <w:tcW w:w="1260" w:type="dxa"/>
            <w:vAlign w:val="bottom"/>
          </w:tcPr>
          <w:p>
            <w:pPr>
              <w:jc w:val="right"/>
              <w:ind w:right="46"/>
              <w:spacing w:after="0"/>
              <w:rPr>
                <w:sz w:val="20"/>
                <w:szCs w:val="20"/>
                <w:color w:val="auto"/>
              </w:rPr>
            </w:pPr>
            <w:r>
              <w:rPr>
                <w:rFonts w:ascii="Arial" w:cs="Arial" w:eastAsia="Arial" w:hAnsi="Arial"/>
                <w:sz w:val="19"/>
                <w:szCs w:val="19"/>
                <w:color w:val="auto"/>
              </w:rPr>
              <w:t>10,707,881</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9"/>
                <w:szCs w:val="19"/>
                <w:color w:val="auto"/>
              </w:rPr>
              <w:t>(1,116)</w:t>
            </w:r>
          </w:p>
        </w:tc>
        <w:tc>
          <w:tcPr>
            <w:tcW w:w="0" w:type="dxa"/>
            <w:vAlign w:val="bottom"/>
          </w:tcPr>
          <w:p>
            <w:pPr>
              <w:spacing w:after="0"/>
              <w:rPr>
                <w:sz w:val="1"/>
                <w:szCs w:val="1"/>
                <w:color w:val="auto"/>
              </w:rPr>
            </w:pPr>
          </w:p>
        </w:tc>
      </w:tr>
      <w:tr>
        <w:trPr>
          <w:trHeight w:val="230"/>
        </w:trPr>
        <w:tc>
          <w:tcPr>
            <w:tcW w:w="5800" w:type="dxa"/>
            <w:vAlign w:val="bottom"/>
          </w:tcPr>
          <w:p>
            <w:pPr>
              <w:ind w:left="260"/>
              <w:spacing w:after="0"/>
              <w:rPr>
                <w:sz w:val="20"/>
                <w:szCs w:val="20"/>
                <w:color w:val="auto"/>
              </w:rPr>
            </w:pPr>
            <w:r>
              <w:rPr>
                <w:rFonts w:ascii="Arial" w:cs="Arial" w:eastAsia="Arial" w:hAnsi="Arial"/>
                <w:sz w:val="19"/>
                <w:szCs w:val="19"/>
                <w:color w:val="auto"/>
              </w:rPr>
              <w:t>Water supply services</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46"/>
              <w:spacing w:after="0"/>
              <w:rPr>
                <w:sz w:val="20"/>
                <w:szCs w:val="20"/>
                <w:color w:val="auto"/>
              </w:rPr>
            </w:pPr>
            <w:r>
              <w:rPr>
                <w:rFonts w:ascii="Arial" w:cs="Arial" w:eastAsia="Arial" w:hAnsi="Arial"/>
                <w:sz w:val="19"/>
                <w:szCs w:val="19"/>
                <w:color w:val="auto"/>
              </w:rPr>
              <w:t>384,205</w:t>
            </w:r>
          </w:p>
        </w:tc>
        <w:tc>
          <w:tcPr>
            <w:tcW w:w="320" w:type="dxa"/>
            <w:vAlign w:val="bottom"/>
          </w:tcPr>
          <w:p>
            <w:pPr>
              <w:spacing w:after="0"/>
              <w:rPr>
                <w:sz w:val="19"/>
                <w:szCs w:val="19"/>
                <w:color w:val="auto"/>
              </w:rPr>
            </w:pPr>
          </w:p>
        </w:tc>
        <w:tc>
          <w:tcPr>
            <w:tcW w:w="1260" w:type="dxa"/>
            <w:vAlign w:val="bottom"/>
          </w:tcPr>
          <w:p>
            <w:pPr>
              <w:jc w:val="right"/>
              <w:ind w:right="46"/>
              <w:spacing w:after="0"/>
              <w:rPr>
                <w:sz w:val="20"/>
                <w:szCs w:val="20"/>
                <w:color w:val="auto"/>
              </w:rPr>
            </w:pPr>
            <w:r>
              <w:rPr>
                <w:rFonts w:ascii="Arial" w:cs="Arial" w:eastAsia="Arial" w:hAnsi="Arial"/>
                <w:sz w:val="19"/>
                <w:szCs w:val="19"/>
                <w:color w:val="auto"/>
              </w:rPr>
              <w:t>384,205</w:t>
            </w:r>
          </w:p>
        </w:tc>
        <w:tc>
          <w:tcPr>
            <w:tcW w:w="340" w:type="dxa"/>
            <w:vAlign w:val="bottom"/>
          </w:tcPr>
          <w:p>
            <w:pPr>
              <w:spacing w:after="0"/>
              <w:rPr>
                <w:sz w:val="19"/>
                <w:szCs w:val="19"/>
                <w:color w:val="auto"/>
              </w:rPr>
            </w:pPr>
          </w:p>
        </w:tc>
        <w:tc>
          <w:tcPr>
            <w:tcW w:w="1220" w:type="dxa"/>
            <w:vAlign w:val="bottom"/>
          </w:tcPr>
          <w:p>
            <w:pPr>
              <w:jc w:val="right"/>
              <w:ind w:right="26"/>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8"/>
        </w:trPr>
        <w:tc>
          <w:tcPr>
            <w:tcW w:w="580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Gathering fees</w:t>
            </w: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2,480,249</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2,480,249</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3"/>
        </w:trPr>
        <w:tc>
          <w:tcPr>
            <w:tcW w:w="58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Total Operating Revenues</w:t>
            </w: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9"/>
                <w:szCs w:val="19"/>
                <w:color w:val="auto"/>
              </w:rPr>
              <w:t>$</w:t>
            </w:r>
          </w:p>
        </w:tc>
        <w:tc>
          <w:tcPr>
            <w:tcW w:w="124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57,931,147</w:t>
            </w:r>
          </w:p>
        </w:tc>
        <w:tc>
          <w:tcPr>
            <w:tcW w:w="32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w:t>
            </w:r>
          </w:p>
        </w:tc>
        <w:tc>
          <w:tcPr>
            <w:tcW w:w="126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65,132,601</w:t>
            </w:r>
          </w:p>
        </w:tc>
        <w:tc>
          <w:tcPr>
            <w:tcW w:w="34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(7,201,454</w:t>
            </w: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01"/>
        </w:trPr>
        <w:tc>
          <w:tcPr>
            <w:tcW w:w="5800" w:type="dxa"/>
            <w:vAlign w:val="bottom"/>
          </w:tcPr>
          <w:p>
            <w:pPr>
              <w:spacing w:after="0" w:line="201" w:lineRule="exact"/>
              <w:rPr>
                <w:sz w:val="20"/>
                <w:szCs w:val="20"/>
                <w:color w:val="auto"/>
              </w:rPr>
            </w:pPr>
            <w:r>
              <w:rPr>
                <w:rFonts w:ascii="Arial" w:cs="Arial" w:eastAsia="Arial" w:hAnsi="Arial"/>
                <w:sz w:val="19"/>
                <w:szCs w:val="19"/>
                <w:b w:val="1"/>
                <w:bCs w:val="1"/>
                <w:color w:val="auto"/>
              </w:rPr>
              <w:t>Operating Expenses</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Arial" w:cs="Arial" w:eastAsia="Arial" w:hAnsi="Arial"/>
                <w:sz w:val="19"/>
                <w:szCs w:val="19"/>
                <w:color w:val="auto"/>
              </w:rPr>
              <w:t>(7,201,454</w:t>
            </w: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38"/>
        </w:trPr>
        <w:tc>
          <w:tcPr>
            <w:tcW w:w="5800" w:type="dxa"/>
            <w:vAlign w:val="bottom"/>
            <w:tcBorders>
              <w:bottom w:val="single" w:sz="8" w:color="auto"/>
            </w:tcBorders>
          </w:tcPr>
          <w:p>
            <w:pPr>
              <w:ind w:left="140"/>
              <w:spacing w:after="0"/>
              <w:rPr>
                <w:sz w:val="20"/>
                <w:szCs w:val="20"/>
                <w:color w:val="auto"/>
              </w:rPr>
            </w:pPr>
            <w:r>
              <w:rPr>
                <w:rFonts w:ascii="Arial" w:cs="Arial" w:eastAsia="Arial" w:hAnsi="Arial"/>
                <w:sz w:val="19"/>
                <w:szCs w:val="19"/>
                <w:color w:val="auto"/>
              </w:rPr>
              <w:t>Oil and natural gas operating expenses</w:t>
            </w: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9"/>
                <w:szCs w:val="19"/>
                <w:color w:val="auto"/>
              </w:rPr>
              <w:t>$</w:t>
            </w:r>
          </w:p>
        </w:tc>
        <w:tc>
          <w:tcPr>
            <w:tcW w:w="124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14,980,252</w:t>
            </w:r>
          </w:p>
        </w:tc>
        <w:tc>
          <w:tcPr>
            <w:tcW w:w="32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w:t>
            </w:r>
          </w:p>
        </w:tc>
        <w:tc>
          <w:tcPr>
            <w:tcW w:w="126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22,181,706</w:t>
            </w:r>
          </w:p>
        </w:tc>
        <w:tc>
          <w:tcPr>
            <w:tcW w:w="34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w:t>
            </w:r>
          </w:p>
        </w:tc>
        <w:tc>
          <w:tcPr>
            <w:tcW w:w="12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Net Income</w:t>
            </w: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9"/>
                <w:szCs w:val="19"/>
                <w:color w:val="auto"/>
              </w:rPr>
              <w:t>$</w:t>
            </w:r>
          </w:p>
        </w:tc>
        <w:tc>
          <w:tcPr>
            <w:tcW w:w="124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18,419,963</w:t>
            </w:r>
          </w:p>
        </w:tc>
        <w:tc>
          <w:tcPr>
            <w:tcW w:w="32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w:t>
            </w:r>
          </w:p>
        </w:tc>
        <w:tc>
          <w:tcPr>
            <w:tcW w:w="126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18,419,963</w:t>
            </w:r>
          </w:p>
        </w:tc>
        <w:tc>
          <w:tcPr>
            <w:tcW w:w="34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w:t>
            </w:r>
          </w:p>
        </w:tc>
        <w:tc>
          <w:tcPr>
            <w:tcW w:w="12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3"/>
        </w:trPr>
        <w:tc>
          <w:tcPr>
            <w:tcW w:w="58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Member's Equity, as of September 30, 2021</w:t>
            </w: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9"/>
                <w:szCs w:val="19"/>
                <w:color w:val="auto"/>
              </w:rPr>
              <w:t>$</w:t>
            </w:r>
          </w:p>
        </w:tc>
        <w:tc>
          <w:tcPr>
            <w:tcW w:w="124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22,357,538</w:t>
            </w:r>
          </w:p>
        </w:tc>
        <w:tc>
          <w:tcPr>
            <w:tcW w:w="32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w:t>
            </w:r>
          </w:p>
        </w:tc>
        <w:tc>
          <w:tcPr>
            <w:tcW w:w="126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22,357,538</w:t>
            </w:r>
          </w:p>
        </w:tc>
        <w:tc>
          <w:tcPr>
            <w:tcW w:w="34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w:t>
            </w:r>
          </w:p>
        </w:tc>
        <w:tc>
          <w:tcPr>
            <w:tcW w:w="12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Oil and Natural Gas Sales Revenue</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The Company enters into contracts with customers to sell its produced oil, natural gas and natural gas liquids and gas gathering services. Revenues for oil, gas and natural gas liquids are primarily generated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45"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in Texas. Revenue attributable to these contracts is recognized in accordance with the five-step revenue recognition model prescribed in ASC 606. Specifically, revenue is recognized at the point in time when the Company’s performance obligations under these contracts are satisfied, which generally occurs when control of oil, natural gas and natural gas liquids transfers to the customer and collectability of the consideration is considered probable. In accordance with ASC 606, the Company considers the following indicators of the transfer of control to determine the point in time at which control transfers to its customers: (i) the Company has a present right to payment for the asset; (ii) the customer has legal title to the product; (iii) the Company has transferred physical possession of the product; and (iv) the customer has the significant risks and rewards of ownership.</w:t>
      </w:r>
    </w:p>
    <w:p>
      <w:pPr>
        <w:spacing w:after="0" w:line="192"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When the control of the product transfers to the customer differs depending on the contractual terms of each of the Company’s arrangements with its customers. This generally occurs at the wellhead. Transfer of control drives the presentation of transportation, gathering, processing, and other post-production expenses (“fees and other deductions”). Fees and other deductions incurred prior to control transfer are recorded within lease operating expenses in the consolidated statements of operations, while fees and other deductions incurred subsequent to the control transfer are recorded as a reduction of revenues.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The Company has two general categories under which oil and natural gas revenue is generated:</w:t>
      </w:r>
    </w:p>
    <w:p>
      <w:pPr>
        <w:spacing w:after="0" w:line="214" w:lineRule="exact"/>
        <w:rPr>
          <w:sz w:val="20"/>
          <w:szCs w:val="20"/>
          <w:color w:val="auto"/>
        </w:rPr>
      </w:pPr>
    </w:p>
    <w:p>
      <w:pPr>
        <w:ind w:left="1220" w:right="20" w:hanging="402"/>
        <w:spacing w:after="0" w:line="261" w:lineRule="auto"/>
        <w:tabs>
          <w:tab w:leader="none" w:pos="122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The company sells oil production at or near the wellhead and receives an agreed-upon index price from the purchaser, net of basis, quality and transportation differentials. Under this arrangement, control transfers at or near the wellhead.</w:t>
      </w:r>
    </w:p>
    <w:p>
      <w:pPr>
        <w:spacing w:after="0" w:line="172" w:lineRule="exact"/>
        <w:rPr>
          <w:rFonts w:ascii="Arial" w:cs="Arial" w:eastAsia="Arial" w:hAnsi="Arial"/>
          <w:sz w:val="19"/>
          <w:szCs w:val="19"/>
          <w:color w:val="auto"/>
        </w:rPr>
      </w:pPr>
    </w:p>
    <w:p>
      <w:pPr>
        <w:jc w:val="both"/>
        <w:ind w:left="1220" w:hanging="402"/>
        <w:spacing w:after="0" w:line="276" w:lineRule="auto"/>
        <w:tabs>
          <w:tab w:leader="none" w:pos="12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Company sells unprocessed natural gas to a midstream processor at the inlet of the midstream processing entity’s system. The midstream processor gathers and processes the raw natural gas stream and remits proceeds to the Company from the ultimate saleof the processed natural gas liquids and residue gas to third parties. In such arrangements, the midstream processor obtains control of the product at the inlet and is considered the Company’s customer. Proceeds received for unprocessed gas under these arrangements are reflected as oil and natural gas revenues within the consolidatedstatements of operations and are recorded net of transportation and processing fees incurred by the midstream processor after control has transferred.</w:t>
      </w:r>
    </w:p>
    <w:p>
      <w:pPr>
        <w:spacing w:after="0" w:line="163"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Significant judgments made in applying the guidance in ASC Topic 606 relate to the point in time when control transfers to customers in gas processing arrangements with midstream processors. The Company does not believe that significant judgments are required with respect to the determinationof the transaction price, including amounts that represent variable consideration, as volume and price carry a low level of estimation uncertainty given the precision of volumetric measurements and the use of index pricing with generally predictable differentials. Accordingly, the Company doesnot consider estimates of variable consideration to be constrained.</w:t>
      </w:r>
    </w:p>
    <w:p>
      <w:pPr>
        <w:spacing w:after="0" w:line="190"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The Company’s performance obligations arise upon the production of produced oil, natural gas and natural gas liquids from wells in which the Company has an ownership interest. The performance obligations are considered satisfied upon control transferring to a purchaser at the wellhead, inlet, or tailgate of the midstream processor’s processing facility, or other contractually specified delivery point. The time period between production and satisfaction of performance obligations is generallyless than one day; thus, there are no material unsatisfied or partially unsatisfied performance obligations at the end of the reporting period.</w:t>
      </w:r>
    </w:p>
    <w:p>
      <w:pPr>
        <w:spacing w:after="0" w:line="190"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Revenue is recorded in the month when performance obligations are satisfied. However, settlement statements from the purchasers of produced oil, natural gas and natural gas liquids and the related cash consideration are received 30 to 90 days after production has occurred. As a result, the Company must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estimate the amount of production delivered to the customer and the consideration that will ultimately be received for sale of the product. Estimated revenue due to the Company is recorded within the accounts receivable line item on the accompanying consolidated balance sheet until payment is received. The accounts receivable balance from contracts with customers within the accompanying consolidated balance sheet as of September 30, 2021 was $4.6 million. To estimate accounts receivable from contracts with customers, the Company uses knowledge of its properties, historical performance, contractual arrangements, index pricing, quality and transportation differentials, and other factors as the basis for these estimates. Differences between estimates and actual amounts received for product sales are recorded in the month that payment is received from the purchaser. Revenue recognized for the year ended September 30, 2021 that related to performance obligations satisfied in prior reporting periods was immaterial.</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For the Company’s product sales that have a contract term of one year or less, the Company has utilized the practical expedient in ASC 606 that exempts it from disclosure of the transaction priceallocated to remaining performance obligations if the performance obligation is part of a contract that has an original expected duration of one year or less.</w:t>
      </w:r>
    </w:p>
    <w:p>
      <w:pPr>
        <w:spacing w:after="0" w:line="184"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For the Company’s product sales that have a contract term greater than one year, the Company has utilized the practical expedient in ASC 606 that states it is not required to disclose the transactionprice allocated to the remaining performance obligations if the variable consideration is allocated entirely to a wholly unsatisfied performance obligation. Under these sales contracts, each unit of product represents a separate performance obligation; therefore future volumes are wholly unsatisfied and disclosure of the transaction price allocated to remaining performance obligations is not required.</w:t>
      </w: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Gas Gathering Revenue</w:t>
      </w:r>
    </w:p>
    <w:p>
      <w:pPr>
        <w:spacing w:after="0" w:line="214"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The Company also provides natural gas gathering and compression services through its ownership interest in a gas gathering system. The Company’s gathering revenues are generated in Texas. For the provision of gas gathering and compression services, the Company collects its share of the gathering and compression fees per unit of gas serviced and recognizes gathering revenue over time using an output method based on units of gas gathered.</w:t>
      </w:r>
    </w:p>
    <w:p>
      <w:pPr>
        <w:spacing w:after="0" w:line="183" w:lineRule="exact"/>
        <w:rPr>
          <w:sz w:val="20"/>
          <w:szCs w:val="20"/>
          <w:color w:val="auto"/>
        </w:rPr>
      </w:pPr>
    </w:p>
    <w:p>
      <w:pPr>
        <w:ind w:left="420" w:hanging="412"/>
        <w:spacing w:after="0"/>
        <w:tabs>
          <w:tab w:leader="none" w:pos="420" w:val="left"/>
        </w:tabs>
        <w:numPr>
          <w:ilvl w:val="0"/>
          <w:numId w:val="134"/>
        </w:numPr>
        <w:rPr>
          <w:rFonts w:ascii="Arial" w:cs="Arial" w:eastAsia="Arial" w:hAnsi="Arial"/>
          <w:sz w:val="22"/>
          <w:szCs w:val="22"/>
          <w:b w:val="1"/>
          <w:bCs w:val="1"/>
          <w:color w:val="auto"/>
        </w:rPr>
      </w:pPr>
      <w:r>
        <w:rPr>
          <w:rFonts w:ascii="Arial" w:cs="Arial" w:eastAsia="Arial" w:hAnsi="Arial"/>
          <w:sz w:val="22"/>
          <w:szCs w:val="22"/>
          <w:b w:val="1"/>
          <w:bCs w:val="1"/>
          <w:color w:val="auto"/>
        </w:rPr>
        <w:t>Fair Value Measurements</w:t>
      </w:r>
    </w:p>
    <w:p>
      <w:pPr>
        <w:spacing w:after="0" w:line="211"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There is a three-level valuation hierarchy for disclosure of fair value measurements. The valuation hierarchy categorizes assets and liabilities measured at fair value into one of three different levelsdepending on the observability of the inputs employed in the measurement. The three levels are defined as follows:</w:t>
      </w:r>
    </w:p>
    <w:p>
      <w:pPr>
        <w:spacing w:after="0" w:line="7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inputs to the valuation methodology are quoted prices (unadjusted) for identical assets or liabilities in active markets.</w:t>
      </w:r>
    </w:p>
    <w:p>
      <w:pPr>
        <w:spacing w:after="0" w:line="117" w:lineRule="exact"/>
        <w:rPr>
          <w:sz w:val="20"/>
          <w:szCs w:val="20"/>
          <w:color w:val="auto"/>
        </w:rPr>
      </w:pPr>
    </w:p>
    <w:p>
      <w:pPr>
        <w:ind w:left="820"/>
        <w:spacing w:after="0" w:line="29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inputs to the valuation methodology include quoted prices for similar assetsand liabilities in active markets, and inputs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observable for the asset or liability, either directly or indirectly, for substantially the full term of the financial instrument.</w:t>
      </w:r>
    </w:p>
    <w:p>
      <w:pPr>
        <w:spacing w:after="0" w:line="29" w:lineRule="exact"/>
        <w:rPr>
          <w:sz w:val="20"/>
          <w:szCs w:val="20"/>
          <w:color w:val="auto"/>
        </w:rPr>
      </w:pPr>
    </w:p>
    <w:p>
      <w:pPr>
        <w:ind w:left="820"/>
        <w:spacing w:after="0"/>
        <w:rPr>
          <w:sz w:val="20"/>
          <w:szCs w:val="20"/>
          <w:color w:val="auto"/>
        </w:rPr>
      </w:pPr>
      <w:r>
        <w:rPr>
          <w:rFonts w:ascii="Arial" w:cs="Arial" w:eastAsia="Arial" w:hAnsi="Arial"/>
          <w:sz w:val="19"/>
          <w:szCs w:val="19"/>
          <w:b w:val="1"/>
          <w:bCs w:val="1"/>
          <w:color w:val="auto"/>
        </w:rPr>
        <w:t xml:space="preserve">Level 3 </w:t>
      </w:r>
      <w:r>
        <w:rPr>
          <w:rFonts w:ascii="Arial" w:cs="Arial" w:eastAsia="Arial" w:hAnsi="Arial"/>
          <w:sz w:val="19"/>
          <w:szCs w:val="19"/>
          <w:color w:val="auto"/>
        </w:rPr>
        <w:t>- inputs to the valuation methodology are unobservable and significant to thefair value measurement.</w:t>
      </w: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A financial instrument’s categorization within the valuation hierarchy is based upon the lowest level of input that is significant to the fair value measurement. The Company’s assessment of the significance of a particular input to the fair value measurement in its entirety requires judgment and considers factors specific to the asset or liability.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sets forth the assets and liabilities measured at fair value on a recurring basis,by level, as of September 30, 2021: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2"/>
          </w:tcPr>
          <w:p>
            <w:pPr>
              <w:ind w:left="80"/>
              <w:spacing w:after="0"/>
              <w:rPr>
                <w:sz w:val="20"/>
                <w:szCs w:val="20"/>
                <w:color w:val="auto"/>
              </w:rPr>
            </w:pPr>
            <w:r>
              <w:rPr>
                <w:rFonts w:ascii="Arial" w:cs="Arial" w:eastAsia="Arial" w:hAnsi="Arial"/>
                <w:sz w:val="19"/>
                <w:szCs w:val="19"/>
                <w:b w:val="1"/>
                <w:bCs w:val="1"/>
                <w:i w:val="1"/>
                <w:iCs w:val="1"/>
                <w:color w:val="auto"/>
                <w:w w:val="89"/>
              </w:rPr>
              <w:t>As of September 30, 2021</w:t>
            </w:r>
          </w:p>
        </w:tc>
        <w:tc>
          <w:tcPr>
            <w:tcW w:w="3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37"/>
        </w:trPr>
        <w:tc>
          <w:tcPr>
            <w:tcW w:w="58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b w:val="1"/>
                <w:bCs w:val="1"/>
                <w:color w:val="auto"/>
              </w:rPr>
              <w:t>Level 1</w:t>
            </w:r>
          </w:p>
        </w:tc>
        <w:tc>
          <w:tcPr>
            <w:tcW w:w="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80"/>
              <w:spacing w:after="0"/>
              <w:rPr>
                <w:sz w:val="20"/>
                <w:szCs w:val="20"/>
                <w:color w:val="auto"/>
              </w:rPr>
            </w:pPr>
            <w:r>
              <w:rPr>
                <w:rFonts w:ascii="Arial" w:cs="Arial" w:eastAsia="Arial" w:hAnsi="Arial"/>
                <w:sz w:val="19"/>
                <w:szCs w:val="19"/>
                <w:b w:val="1"/>
                <w:bCs w:val="1"/>
                <w:color w:val="auto"/>
              </w:rPr>
              <w:t>Level 2</w:t>
            </w: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b w:val="1"/>
                <w:bCs w:val="1"/>
                <w:color w:val="auto"/>
              </w:rPr>
              <w:t>Level 3</w:t>
            </w:r>
          </w:p>
        </w:tc>
        <w:tc>
          <w:tcPr>
            <w:tcW w:w="3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66"/>
              <w:spacing w:after="0"/>
              <w:rPr>
                <w:sz w:val="20"/>
                <w:szCs w:val="20"/>
                <w:color w:val="auto"/>
              </w:rPr>
            </w:pPr>
            <w:r>
              <w:rPr>
                <w:rFonts w:ascii="Arial" w:cs="Arial" w:eastAsia="Arial" w:hAnsi="Arial"/>
                <w:sz w:val="19"/>
                <w:szCs w:val="19"/>
                <w:b w:val="1"/>
                <w:bCs w:val="1"/>
                <w:color w:val="auto"/>
              </w:rPr>
              <w:t>Total</w:t>
            </w:r>
          </w:p>
        </w:tc>
      </w:tr>
      <w:tr>
        <w:trPr>
          <w:trHeight w:val="195"/>
        </w:trPr>
        <w:tc>
          <w:tcPr>
            <w:tcW w:w="5840" w:type="dxa"/>
            <w:vAlign w:val="bottom"/>
          </w:tcPr>
          <w:p>
            <w:pPr>
              <w:spacing w:after="0" w:line="194" w:lineRule="exact"/>
              <w:rPr>
                <w:sz w:val="20"/>
                <w:szCs w:val="20"/>
                <w:color w:val="auto"/>
              </w:rPr>
            </w:pPr>
            <w:r>
              <w:rPr>
                <w:rFonts w:ascii="Arial" w:cs="Arial" w:eastAsia="Arial" w:hAnsi="Arial"/>
                <w:sz w:val="19"/>
                <w:szCs w:val="19"/>
                <w:b w:val="1"/>
                <w:bCs w:val="1"/>
                <w:color w:val="auto"/>
              </w:rPr>
              <w:t>Derivative Asset</w:t>
            </w: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9"/>
                <w:szCs w:val="19"/>
                <w:b w:val="1"/>
                <w:bCs w:val="1"/>
                <w:color w:val="auto"/>
              </w:rPr>
              <w:t>(Commodity Contracts)</w:t>
            </w:r>
          </w:p>
        </w:tc>
        <w:tc>
          <w:tcPr>
            <w:tcW w:w="960" w:type="dxa"/>
            <w:vAlign w:val="bottom"/>
          </w:tcPr>
          <w:p>
            <w:pPr>
              <w:jc w:val="right"/>
              <w:ind w:right="766"/>
              <w:spacing w:after="0"/>
              <w:rPr>
                <w:sz w:val="20"/>
                <w:szCs w:val="20"/>
                <w:color w:val="auto"/>
              </w:rPr>
            </w:pPr>
            <w:r>
              <w:rPr>
                <w:rFonts w:ascii="Arial" w:cs="Arial" w:eastAsia="Arial" w:hAnsi="Arial"/>
                <w:sz w:val="19"/>
                <w:szCs w:val="19"/>
                <w:color w:val="auto"/>
                <w:w w:val="75"/>
              </w:rPr>
              <w:t>$</w:t>
            </w:r>
          </w:p>
        </w:tc>
        <w:tc>
          <w:tcPr>
            <w:tcW w:w="280" w:type="dxa"/>
            <w:vAlign w:val="bottom"/>
          </w:tcPr>
          <w:p>
            <w:pPr>
              <w:jc w:val="right"/>
              <w:ind w:right="26"/>
              <w:spacing w:after="0"/>
              <w:rPr>
                <w:sz w:val="20"/>
                <w:szCs w:val="20"/>
                <w:color w:val="auto"/>
              </w:rPr>
            </w:pPr>
            <w:r>
              <w:rPr>
                <w:rFonts w:ascii="Arial" w:cs="Arial" w:eastAsia="Arial" w:hAnsi="Arial"/>
                <w:sz w:val="19"/>
                <w:szCs w:val="19"/>
                <w:color w:val="auto"/>
              </w:rPr>
              <w:t>-</w:t>
            </w:r>
          </w:p>
        </w:tc>
        <w:tc>
          <w:tcPr>
            <w:tcW w:w="320" w:type="dxa"/>
            <w:vAlign w:val="bottom"/>
          </w:tcPr>
          <w:p>
            <w:pPr>
              <w:jc w:val="right"/>
              <w:spacing w:after="0"/>
              <w:rPr>
                <w:sz w:val="20"/>
                <w:szCs w:val="20"/>
                <w:color w:val="auto"/>
              </w:rPr>
            </w:pPr>
            <w:r>
              <w:rPr>
                <w:rFonts w:ascii="Arial" w:cs="Arial" w:eastAsia="Arial" w:hAnsi="Arial"/>
                <w:sz w:val="19"/>
                <w:szCs w:val="19"/>
                <w:color w:val="auto"/>
              </w:rPr>
              <w:t>$</w:t>
            </w:r>
          </w:p>
        </w:tc>
        <w:tc>
          <w:tcPr>
            <w:tcW w:w="1060" w:type="dxa"/>
            <w:vAlign w:val="bottom"/>
          </w:tcPr>
          <w:p>
            <w:pPr>
              <w:jc w:val="right"/>
              <w:ind w:right="26"/>
              <w:spacing w:after="0"/>
              <w:rPr>
                <w:sz w:val="20"/>
                <w:szCs w:val="20"/>
                <w:color w:val="auto"/>
              </w:rPr>
            </w:pPr>
            <w:r>
              <w:rPr>
                <w:rFonts w:ascii="Arial" w:cs="Arial" w:eastAsia="Arial" w:hAnsi="Arial"/>
                <w:sz w:val="19"/>
                <w:szCs w:val="19"/>
                <w:color w:val="auto"/>
              </w:rPr>
              <w:t>114,858</w:t>
            </w:r>
          </w:p>
        </w:tc>
        <w:tc>
          <w:tcPr>
            <w:tcW w:w="1100" w:type="dxa"/>
            <w:vAlign w:val="bottom"/>
          </w:tcPr>
          <w:p>
            <w:pPr>
              <w:jc w:val="right"/>
              <w:ind w:right="786"/>
              <w:spacing w:after="0"/>
              <w:rPr>
                <w:sz w:val="20"/>
                <w:szCs w:val="20"/>
                <w:color w:val="auto"/>
              </w:rPr>
            </w:pPr>
            <w:r>
              <w:rPr>
                <w:rFonts w:ascii="Arial" w:cs="Arial" w:eastAsia="Arial" w:hAnsi="Arial"/>
                <w:sz w:val="19"/>
                <w:szCs w:val="19"/>
                <w:color w:val="auto"/>
              </w:rPr>
              <w:t>$</w:t>
            </w:r>
          </w:p>
        </w:tc>
        <w:tc>
          <w:tcPr>
            <w:tcW w:w="300" w:type="dxa"/>
            <w:vAlign w:val="bottom"/>
          </w:tcPr>
          <w:p>
            <w:pPr>
              <w:jc w:val="right"/>
              <w:ind w:right="46"/>
              <w:spacing w:after="0"/>
              <w:rPr>
                <w:sz w:val="20"/>
                <w:szCs w:val="20"/>
                <w:color w:val="auto"/>
              </w:rPr>
            </w:pPr>
            <w:r>
              <w:rPr>
                <w:rFonts w:ascii="Arial" w:cs="Arial" w:eastAsia="Arial" w:hAnsi="Arial"/>
                <w:sz w:val="19"/>
                <w:szCs w:val="19"/>
                <w:color w:val="auto"/>
              </w:rPr>
              <w:t>-</w:t>
            </w:r>
          </w:p>
        </w:tc>
        <w:tc>
          <w:tcPr>
            <w:tcW w:w="340" w:type="dxa"/>
            <w:vAlign w:val="bottom"/>
          </w:tcPr>
          <w:p>
            <w:pPr>
              <w:jc w:val="right"/>
              <w:ind w:right="26"/>
              <w:spacing w:after="0"/>
              <w:rPr>
                <w:sz w:val="20"/>
                <w:szCs w:val="20"/>
                <w:color w:val="auto"/>
              </w:rPr>
            </w:pPr>
            <w:r>
              <w:rPr>
                <w:rFonts w:ascii="Arial" w:cs="Arial" w:eastAsia="Arial" w:hAnsi="Arial"/>
                <w:sz w:val="19"/>
                <w:szCs w:val="19"/>
                <w:color w:val="auto"/>
              </w:rPr>
              <w:t>$</w:t>
            </w:r>
          </w:p>
        </w:tc>
        <w:tc>
          <w:tcPr>
            <w:tcW w:w="1040" w:type="dxa"/>
            <w:vAlign w:val="bottom"/>
          </w:tcPr>
          <w:p>
            <w:pPr>
              <w:jc w:val="right"/>
              <w:ind w:right="26"/>
              <w:spacing w:after="0"/>
              <w:rPr>
                <w:sz w:val="20"/>
                <w:szCs w:val="20"/>
                <w:color w:val="auto"/>
              </w:rPr>
            </w:pPr>
            <w:r>
              <w:rPr>
                <w:rFonts w:ascii="Arial" w:cs="Arial" w:eastAsia="Arial" w:hAnsi="Arial"/>
                <w:sz w:val="19"/>
                <w:szCs w:val="19"/>
                <w:color w:val="auto"/>
              </w:rPr>
              <w:t>114,858</w:t>
            </w:r>
          </w:p>
        </w:tc>
      </w:tr>
      <w:tr>
        <w:trPr>
          <w:trHeight w:val="216"/>
        </w:trPr>
        <w:tc>
          <w:tcPr>
            <w:tcW w:w="5840" w:type="dxa"/>
            <w:vAlign w:val="bottom"/>
          </w:tcPr>
          <w:p>
            <w:pPr>
              <w:spacing w:after="0" w:line="216" w:lineRule="exact"/>
              <w:rPr>
                <w:sz w:val="20"/>
                <w:szCs w:val="20"/>
                <w:color w:val="auto"/>
              </w:rPr>
            </w:pPr>
            <w:r>
              <w:rPr>
                <w:rFonts w:ascii="Arial" w:cs="Arial" w:eastAsia="Arial" w:hAnsi="Arial"/>
                <w:sz w:val="19"/>
                <w:szCs w:val="19"/>
                <w:b w:val="1"/>
                <w:bCs w:val="1"/>
                <w:color w:val="auto"/>
              </w:rPr>
              <w:t>Derivative Liability</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4"/>
        </w:trPr>
        <w:tc>
          <w:tcPr>
            <w:tcW w:w="5840" w:type="dxa"/>
            <w:vAlign w:val="bottom"/>
            <w:tcBorders>
              <w:bottom w:val="single" w:sz="8" w:color="auto"/>
            </w:tcBorders>
          </w:tcPr>
          <w:p>
            <w:pPr>
              <w:ind w:left="140"/>
              <w:spacing w:after="0"/>
              <w:rPr>
                <w:sz w:val="20"/>
                <w:szCs w:val="20"/>
                <w:color w:val="auto"/>
              </w:rPr>
            </w:pPr>
            <w:r>
              <w:rPr>
                <w:rFonts w:ascii="Arial" w:cs="Arial" w:eastAsia="Arial" w:hAnsi="Arial"/>
                <w:sz w:val="19"/>
                <w:szCs w:val="19"/>
                <w:b w:val="1"/>
                <w:bCs w:val="1"/>
                <w:color w:val="auto"/>
              </w:rPr>
              <w:t>(Commodity Contracts)</w:t>
            </w:r>
          </w:p>
        </w:tc>
        <w:tc>
          <w:tcPr>
            <w:tcW w:w="960" w:type="dxa"/>
            <w:vAlign w:val="bottom"/>
            <w:tcBorders>
              <w:bottom w:val="single" w:sz="8" w:color="auto"/>
            </w:tcBorders>
          </w:tcPr>
          <w:p>
            <w:pPr>
              <w:jc w:val="right"/>
              <w:ind w:right="766"/>
              <w:spacing w:after="0"/>
              <w:rPr>
                <w:sz w:val="20"/>
                <w:szCs w:val="20"/>
                <w:color w:val="auto"/>
              </w:rPr>
            </w:pPr>
            <w:r>
              <w:rPr>
                <w:rFonts w:ascii="Arial" w:cs="Arial" w:eastAsia="Arial" w:hAnsi="Arial"/>
                <w:sz w:val="19"/>
                <w:szCs w:val="19"/>
                <w:color w:val="auto"/>
                <w:w w:val="75"/>
              </w:rPr>
              <w:t>$</w:t>
            </w:r>
          </w:p>
        </w:tc>
        <w:tc>
          <w:tcPr>
            <w:tcW w:w="28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0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6,875,146</w:t>
            </w:r>
          </w:p>
        </w:tc>
        <w:tc>
          <w:tcPr>
            <w:tcW w:w="1100" w:type="dxa"/>
            <w:vAlign w:val="bottom"/>
            <w:tcBorders>
              <w:bottom w:val="single" w:sz="8" w:color="auto"/>
            </w:tcBorders>
          </w:tcPr>
          <w:p>
            <w:pPr>
              <w:jc w:val="right"/>
              <w:ind w:right="786"/>
              <w:spacing w:after="0"/>
              <w:rPr>
                <w:sz w:val="20"/>
                <w:szCs w:val="20"/>
                <w:color w:val="auto"/>
              </w:rPr>
            </w:pPr>
            <w:r>
              <w:rPr>
                <w:rFonts w:ascii="Arial" w:cs="Arial" w:eastAsia="Arial" w:hAnsi="Arial"/>
                <w:sz w:val="19"/>
                <w:szCs w:val="19"/>
                <w:color w:val="auto"/>
              </w:rPr>
              <w:t>$</w:t>
            </w:r>
          </w:p>
        </w:tc>
        <w:tc>
          <w:tcPr>
            <w:tcW w:w="30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w:t>
            </w:r>
          </w:p>
        </w:tc>
        <w:tc>
          <w:tcPr>
            <w:tcW w:w="34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w:t>
            </w:r>
          </w:p>
        </w:tc>
        <w:tc>
          <w:tcPr>
            <w:tcW w:w="104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6,875,146</w:t>
            </w:r>
          </w:p>
        </w:tc>
      </w:tr>
    </w:tbl>
    <w:p>
      <w:pPr>
        <w:spacing w:after="0" w:line="2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estimates the fair value of its derivative instruments based on published forward commodity price curves as of the date of the estimate, less discounts to recognize present values. The Company estimated the fair value of its derivatives using a pricing model which also consideredmarket volatility, counterparty credit risk and additional criteria in determining discount rates. Thediscount rate used in the discounted cash flow projections was based on published LIBOR rates, Eurodollar futures rates and interest swap rates. The counterparty credit risk was determined by calculating the difference between the derivative counterparty’s bond rate and published bond rates. A credit valuation adjustment (“CVA”) for the Company is incorporated into the derivative valuation when the overall derivative position with a counterparty is in a liability position. A CVA is calculated based on the spread between the Company’s credit curve and a risk-free rate.</w:t>
      </w:r>
    </w:p>
    <w:p>
      <w:pPr>
        <w:spacing w:after="0" w:line="23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At September 30, 2021, the carrying value of cash, restricted cash, receivables and payables reflected in the Company’s consolidated financial statements approximates fair value due to their short-term nature. The fair value of the Main Street Lending Program Loan approximates fair value due to the interest rate being reflective of market rates.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non-financial assets and liabilities, which are initially measured at fair value, are comprised primarily of asset retirement obligations. These liabilities are recorded at fair value whenacquired/incurred, but not re-measured at fair value in subsequent periods. The Company classifies such initial measurements as Level 3, since certain significant unobservable inputs are utilized in their determination. The fair value of additions to the asset retirement obligations and certain changes in the estimated fair value of the liabilities are measured using valuation techniques consistent with the income approach, converting future cash flows to a single discounted amount. Inputs to the valuation include: (1) estimated plug and abandonment cost based on a third-party study; (2) estimated remaining life of each field; (3) the Company’s credit-adjusted risk-free interest rate of 3.12%; and (4) the average inflation factor of 1.80%. These inputs require significant judgments and estimates by the Company’s management at the time of the valuation, and are themost sensitive and subject to change.</w:t>
      </w:r>
    </w:p>
    <w:p>
      <w:pPr>
        <w:spacing w:after="0" w:line="180" w:lineRule="exact"/>
        <w:rPr>
          <w:sz w:val="20"/>
          <w:szCs w:val="20"/>
          <w:color w:val="auto"/>
        </w:rPr>
      </w:pPr>
    </w:p>
    <w:p>
      <w:pPr>
        <w:ind w:left="420" w:hanging="412"/>
        <w:spacing w:after="0"/>
        <w:tabs>
          <w:tab w:leader="none" w:pos="420" w:val="left"/>
        </w:tabs>
        <w:numPr>
          <w:ilvl w:val="0"/>
          <w:numId w:val="135"/>
        </w:numPr>
        <w:rPr>
          <w:rFonts w:ascii="Arial" w:cs="Arial" w:eastAsia="Arial" w:hAnsi="Arial"/>
          <w:sz w:val="22"/>
          <w:szCs w:val="22"/>
          <w:b w:val="1"/>
          <w:bCs w:val="1"/>
          <w:color w:val="auto"/>
        </w:rPr>
      </w:pPr>
      <w:r>
        <w:rPr>
          <w:rFonts w:ascii="Arial" w:cs="Arial" w:eastAsia="Arial" w:hAnsi="Arial"/>
          <w:sz w:val="22"/>
          <w:szCs w:val="22"/>
          <w:b w:val="1"/>
          <w:bCs w:val="1"/>
          <w:color w:val="auto"/>
        </w:rPr>
        <w:t>Derivative Contracts</w:t>
      </w:r>
    </w:p>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9"/>
          <w:szCs w:val="19"/>
          <w:color w:val="auto"/>
        </w:rPr>
        <w:t>The Company periodically utilizes various hedging strategies to manage the price received for a portion of its future oil and natural gas production to reduce exposure to fluctuations in oil and natural gas prices and to achieve a more predictable cash flow.</w:t>
      </w:r>
    </w:p>
    <w:p>
      <w:pPr>
        <w:spacing w:after="0" w:line="159"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During 2021, the Company entered into certain derivative contracts to manage the impact of oil and natural gas price fluctuations and as required by the terms of its credit facility. The Company did not designate these transactions as hedges. Accordingly, all gains and losses on the derivative instruments during 2021 have been recorded in the consolidated statement of operations.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9"/>
          <w:szCs w:val="19"/>
          <w:color w:val="auto"/>
        </w:rPr>
        <w:t>The Company’s derivative positions at September 30, 2021, consisting of costless collars and puts, are shown in the following table:</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 of September 30, 2021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4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Weighted</w:t>
            </w:r>
          </w:p>
        </w:tc>
      </w:tr>
      <w:tr>
        <w:trPr>
          <w:trHeight w:val="203"/>
        </w:trPr>
        <w:tc>
          <w:tcPr>
            <w:tcW w:w="1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3"/>
              </w:rPr>
              <w:t>Notional</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r>
      <w:tr>
        <w:trPr>
          <w:trHeight w:val="213"/>
        </w:trPr>
        <w:tc>
          <w:tcPr>
            <w:tcW w:w="14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Start Date</w:t>
            </w:r>
          </w:p>
        </w:tc>
        <w:tc>
          <w:tcPr>
            <w:tcW w:w="13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End Date</w:t>
            </w:r>
          </w:p>
        </w:tc>
        <w:tc>
          <w:tcPr>
            <w:tcW w:w="12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3"/>
              </w:rPr>
              <w:t>Commodity</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Option Type</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Quantity</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Floor</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Ceiling</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Premium</w:t>
            </w:r>
          </w:p>
        </w:tc>
      </w:tr>
      <w:tr>
        <w:trPr>
          <w:trHeight w:val="207"/>
        </w:trPr>
        <w:tc>
          <w:tcPr>
            <w:tcW w:w="1440" w:type="dxa"/>
            <w:vAlign w:val="bottom"/>
          </w:tcPr>
          <w:p>
            <w:pPr>
              <w:jc w:val="right"/>
              <w:ind w:right="119"/>
              <w:spacing w:after="0"/>
              <w:rPr>
                <w:sz w:val="20"/>
                <w:szCs w:val="20"/>
                <w:color w:val="auto"/>
              </w:rPr>
            </w:pPr>
            <w:r>
              <w:rPr>
                <w:rFonts w:ascii="Arial" w:cs="Arial" w:eastAsia="Arial" w:hAnsi="Arial"/>
                <w:sz w:val="16"/>
                <w:szCs w:val="16"/>
                <w:color w:val="auto"/>
              </w:rPr>
              <w:t>11/1/2021</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10/31/2024</w:t>
            </w:r>
          </w:p>
        </w:tc>
        <w:tc>
          <w:tcPr>
            <w:tcW w:w="1240" w:type="dxa"/>
            <w:vAlign w:val="bottom"/>
          </w:tcPr>
          <w:p>
            <w:pPr>
              <w:jc w:val="center"/>
              <w:ind w:right="19"/>
              <w:spacing w:after="0"/>
              <w:rPr>
                <w:sz w:val="20"/>
                <w:szCs w:val="20"/>
                <w:color w:val="auto"/>
              </w:rPr>
            </w:pPr>
            <w:r>
              <w:rPr>
                <w:rFonts w:ascii="Arial" w:cs="Arial" w:eastAsia="Arial" w:hAnsi="Arial"/>
                <w:sz w:val="16"/>
                <w:szCs w:val="16"/>
                <w:color w:val="auto"/>
                <w:w w:val="91"/>
              </w:rPr>
              <w:t>Natural Gas</w:t>
            </w:r>
          </w:p>
        </w:tc>
        <w:tc>
          <w:tcPr>
            <w:tcW w:w="1360" w:type="dxa"/>
            <w:vAlign w:val="bottom"/>
          </w:tcPr>
          <w:p>
            <w:pPr>
              <w:jc w:val="center"/>
              <w:spacing w:after="0"/>
              <w:rPr>
                <w:sz w:val="20"/>
                <w:szCs w:val="20"/>
                <w:color w:val="auto"/>
              </w:rPr>
            </w:pPr>
            <w:r>
              <w:rPr>
                <w:rFonts w:ascii="Arial" w:cs="Arial" w:eastAsia="Arial" w:hAnsi="Arial"/>
                <w:sz w:val="16"/>
                <w:szCs w:val="16"/>
                <w:color w:val="auto"/>
                <w:w w:val="95"/>
              </w:rPr>
              <w:t>Collar</w:t>
            </w:r>
          </w:p>
        </w:tc>
        <w:tc>
          <w:tcPr>
            <w:tcW w:w="1840" w:type="dxa"/>
            <w:vAlign w:val="bottom"/>
          </w:tcPr>
          <w:p>
            <w:pPr>
              <w:jc w:val="center"/>
              <w:spacing w:after="0"/>
              <w:rPr>
                <w:sz w:val="20"/>
                <w:szCs w:val="20"/>
                <w:color w:val="auto"/>
              </w:rPr>
            </w:pPr>
            <w:r>
              <w:rPr>
                <w:rFonts w:ascii="Arial" w:cs="Arial" w:eastAsia="Arial" w:hAnsi="Arial"/>
                <w:sz w:val="16"/>
                <w:szCs w:val="16"/>
                <w:color w:val="auto"/>
                <w:w w:val="96"/>
              </w:rPr>
              <w:t>6,570,000 MMBTU</w:t>
            </w:r>
          </w:p>
        </w:tc>
        <w:tc>
          <w:tcPr>
            <w:tcW w:w="1320" w:type="dxa"/>
            <w:vAlign w:val="bottom"/>
          </w:tcPr>
          <w:p>
            <w:pPr>
              <w:jc w:val="right"/>
              <w:ind w:right="399"/>
              <w:spacing w:after="0"/>
              <w:rPr>
                <w:sz w:val="20"/>
                <w:szCs w:val="20"/>
                <w:color w:val="auto"/>
              </w:rPr>
            </w:pPr>
            <w:r>
              <w:rPr>
                <w:rFonts w:ascii="Arial" w:cs="Arial" w:eastAsia="Arial" w:hAnsi="Arial"/>
                <w:sz w:val="16"/>
                <w:szCs w:val="16"/>
                <w:color w:val="auto"/>
              </w:rPr>
              <w:t>$2.175</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$3.093</w:t>
            </w:r>
          </w:p>
        </w:tc>
        <w:tc>
          <w:tcPr>
            <w:tcW w:w="1340" w:type="dxa"/>
            <w:vAlign w:val="bottom"/>
          </w:tcPr>
          <w:p>
            <w:pPr>
              <w:jc w:val="center"/>
              <w:spacing w:after="0"/>
              <w:rPr>
                <w:sz w:val="20"/>
                <w:szCs w:val="20"/>
                <w:color w:val="auto"/>
              </w:rPr>
            </w:pPr>
            <w:r>
              <w:rPr>
                <w:rFonts w:ascii="Arial" w:cs="Arial" w:eastAsia="Arial" w:hAnsi="Arial"/>
                <w:sz w:val="16"/>
                <w:szCs w:val="16"/>
                <w:color w:val="auto"/>
                <w:w w:val="87"/>
              </w:rPr>
              <w:t>Costless</w:t>
            </w:r>
          </w:p>
        </w:tc>
      </w:tr>
      <w:tr>
        <w:trPr>
          <w:trHeight w:val="219"/>
        </w:trPr>
        <w:tc>
          <w:tcPr>
            <w:tcW w:w="1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1/1/2021</w:t>
            </w: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3/31/2023</w:t>
            </w:r>
          </w:p>
        </w:tc>
        <w:tc>
          <w:tcPr>
            <w:tcW w:w="12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97"/>
              </w:rPr>
              <w:t>Crude Oil</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Put</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317,900 BBL</w:t>
            </w:r>
          </w:p>
        </w:tc>
        <w:tc>
          <w:tcPr>
            <w:tcW w:w="13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$29.310</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$1.998</w:t>
            </w:r>
          </w:p>
        </w:tc>
      </w:tr>
    </w:tbl>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Gross fair values of the Company’s derivative instruments, prior to netting of assets and liabilities subject to a master netting arrangement,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360" w:type="dxa"/>
            <w:vAlign w:val="bottom"/>
          </w:tcPr>
          <w:p>
            <w:pPr>
              <w:ind w:left="1180"/>
              <w:spacing w:after="0"/>
              <w:rPr>
                <w:sz w:val="20"/>
                <w:szCs w:val="20"/>
                <w:color w:val="auto"/>
              </w:rPr>
            </w:pPr>
            <w:r>
              <w:rPr>
                <w:rFonts w:ascii="Arial" w:cs="Arial" w:eastAsia="Arial" w:hAnsi="Arial"/>
                <w:sz w:val="19"/>
                <w:szCs w:val="19"/>
                <w:b w:val="1"/>
                <w:bCs w:val="1"/>
                <w:color w:val="auto"/>
              </w:rPr>
              <w:t>Derivative</w:t>
            </w:r>
          </w:p>
        </w:tc>
        <w:tc>
          <w:tcPr>
            <w:tcW w:w="4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00" w:type="dxa"/>
            <w:vAlign w:val="bottom"/>
          </w:tcPr>
          <w:p>
            <w:pPr>
              <w:jc w:val="right"/>
              <w:ind w:right="606"/>
              <w:spacing w:after="0"/>
              <w:rPr>
                <w:sz w:val="20"/>
                <w:szCs w:val="20"/>
                <w:color w:val="auto"/>
              </w:rPr>
            </w:pPr>
            <w:r>
              <w:rPr>
                <w:rFonts w:ascii="Arial" w:cs="Arial" w:eastAsia="Arial" w:hAnsi="Arial"/>
                <w:sz w:val="19"/>
                <w:szCs w:val="19"/>
                <w:b w:val="1"/>
                <w:bCs w:val="1"/>
                <w:color w:val="auto"/>
              </w:rPr>
              <w:t>Fair Value as of</w:t>
            </w:r>
          </w:p>
        </w:tc>
      </w:tr>
      <w:tr>
        <w:trPr>
          <w:trHeight w:val="244"/>
        </w:trPr>
        <w:tc>
          <w:tcPr>
            <w:tcW w:w="3360" w:type="dxa"/>
            <w:vAlign w:val="bottom"/>
            <w:tcBorders>
              <w:bottom w:val="single" w:sz="8" w:color="auto"/>
            </w:tcBorders>
          </w:tcPr>
          <w:p>
            <w:pPr>
              <w:ind w:left="720"/>
              <w:spacing w:after="0"/>
              <w:rPr>
                <w:sz w:val="20"/>
                <w:szCs w:val="20"/>
                <w:color w:val="auto"/>
              </w:rPr>
            </w:pPr>
            <w:r>
              <w:rPr>
                <w:rFonts w:ascii="Arial" w:cs="Arial" w:eastAsia="Arial" w:hAnsi="Arial"/>
                <w:sz w:val="19"/>
                <w:szCs w:val="19"/>
                <w:b w:val="1"/>
                <w:bCs w:val="1"/>
                <w:color w:val="auto"/>
              </w:rPr>
              <w:t>Financial Instruments</w:t>
            </w:r>
          </w:p>
        </w:tc>
        <w:tc>
          <w:tcPr>
            <w:tcW w:w="4800" w:type="dxa"/>
            <w:vAlign w:val="bottom"/>
            <w:tcBorders>
              <w:bottom w:val="single" w:sz="8" w:color="auto"/>
            </w:tcBorders>
          </w:tcPr>
          <w:p>
            <w:pPr>
              <w:jc w:val="center"/>
              <w:ind w:left="266"/>
              <w:spacing w:after="0"/>
              <w:rPr>
                <w:sz w:val="20"/>
                <w:szCs w:val="20"/>
                <w:color w:val="auto"/>
              </w:rPr>
            </w:pPr>
            <w:r>
              <w:rPr>
                <w:rFonts w:ascii="Arial" w:cs="Arial" w:eastAsia="Arial" w:hAnsi="Arial"/>
                <w:sz w:val="19"/>
                <w:szCs w:val="19"/>
                <w:b w:val="1"/>
                <w:bCs w:val="1"/>
                <w:color w:val="auto"/>
                <w:w w:val="87"/>
              </w:rPr>
              <w:t>Balance Sheet Location</w:t>
            </w:r>
          </w:p>
        </w:tc>
        <w:tc>
          <w:tcPr>
            <w:tcW w:w="78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tcPr>
          <w:p>
            <w:pPr>
              <w:jc w:val="right"/>
              <w:ind w:right="466"/>
              <w:spacing w:after="0"/>
              <w:rPr>
                <w:sz w:val="20"/>
                <w:szCs w:val="20"/>
                <w:color w:val="auto"/>
              </w:rPr>
            </w:pPr>
            <w:r>
              <w:rPr>
                <w:rFonts w:ascii="Arial" w:cs="Arial" w:eastAsia="Arial" w:hAnsi="Arial"/>
                <w:sz w:val="19"/>
                <w:szCs w:val="19"/>
                <w:b w:val="1"/>
                <w:bCs w:val="1"/>
                <w:color w:val="auto"/>
                <w:w w:val="96"/>
              </w:rPr>
              <w:t>September 30, 2021</w:t>
            </w:r>
          </w:p>
        </w:tc>
      </w:tr>
      <w:tr>
        <w:trPr>
          <w:trHeight w:val="214"/>
        </w:trPr>
        <w:tc>
          <w:tcPr>
            <w:tcW w:w="3360" w:type="dxa"/>
            <w:vAlign w:val="bottom"/>
          </w:tcPr>
          <w:p>
            <w:pPr>
              <w:spacing w:after="0" w:line="214" w:lineRule="exact"/>
              <w:rPr>
                <w:sz w:val="20"/>
                <w:szCs w:val="20"/>
                <w:color w:val="auto"/>
              </w:rPr>
            </w:pPr>
            <w:r>
              <w:rPr>
                <w:rFonts w:ascii="Arial" w:cs="Arial" w:eastAsia="Arial" w:hAnsi="Arial"/>
                <w:sz w:val="19"/>
                <w:szCs w:val="19"/>
                <w:color w:val="auto"/>
              </w:rPr>
              <w:t>Commodity Contracts</w:t>
            </w:r>
          </w:p>
        </w:tc>
        <w:tc>
          <w:tcPr>
            <w:tcW w:w="4800" w:type="dxa"/>
            <w:vAlign w:val="bottom"/>
          </w:tcPr>
          <w:p>
            <w:pPr>
              <w:jc w:val="center"/>
              <w:ind w:left="266"/>
              <w:spacing w:after="0" w:line="214" w:lineRule="exact"/>
              <w:rPr>
                <w:sz w:val="20"/>
                <w:szCs w:val="20"/>
                <w:color w:val="auto"/>
              </w:rPr>
            </w:pPr>
            <w:r>
              <w:rPr>
                <w:rFonts w:ascii="Arial" w:cs="Arial" w:eastAsia="Arial" w:hAnsi="Arial"/>
                <w:sz w:val="19"/>
                <w:szCs w:val="19"/>
                <w:color w:val="auto"/>
                <w:w w:val="89"/>
              </w:rPr>
              <w:t>Current Assets - Derivative Assets</w:t>
            </w:r>
          </w:p>
        </w:tc>
        <w:tc>
          <w:tcPr>
            <w:tcW w:w="780" w:type="dxa"/>
            <w:vAlign w:val="bottom"/>
          </w:tcPr>
          <w:p>
            <w:pPr>
              <w:jc w:val="right"/>
              <w:ind w:right="86"/>
              <w:spacing w:after="0" w:line="214" w:lineRule="exact"/>
              <w:rPr>
                <w:sz w:val="20"/>
                <w:szCs w:val="20"/>
                <w:color w:val="auto"/>
              </w:rPr>
            </w:pPr>
            <w:r>
              <w:rPr>
                <w:rFonts w:ascii="Arial" w:cs="Arial" w:eastAsia="Arial" w:hAnsi="Arial"/>
                <w:sz w:val="19"/>
                <w:szCs w:val="19"/>
                <w:color w:val="auto"/>
              </w:rPr>
              <w:t>$</w:t>
            </w:r>
          </w:p>
        </w:tc>
        <w:tc>
          <w:tcPr>
            <w:tcW w:w="2300" w:type="dxa"/>
            <w:vAlign w:val="bottom"/>
          </w:tcPr>
          <w:p>
            <w:pPr>
              <w:jc w:val="right"/>
              <w:ind w:right="26"/>
              <w:spacing w:after="0" w:line="214" w:lineRule="exact"/>
              <w:rPr>
                <w:sz w:val="20"/>
                <w:szCs w:val="20"/>
                <w:color w:val="auto"/>
              </w:rPr>
            </w:pPr>
            <w:r>
              <w:rPr>
                <w:rFonts w:ascii="Arial" w:cs="Arial" w:eastAsia="Arial" w:hAnsi="Arial"/>
                <w:sz w:val="19"/>
                <w:szCs w:val="19"/>
                <w:color w:val="auto"/>
              </w:rPr>
              <w:t>14,806</w:t>
            </w:r>
          </w:p>
        </w:tc>
      </w:tr>
      <w:tr>
        <w:trPr>
          <w:trHeight w:val="229"/>
        </w:trPr>
        <w:tc>
          <w:tcPr>
            <w:tcW w:w="3360" w:type="dxa"/>
            <w:vAlign w:val="bottom"/>
          </w:tcPr>
          <w:p>
            <w:pPr>
              <w:spacing w:after="0"/>
              <w:rPr>
                <w:sz w:val="20"/>
                <w:szCs w:val="20"/>
                <w:color w:val="auto"/>
              </w:rPr>
            </w:pPr>
            <w:r>
              <w:rPr>
                <w:rFonts w:ascii="Arial" w:cs="Arial" w:eastAsia="Arial" w:hAnsi="Arial"/>
                <w:sz w:val="19"/>
                <w:szCs w:val="19"/>
                <w:color w:val="auto"/>
              </w:rPr>
              <w:t>Commodity Contracts</w:t>
            </w:r>
          </w:p>
        </w:tc>
        <w:tc>
          <w:tcPr>
            <w:tcW w:w="4800" w:type="dxa"/>
            <w:vAlign w:val="bottom"/>
          </w:tcPr>
          <w:p>
            <w:pPr>
              <w:jc w:val="center"/>
              <w:ind w:left="286"/>
              <w:spacing w:after="0"/>
              <w:rPr>
                <w:sz w:val="20"/>
                <w:szCs w:val="20"/>
                <w:color w:val="auto"/>
              </w:rPr>
            </w:pPr>
            <w:r>
              <w:rPr>
                <w:rFonts w:ascii="Arial" w:cs="Arial" w:eastAsia="Arial" w:hAnsi="Arial"/>
                <w:sz w:val="19"/>
                <w:szCs w:val="19"/>
                <w:color w:val="auto"/>
                <w:w w:val="90"/>
              </w:rPr>
              <w:t>Noncurrent Assets - Derivative Assets</w:t>
            </w:r>
          </w:p>
        </w:tc>
        <w:tc>
          <w:tcPr>
            <w:tcW w:w="780" w:type="dxa"/>
            <w:vAlign w:val="bottom"/>
          </w:tcPr>
          <w:p>
            <w:pPr>
              <w:jc w:val="right"/>
              <w:ind w:right="86"/>
              <w:spacing w:after="0"/>
              <w:rPr>
                <w:sz w:val="20"/>
                <w:szCs w:val="20"/>
                <w:color w:val="auto"/>
              </w:rPr>
            </w:pPr>
            <w:r>
              <w:rPr>
                <w:rFonts w:ascii="Arial" w:cs="Arial" w:eastAsia="Arial" w:hAnsi="Arial"/>
                <w:sz w:val="19"/>
                <w:szCs w:val="19"/>
                <w:color w:val="auto"/>
              </w:rPr>
              <w:t>$</w:t>
            </w:r>
          </w:p>
        </w:tc>
        <w:tc>
          <w:tcPr>
            <w:tcW w:w="2300" w:type="dxa"/>
            <w:vAlign w:val="bottom"/>
          </w:tcPr>
          <w:p>
            <w:pPr>
              <w:jc w:val="right"/>
              <w:ind w:right="26"/>
              <w:spacing w:after="0"/>
              <w:rPr>
                <w:sz w:val="20"/>
                <w:szCs w:val="20"/>
                <w:color w:val="auto"/>
              </w:rPr>
            </w:pPr>
            <w:r>
              <w:rPr>
                <w:rFonts w:ascii="Arial" w:cs="Arial" w:eastAsia="Arial" w:hAnsi="Arial"/>
                <w:sz w:val="19"/>
                <w:szCs w:val="19"/>
                <w:color w:val="auto"/>
              </w:rPr>
              <w:t>100,052</w:t>
            </w:r>
          </w:p>
        </w:tc>
      </w:tr>
      <w:tr>
        <w:trPr>
          <w:trHeight w:val="230"/>
        </w:trPr>
        <w:tc>
          <w:tcPr>
            <w:tcW w:w="3360" w:type="dxa"/>
            <w:vAlign w:val="bottom"/>
          </w:tcPr>
          <w:p>
            <w:pPr>
              <w:spacing w:after="0"/>
              <w:rPr>
                <w:sz w:val="20"/>
                <w:szCs w:val="20"/>
                <w:color w:val="auto"/>
              </w:rPr>
            </w:pPr>
            <w:r>
              <w:rPr>
                <w:rFonts w:ascii="Arial" w:cs="Arial" w:eastAsia="Arial" w:hAnsi="Arial"/>
                <w:sz w:val="19"/>
                <w:szCs w:val="19"/>
                <w:color w:val="auto"/>
              </w:rPr>
              <w:t>Commodity Contracts</w:t>
            </w:r>
          </w:p>
        </w:tc>
        <w:tc>
          <w:tcPr>
            <w:tcW w:w="4800" w:type="dxa"/>
            <w:vAlign w:val="bottom"/>
          </w:tcPr>
          <w:p>
            <w:pPr>
              <w:jc w:val="center"/>
              <w:ind w:left="266"/>
              <w:spacing w:after="0"/>
              <w:rPr>
                <w:sz w:val="20"/>
                <w:szCs w:val="20"/>
                <w:color w:val="auto"/>
              </w:rPr>
            </w:pPr>
            <w:r>
              <w:rPr>
                <w:rFonts w:ascii="Arial" w:cs="Arial" w:eastAsia="Arial" w:hAnsi="Arial"/>
                <w:sz w:val="19"/>
                <w:szCs w:val="19"/>
                <w:color w:val="auto"/>
                <w:w w:val="95"/>
              </w:rPr>
              <w:t>Current Liabilities - Derivative Liabilities</w:t>
            </w:r>
          </w:p>
        </w:tc>
        <w:tc>
          <w:tcPr>
            <w:tcW w:w="780" w:type="dxa"/>
            <w:vAlign w:val="bottom"/>
          </w:tcPr>
          <w:p>
            <w:pPr>
              <w:jc w:val="right"/>
              <w:ind w:right="86"/>
              <w:spacing w:after="0"/>
              <w:rPr>
                <w:sz w:val="20"/>
                <w:szCs w:val="20"/>
                <w:color w:val="auto"/>
              </w:rPr>
            </w:pPr>
            <w:r>
              <w:rPr>
                <w:rFonts w:ascii="Arial" w:cs="Arial" w:eastAsia="Arial" w:hAnsi="Arial"/>
                <w:sz w:val="19"/>
                <w:szCs w:val="19"/>
                <w:color w:val="auto"/>
              </w:rPr>
              <w:t>$</w:t>
            </w:r>
          </w:p>
        </w:tc>
        <w:tc>
          <w:tcPr>
            <w:tcW w:w="2300" w:type="dxa"/>
            <w:vAlign w:val="bottom"/>
          </w:tcPr>
          <w:p>
            <w:pPr>
              <w:jc w:val="right"/>
              <w:spacing w:after="0"/>
              <w:rPr>
                <w:sz w:val="20"/>
                <w:szCs w:val="20"/>
                <w:color w:val="auto"/>
              </w:rPr>
            </w:pPr>
            <w:r>
              <w:rPr>
                <w:rFonts w:ascii="Arial" w:cs="Arial" w:eastAsia="Arial" w:hAnsi="Arial"/>
                <w:sz w:val="19"/>
                <w:szCs w:val="19"/>
                <w:color w:val="auto"/>
              </w:rPr>
              <w:t>(5,185,147)</w:t>
            </w:r>
          </w:p>
        </w:tc>
      </w:tr>
      <w:tr>
        <w:trPr>
          <w:trHeight w:val="238"/>
        </w:trPr>
        <w:tc>
          <w:tcPr>
            <w:tcW w:w="336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Commodity Contracts</w:t>
            </w:r>
          </w:p>
        </w:tc>
        <w:tc>
          <w:tcPr>
            <w:tcW w:w="4800" w:type="dxa"/>
            <w:vAlign w:val="bottom"/>
            <w:tcBorders>
              <w:bottom w:val="single" w:sz="8" w:color="auto"/>
            </w:tcBorders>
          </w:tcPr>
          <w:p>
            <w:pPr>
              <w:jc w:val="center"/>
              <w:ind w:left="266"/>
              <w:spacing w:after="0"/>
              <w:rPr>
                <w:sz w:val="20"/>
                <w:szCs w:val="20"/>
                <w:color w:val="auto"/>
              </w:rPr>
            </w:pPr>
            <w:r>
              <w:rPr>
                <w:rFonts w:ascii="Arial" w:cs="Arial" w:eastAsia="Arial" w:hAnsi="Arial"/>
                <w:sz w:val="19"/>
                <w:szCs w:val="19"/>
                <w:color w:val="auto"/>
                <w:w w:val="95"/>
              </w:rPr>
              <w:t>Long Term Liabilities - Derivative Liabilities</w:t>
            </w:r>
          </w:p>
        </w:tc>
        <w:tc>
          <w:tcPr>
            <w:tcW w:w="780" w:type="dxa"/>
            <w:vAlign w:val="bottom"/>
            <w:tcBorders>
              <w:bottom w:val="single" w:sz="8" w:color="auto"/>
            </w:tcBorders>
          </w:tcPr>
          <w:p>
            <w:pPr>
              <w:jc w:val="right"/>
              <w:ind w:right="86"/>
              <w:spacing w:after="0"/>
              <w:rPr>
                <w:sz w:val="20"/>
                <w:szCs w:val="20"/>
                <w:color w:val="auto"/>
              </w:rPr>
            </w:pPr>
            <w:r>
              <w:rPr>
                <w:rFonts w:ascii="Arial" w:cs="Arial" w:eastAsia="Arial" w:hAnsi="Arial"/>
                <w:sz w:val="19"/>
                <w:szCs w:val="19"/>
                <w:color w:val="auto"/>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(1,689,999)</w:t>
            </w:r>
          </w:p>
        </w:tc>
      </w:tr>
      <w:tr>
        <w:trPr>
          <w:trHeight w:val="223"/>
        </w:trPr>
        <w:tc>
          <w:tcPr>
            <w:tcW w:w="336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Total Derivatives, net</w:t>
            </w:r>
          </w:p>
        </w:tc>
        <w:tc>
          <w:tcPr>
            <w:tcW w:w="48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86"/>
              <w:spacing w:after="0"/>
              <w:rPr>
                <w:sz w:val="20"/>
                <w:szCs w:val="20"/>
                <w:color w:val="auto"/>
              </w:rPr>
            </w:pPr>
            <w:r>
              <w:rPr>
                <w:rFonts w:ascii="Arial" w:cs="Arial" w:eastAsia="Arial" w:hAnsi="Arial"/>
                <w:sz w:val="19"/>
                <w:szCs w:val="19"/>
                <w:color w:val="auto"/>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(6,760,288)</w:t>
            </w:r>
          </w:p>
        </w:tc>
      </w:tr>
    </w:tbl>
    <w:p>
      <w:pPr>
        <w:spacing w:after="0" w:line="288"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All of the gains and losses related to derivative contracts are recorded through the “Loss on derivative instruments” account in the consolidated statement of operations.</w:t>
      </w:r>
    </w:p>
    <w:p>
      <w:pPr>
        <w:spacing w:after="0" w:line="168" w:lineRule="exact"/>
        <w:rPr>
          <w:sz w:val="20"/>
          <w:szCs w:val="20"/>
          <w:color w:val="auto"/>
        </w:rPr>
      </w:pPr>
    </w:p>
    <w:p>
      <w:pPr>
        <w:ind w:left="420" w:hanging="412"/>
        <w:spacing w:after="0"/>
        <w:tabs>
          <w:tab w:leader="none" w:pos="420" w:val="left"/>
        </w:tabs>
        <w:numPr>
          <w:ilvl w:val="0"/>
          <w:numId w:val="136"/>
        </w:numPr>
        <w:rPr>
          <w:rFonts w:ascii="Arial" w:cs="Arial" w:eastAsia="Arial" w:hAnsi="Arial"/>
          <w:sz w:val="22"/>
          <w:szCs w:val="22"/>
          <w:b w:val="1"/>
          <w:bCs w:val="1"/>
          <w:color w:val="auto"/>
        </w:rPr>
      </w:pPr>
      <w:r>
        <w:rPr>
          <w:rFonts w:ascii="Arial" w:cs="Arial" w:eastAsia="Arial" w:hAnsi="Arial"/>
          <w:sz w:val="22"/>
          <w:szCs w:val="22"/>
          <w:b w:val="1"/>
          <w:bCs w:val="1"/>
          <w:color w:val="auto"/>
        </w:rPr>
        <w:t>Acquisitions and Divestitures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May 2021 Disposition</w:t>
      </w:r>
    </w:p>
    <w:p>
      <w:pPr>
        <w:spacing w:after="0" w:line="10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 May 2021, the Company closed on the sale of certain oil and natural gas properties located in various counties in Texas and New Mexico. The Company received no proceeds, but was relieved of $568 thousand of plugging liability. The Company did not recognize a gain or loss on the sale as thedivestiture did not significantly alter the relationship between capitalized costs and proved oil andgas reserves.</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September 2021 Acquisition</w:t>
      </w:r>
    </w:p>
    <w:p>
      <w:pPr>
        <w:spacing w:after="0" w:line="106" w:lineRule="exact"/>
        <w:rPr>
          <w:sz w:val="20"/>
          <w:szCs w:val="20"/>
          <w:color w:val="auto"/>
        </w:rPr>
      </w:pPr>
    </w:p>
    <w:p>
      <w:pPr>
        <w:jc w:val="both"/>
        <w:ind w:right="20"/>
        <w:spacing w:after="0" w:line="261" w:lineRule="auto"/>
        <w:rPr>
          <w:sz w:val="20"/>
          <w:szCs w:val="20"/>
          <w:color w:val="auto"/>
        </w:rPr>
      </w:pPr>
      <w:r>
        <w:rPr>
          <w:rFonts w:ascii="Arial" w:cs="Arial" w:eastAsia="Arial" w:hAnsi="Arial"/>
          <w:sz w:val="19"/>
          <w:szCs w:val="19"/>
          <w:color w:val="auto"/>
        </w:rPr>
        <w:t>In September 2021, the Company closed on the acquisition of the remaining working interest in the Uhyrek #1-OL Unit located in Fayette County, Texas. The full cost pool was increased by the purchase price of $456 thousand.</w:t>
      </w:r>
    </w:p>
    <w:p>
      <w:pPr>
        <w:spacing w:after="0" w:line="168" w:lineRule="exact"/>
        <w:rPr>
          <w:sz w:val="20"/>
          <w:szCs w:val="20"/>
          <w:color w:val="auto"/>
        </w:rPr>
      </w:pPr>
    </w:p>
    <w:p>
      <w:pPr>
        <w:spacing w:after="0"/>
        <w:tabs>
          <w:tab w:leader="none" w:pos="400" w:val="left"/>
        </w:tabs>
        <w:rPr>
          <w:sz w:val="20"/>
          <w:szCs w:val="20"/>
          <w:color w:val="auto"/>
        </w:rPr>
      </w:pPr>
      <w:r>
        <w:rPr>
          <w:rFonts w:ascii="Arial" w:cs="Arial" w:eastAsia="Arial" w:hAnsi="Arial"/>
          <w:sz w:val="22"/>
          <w:szCs w:val="22"/>
          <w:b w:val="1"/>
          <w:bCs w:val="1"/>
          <w:color w:val="auto"/>
        </w:rPr>
        <w:t>7.</w:t>
        <w:tab/>
        <w:t>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Long-term debt consists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i w:val="1"/>
                <w:iCs w:val="1"/>
                <w:color w:val="auto"/>
              </w:rPr>
              <w:t>September 30,</w:t>
            </w:r>
          </w:p>
        </w:tc>
        <w:tc>
          <w:tcPr>
            <w:tcW w:w="3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766"/>
              <w:spacing w:after="0"/>
              <w:rPr>
                <w:sz w:val="20"/>
                <w:szCs w:val="20"/>
                <w:color w:val="auto"/>
              </w:rPr>
            </w:pPr>
            <w:r>
              <w:rPr>
                <w:rFonts w:ascii="Arial" w:cs="Arial" w:eastAsia="Arial" w:hAnsi="Arial"/>
                <w:sz w:val="19"/>
                <w:szCs w:val="19"/>
                <w:b w:val="1"/>
                <w:bCs w:val="1"/>
                <w:color w:val="auto"/>
              </w:rPr>
              <w:t>2021</w:t>
            </w:r>
          </w:p>
        </w:tc>
      </w:tr>
      <w:tr>
        <w:trPr>
          <w:trHeight w:val="214"/>
        </w:trPr>
        <w:tc>
          <w:tcPr>
            <w:tcW w:w="6200" w:type="dxa"/>
            <w:vAlign w:val="bottom"/>
          </w:tcPr>
          <w:p>
            <w:pPr>
              <w:spacing w:after="0" w:line="214" w:lineRule="exact"/>
              <w:rPr>
                <w:sz w:val="20"/>
                <w:szCs w:val="20"/>
                <w:color w:val="auto"/>
              </w:rPr>
            </w:pPr>
            <w:r>
              <w:rPr>
                <w:rFonts w:ascii="Arial" w:cs="Arial" w:eastAsia="Arial" w:hAnsi="Arial"/>
                <w:sz w:val="19"/>
                <w:szCs w:val="19"/>
                <w:color w:val="auto"/>
              </w:rPr>
              <w:t>2020 Main Street Lending Program Loan</w:t>
            </w:r>
          </w:p>
        </w:tc>
        <w:tc>
          <w:tcPr>
            <w:tcW w:w="3480" w:type="dxa"/>
            <w:vAlign w:val="bottom"/>
          </w:tcPr>
          <w:p>
            <w:pPr>
              <w:jc w:val="right"/>
              <w:ind w:right="226"/>
              <w:spacing w:after="0" w:line="214" w:lineRule="exact"/>
              <w:rPr>
                <w:sz w:val="20"/>
                <w:szCs w:val="20"/>
                <w:color w:val="auto"/>
              </w:rPr>
            </w:pPr>
            <w:r>
              <w:rPr>
                <w:rFonts w:ascii="Arial" w:cs="Arial" w:eastAsia="Arial" w:hAnsi="Arial"/>
                <w:sz w:val="19"/>
                <w:szCs w:val="19"/>
                <w:color w:val="auto"/>
              </w:rPr>
              <w:t>$</w:t>
            </w:r>
          </w:p>
        </w:tc>
        <w:tc>
          <w:tcPr>
            <w:tcW w:w="1560" w:type="dxa"/>
            <w:vAlign w:val="bottom"/>
          </w:tcPr>
          <w:p>
            <w:pPr>
              <w:jc w:val="right"/>
              <w:ind w:right="26"/>
              <w:spacing w:after="0" w:line="214" w:lineRule="exact"/>
              <w:rPr>
                <w:sz w:val="20"/>
                <w:szCs w:val="20"/>
                <w:color w:val="auto"/>
              </w:rPr>
            </w:pPr>
            <w:r>
              <w:rPr>
                <w:rFonts w:ascii="Arial" w:cs="Arial" w:eastAsia="Arial" w:hAnsi="Arial"/>
                <w:sz w:val="19"/>
                <w:szCs w:val="19"/>
                <w:color w:val="auto"/>
              </w:rPr>
              <w:t>42,080,153</w:t>
            </w:r>
          </w:p>
        </w:tc>
      </w:tr>
      <w:tr>
        <w:trPr>
          <w:trHeight w:val="238"/>
        </w:trPr>
        <w:tc>
          <w:tcPr>
            <w:tcW w:w="620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Less: Deferred Loan Costs</w:t>
            </w:r>
          </w:p>
        </w:tc>
        <w:tc>
          <w:tcPr>
            <w:tcW w:w="34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826,561</w:t>
            </w:r>
          </w:p>
        </w:tc>
      </w:tr>
      <w:tr>
        <w:trPr>
          <w:trHeight w:val="223"/>
        </w:trPr>
        <w:tc>
          <w:tcPr>
            <w:tcW w:w="62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Long-Term Debt, net</w:t>
            </w:r>
          </w:p>
        </w:tc>
        <w:tc>
          <w:tcPr>
            <w:tcW w:w="3480" w:type="dxa"/>
            <w:vAlign w:val="bottom"/>
            <w:tcBorders>
              <w:bottom w:val="single" w:sz="8" w:color="auto"/>
            </w:tcBorders>
          </w:tcPr>
          <w:p>
            <w:pPr>
              <w:jc w:val="right"/>
              <w:ind w:right="226"/>
              <w:spacing w:after="0"/>
              <w:rPr>
                <w:sz w:val="20"/>
                <w:szCs w:val="20"/>
                <w:color w:val="auto"/>
              </w:rPr>
            </w:pPr>
            <w:r>
              <w:rPr>
                <w:rFonts w:ascii="Arial" w:cs="Arial" w:eastAsia="Arial" w:hAnsi="Arial"/>
                <w:sz w:val="19"/>
                <w:szCs w:val="19"/>
                <w:color w:val="auto"/>
              </w:rPr>
              <w:t>$</w:t>
            </w: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41,253,592</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Paycheck Protection Program Loan</w:t>
      </w:r>
    </w:p>
    <w:p>
      <w:pPr>
        <w:spacing w:after="0" w:line="10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Company entered into two loans in the amounts of $501 thousand on April 29, 2020, and $525 thousand on February 16, 2021, with the Paycheck Protection Program through the United States Small Business Administration. Each loan had a term of two years and carried an interest rate of 1%.The loan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353" w:lineRule="exact"/>
        <w:rPr>
          <w:sz w:val="20"/>
          <w:szCs w:val="20"/>
          <w:color w:val="auto"/>
        </w:rPr>
      </w:pPr>
    </w:p>
    <w:p>
      <w:pPr>
        <w:jc w:val="both"/>
        <w:spacing w:after="0" w:line="320" w:lineRule="auto"/>
        <w:rPr>
          <w:sz w:val="20"/>
          <w:szCs w:val="20"/>
          <w:color w:val="auto"/>
        </w:rPr>
      </w:pPr>
      <w:r>
        <w:rPr>
          <w:rFonts w:ascii="Arial" w:cs="Arial" w:eastAsia="Arial" w:hAnsi="Arial"/>
          <w:sz w:val="17"/>
          <w:szCs w:val="17"/>
          <w:color w:val="auto"/>
        </w:rPr>
        <w:t>amounts were based on approximately 2.5 months’ of payroll, rent and utilities expense and were forgivable upon showing support for applicable expenditures and proof of eligibility requirements. The Company submitted forgiveness applications and the loans were forgiven in June</w:t>
      </w:r>
    </w:p>
    <w:p>
      <w:pPr>
        <w:spacing w:after="0" w:line="27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and August of 2021, respectively. The Company has elected to use ASC 470 to account for these loans, and has recognized gains on forgiveness of debt in the periods in which the debt was legallyforgiven. The application for these funds required the Company to, in good faith, certify that the current economic uncertainty made the loan requests necessary to support the ongoing operationsof the Company. The receipt of these funds, and the forgiveness of the loans attendant to these funds, was dependent on the Company having initially qualified for the loan and qualifying for the forgiveness of such loans based on its future adherence to the forgiveness criteria.</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Main Street Lending Program Loan Facility</w:t>
      </w:r>
    </w:p>
    <w:p>
      <w:pPr>
        <w:spacing w:after="0" w:line="10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On September 4, 2020, RAM, with Holdings, Fayette and Service, as guarantors, entered into a $40.8 million loan facility with the Main Street Lending Program and Vast Bank (the “Main Street Loan”).The Company used $26.5 million of the proceeds to repay the debt with a former lender and deferredloan costs.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Main Street Loan matures in 2025 and carries an interest rate of LIBOR plus 3%. The loan provides for interest to be paid in-kind through September 4, 2021 in the amount of $1.3 million. The first interest payment is due October 4, 2021 and each month thereafter. Principal is due as follows: 15%on September 4, 2023, 15% on September 4, 2024, and the remaining 70% on September 4, 2025.</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Main Street Loan is secured by liens on substantially all properties and assets of the borrowers. The loan agreement contains representations, warranties and covenants customary in transactions of this nature, including a financial covenant relating to a minimum debt service coverage ratio, calculated semi-annually. As of September 30, 2021, the Company was in compliance with its financial covenants.</w:t>
      </w:r>
    </w:p>
    <w:p>
      <w:pPr>
        <w:spacing w:after="0" w:line="176" w:lineRule="exact"/>
        <w:rPr>
          <w:sz w:val="20"/>
          <w:szCs w:val="20"/>
          <w:color w:val="auto"/>
        </w:rPr>
      </w:pPr>
    </w:p>
    <w:p>
      <w:pPr>
        <w:ind w:left="420" w:hanging="412"/>
        <w:spacing w:after="0"/>
        <w:tabs>
          <w:tab w:leader="none" w:pos="420" w:val="left"/>
        </w:tabs>
        <w:numPr>
          <w:ilvl w:val="0"/>
          <w:numId w:val="137"/>
        </w:numPr>
        <w:rPr>
          <w:rFonts w:ascii="Arial" w:cs="Arial" w:eastAsia="Arial" w:hAnsi="Arial"/>
          <w:sz w:val="22"/>
          <w:szCs w:val="22"/>
          <w:b w:val="1"/>
          <w:bCs w:val="1"/>
          <w:color w:val="auto"/>
        </w:rPr>
      </w:pPr>
      <w:r>
        <w:rPr>
          <w:rFonts w:ascii="Arial" w:cs="Arial" w:eastAsia="Arial" w:hAnsi="Arial"/>
          <w:sz w:val="22"/>
          <w:szCs w:val="22"/>
          <w:b w:val="1"/>
          <w:bCs w:val="1"/>
          <w:color w:val="auto"/>
        </w:rPr>
        <w:t>Commitments and Contingencies</w:t>
      </w:r>
    </w:p>
    <w:p>
      <w:pPr>
        <w:spacing w:after="0" w:line="171" w:lineRule="exact"/>
        <w:rPr>
          <w:sz w:val="20"/>
          <w:szCs w:val="20"/>
          <w:color w:val="auto"/>
        </w:rPr>
      </w:pPr>
    </w:p>
    <w:p>
      <w:pPr>
        <w:jc w:val="both"/>
        <w:ind w:right="320"/>
        <w:spacing w:after="0" w:line="249" w:lineRule="auto"/>
        <w:rPr>
          <w:sz w:val="20"/>
          <w:szCs w:val="20"/>
          <w:color w:val="auto"/>
        </w:rPr>
      </w:pPr>
      <w:r>
        <w:rPr>
          <w:rFonts w:ascii="Arial" w:cs="Arial" w:eastAsia="Arial" w:hAnsi="Arial"/>
          <w:sz w:val="19"/>
          <w:szCs w:val="19"/>
          <w:color w:val="auto"/>
        </w:rPr>
        <w:t>From time to time the Company may be involved in claims and litigation arising in the ordinary course of business. In the opinion of management, the outcome of all existing matters will not have a material adverse effect on the Company’s financial position or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Leases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RAM leases office space and certain equipment under non-cancelable operating lease agreements that expire on various dates through 2024.</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Approximate future minimum lease payments as of September 30, 2021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Year Ending September 30,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940" w:type="dxa"/>
            <w:vAlign w:val="bottom"/>
            <w:tcBorders>
              <w:top w:val="single" w:sz="8" w:color="auto"/>
            </w:tcBorders>
          </w:tcPr>
          <w:p>
            <w:pPr>
              <w:jc w:val="right"/>
              <w:ind w:right="4206"/>
              <w:spacing w:after="0" w:line="214" w:lineRule="exact"/>
              <w:rPr>
                <w:sz w:val="20"/>
                <w:szCs w:val="20"/>
                <w:color w:val="auto"/>
              </w:rPr>
            </w:pPr>
            <w:r>
              <w:rPr>
                <w:rFonts w:ascii="Arial" w:cs="Arial" w:eastAsia="Arial" w:hAnsi="Arial"/>
                <w:sz w:val="19"/>
                <w:szCs w:val="19"/>
                <w:color w:val="auto"/>
              </w:rPr>
              <w:t>2022</w:t>
            </w:r>
          </w:p>
        </w:tc>
        <w:tc>
          <w:tcPr>
            <w:tcW w:w="5160" w:type="dxa"/>
            <w:vAlign w:val="bottom"/>
            <w:tcBorders>
              <w:top w:val="single" w:sz="8" w:color="auto"/>
            </w:tcBorders>
          </w:tcPr>
          <w:p>
            <w:pPr>
              <w:jc w:val="right"/>
              <w:ind w:right="646"/>
              <w:spacing w:after="0" w:line="214" w:lineRule="exact"/>
              <w:rPr>
                <w:sz w:val="20"/>
                <w:szCs w:val="20"/>
                <w:color w:val="auto"/>
              </w:rPr>
            </w:pPr>
            <w:r>
              <w:rPr>
                <w:rFonts w:ascii="Arial" w:cs="Arial" w:eastAsia="Arial" w:hAnsi="Arial"/>
                <w:sz w:val="19"/>
                <w:szCs w:val="19"/>
                <w:color w:val="auto"/>
              </w:rPr>
              <w:t>$</w:t>
            </w:r>
          </w:p>
        </w:tc>
        <w:tc>
          <w:tcPr>
            <w:tcW w:w="1140" w:type="dxa"/>
            <w:vAlign w:val="bottom"/>
            <w:tcBorders>
              <w:top w:val="single" w:sz="8" w:color="auto"/>
            </w:tcBorders>
          </w:tcPr>
          <w:p>
            <w:pPr>
              <w:jc w:val="right"/>
              <w:ind w:right="26"/>
              <w:spacing w:after="0" w:line="214" w:lineRule="exact"/>
              <w:rPr>
                <w:sz w:val="20"/>
                <w:szCs w:val="20"/>
                <w:color w:val="auto"/>
              </w:rPr>
            </w:pPr>
            <w:r>
              <w:rPr>
                <w:rFonts w:ascii="Arial" w:cs="Arial" w:eastAsia="Arial" w:hAnsi="Arial"/>
                <w:sz w:val="19"/>
                <w:szCs w:val="19"/>
                <w:color w:val="auto"/>
              </w:rPr>
              <w:t>464</w:t>
            </w:r>
          </w:p>
        </w:tc>
      </w:tr>
      <w:tr>
        <w:trPr>
          <w:trHeight w:val="230"/>
        </w:trPr>
        <w:tc>
          <w:tcPr>
            <w:tcW w:w="4940" w:type="dxa"/>
            <w:vAlign w:val="bottom"/>
          </w:tcPr>
          <w:p>
            <w:pPr>
              <w:jc w:val="right"/>
              <w:ind w:right="4206"/>
              <w:spacing w:after="0"/>
              <w:rPr>
                <w:sz w:val="20"/>
                <w:szCs w:val="20"/>
                <w:color w:val="auto"/>
              </w:rPr>
            </w:pPr>
            <w:r>
              <w:rPr>
                <w:rFonts w:ascii="Arial" w:cs="Arial" w:eastAsia="Arial" w:hAnsi="Arial"/>
                <w:sz w:val="19"/>
                <w:szCs w:val="19"/>
                <w:color w:val="auto"/>
              </w:rPr>
              <w:t>2023</w:t>
            </w:r>
          </w:p>
        </w:tc>
        <w:tc>
          <w:tcPr>
            <w:tcW w:w="5160" w:type="dxa"/>
            <w:vAlign w:val="bottom"/>
          </w:tcPr>
          <w:p>
            <w:pPr>
              <w:spacing w:after="0"/>
              <w:rPr>
                <w:sz w:val="19"/>
                <w:szCs w:val="19"/>
                <w:color w:val="auto"/>
              </w:rPr>
            </w:pPr>
          </w:p>
        </w:tc>
        <w:tc>
          <w:tcPr>
            <w:tcW w:w="1140" w:type="dxa"/>
            <w:vAlign w:val="bottom"/>
          </w:tcPr>
          <w:p>
            <w:pPr>
              <w:jc w:val="right"/>
              <w:ind w:right="26"/>
              <w:spacing w:after="0"/>
              <w:rPr>
                <w:sz w:val="20"/>
                <w:szCs w:val="20"/>
                <w:color w:val="auto"/>
              </w:rPr>
            </w:pPr>
            <w:r>
              <w:rPr>
                <w:rFonts w:ascii="Arial" w:cs="Arial" w:eastAsia="Arial" w:hAnsi="Arial"/>
                <w:sz w:val="19"/>
                <w:szCs w:val="19"/>
                <w:color w:val="auto"/>
              </w:rPr>
              <w:t>118</w:t>
            </w:r>
          </w:p>
        </w:tc>
      </w:tr>
      <w:tr>
        <w:trPr>
          <w:trHeight w:val="238"/>
        </w:trPr>
        <w:tc>
          <w:tcPr>
            <w:tcW w:w="4940" w:type="dxa"/>
            <w:vAlign w:val="bottom"/>
            <w:tcBorders>
              <w:bottom w:val="single" w:sz="8" w:color="auto"/>
            </w:tcBorders>
          </w:tcPr>
          <w:p>
            <w:pPr>
              <w:jc w:val="right"/>
              <w:ind w:right="4206"/>
              <w:spacing w:after="0"/>
              <w:rPr>
                <w:sz w:val="20"/>
                <w:szCs w:val="20"/>
                <w:color w:val="auto"/>
              </w:rPr>
            </w:pPr>
            <w:r>
              <w:rPr>
                <w:rFonts w:ascii="Arial" w:cs="Arial" w:eastAsia="Arial" w:hAnsi="Arial"/>
                <w:sz w:val="19"/>
                <w:szCs w:val="19"/>
                <w:color w:val="auto"/>
              </w:rPr>
              <w:t>2024</w:t>
            </w:r>
          </w:p>
        </w:tc>
        <w:tc>
          <w:tcPr>
            <w:tcW w:w="5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9</w:t>
            </w:r>
          </w:p>
        </w:tc>
      </w:tr>
      <w:tr>
        <w:trPr>
          <w:trHeight w:val="223"/>
        </w:trPr>
        <w:tc>
          <w:tcPr>
            <w:tcW w:w="4940" w:type="dxa"/>
            <w:vAlign w:val="bottom"/>
            <w:tcBorders>
              <w:bottom w:val="single" w:sz="8" w:color="auto"/>
            </w:tcBorders>
          </w:tcPr>
          <w:p>
            <w:pPr>
              <w:spacing w:after="0"/>
              <w:rPr>
                <w:sz w:val="19"/>
                <w:szCs w:val="19"/>
                <w:color w:val="auto"/>
              </w:rPr>
            </w:pPr>
          </w:p>
        </w:tc>
        <w:tc>
          <w:tcPr>
            <w:tcW w:w="5160" w:type="dxa"/>
            <w:vAlign w:val="bottom"/>
            <w:tcBorders>
              <w:bottom w:val="single" w:sz="8" w:color="auto"/>
            </w:tcBorders>
          </w:tcPr>
          <w:p>
            <w:pPr>
              <w:jc w:val="right"/>
              <w:ind w:right="646"/>
              <w:spacing w:after="0"/>
              <w:rPr>
                <w:sz w:val="20"/>
                <w:szCs w:val="20"/>
                <w:color w:val="auto"/>
              </w:rPr>
            </w:pPr>
            <w:r>
              <w:rPr>
                <w:rFonts w:ascii="Arial" w:cs="Arial" w:eastAsia="Arial" w:hAnsi="Arial"/>
                <w:sz w:val="19"/>
                <w:szCs w:val="19"/>
                <w:color w:val="auto"/>
              </w:rPr>
              <w:t>$</w:t>
            </w:r>
          </w:p>
        </w:tc>
        <w:tc>
          <w:tcPr>
            <w:tcW w:w="114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591</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Rent expense of approximately $0.5 million was incurred under operating leases for the year endedSeptember 30, 2021.</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748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3" w:name="page124"/>
    <w:bookmarkEnd w:id="123"/>
    <w:p>
      <w:pPr>
        <w:jc w:val="center"/>
        <w:ind w:right="-19"/>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420" w:hanging="412"/>
        <w:spacing w:after="0"/>
        <w:tabs>
          <w:tab w:leader="none" w:pos="420" w:val="left"/>
        </w:tabs>
        <w:numPr>
          <w:ilvl w:val="0"/>
          <w:numId w:val="138"/>
        </w:numPr>
        <w:rPr>
          <w:rFonts w:ascii="Arial" w:cs="Arial" w:eastAsia="Arial" w:hAnsi="Arial"/>
          <w:sz w:val="22"/>
          <w:szCs w:val="22"/>
          <w:b w:val="1"/>
          <w:bCs w:val="1"/>
          <w:color w:val="auto"/>
        </w:rPr>
      </w:pPr>
      <w:r>
        <w:rPr>
          <w:rFonts w:ascii="Arial" w:cs="Arial" w:eastAsia="Arial" w:hAnsi="Arial"/>
          <w:sz w:val="22"/>
          <w:szCs w:val="22"/>
          <w:b w:val="1"/>
          <w:bCs w:val="1"/>
          <w:color w:val="auto"/>
        </w:rPr>
        <w:t>Related Party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RAM made certain payments on behalf of an officer totaling $51 thousand in 2021, which are due tothe Company as of September 30, 2021.</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Subsequent Events</w:t>
      </w:r>
    </w:p>
    <w:p>
      <w:pPr>
        <w:spacing w:after="0" w:line="211"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Company evaluates events and transactions occurring after the balance sheet date and beforethe consolidated financial statements are available for issuance. Such events and transactions have been evaluated through November 16, 2021, the date the consolidated financial statements were available to be issued.</w:t>
      </w:r>
    </w:p>
    <w:p>
      <w:pPr>
        <w:spacing w:after="0" w:line="157" w:lineRule="exact"/>
        <w:rPr>
          <w:sz w:val="20"/>
          <w:szCs w:val="20"/>
          <w:color w:val="auto"/>
        </w:rPr>
      </w:pPr>
    </w:p>
    <w:p>
      <w:pPr>
        <w:jc w:val="both"/>
        <w:ind w:right="20"/>
        <w:spacing w:after="0" w:line="261" w:lineRule="auto"/>
        <w:rPr>
          <w:sz w:val="20"/>
          <w:szCs w:val="20"/>
          <w:color w:val="auto"/>
        </w:rPr>
      </w:pPr>
      <w:r>
        <w:rPr>
          <w:rFonts w:ascii="Arial" w:cs="Arial" w:eastAsia="Arial" w:hAnsi="Arial"/>
          <w:sz w:val="19"/>
          <w:szCs w:val="19"/>
          <w:color w:val="auto"/>
        </w:rPr>
        <w:t>On October 4 and November 4, 2021, the Company paid the first and second interest paymentsdue on the Main Street loan in the amounts of $109 thousand and $113 thousand, respectively.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240"/>
          </w:cols>
          <w:pgMar w:left="320" w:top="130"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500"/>
        <w:spacing w:after="0"/>
        <w:rPr>
          <w:sz w:val="20"/>
          <w:szCs w:val="20"/>
          <w:color w:val="auto"/>
        </w:rPr>
      </w:pPr>
      <w:r>
        <w:rPr>
          <w:rFonts w:ascii="Arial" w:cs="Arial" w:eastAsia="Arial" w:hAnsi="Arial"/>
          <w:sz w:val="29"/>
          <w:szCs w:val="29"/>
          <w:b w:val="1"/>
          <w:bCs w:val="1"/>
          <w:color w:val="auto"/>
        </w:rPr>
        <w:t>RAM ENERGY HOLDINGS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29"/>
          <w:szCs w:val="29"/>
          <w:b w:val="1"/>
          <w:bCs w:val="1"/>
          <w:color w:val="auto"/>
        </w:rPr>
        <w:t>AND SUBSIDIARIES</w:t>
      </w:r>
    </w:p>
    <w:p>
      <w:pPr>
        <w:spacing w:after="0" w:line="230" w:lineRule="exact"/>
        <w:rPr>
          <w:sz w:val="20"/>
          <w:szCs w:val="20"/>
          <w:color w:val="auto"/>
        </w:rPr>
      </w:pPr>
    </w:p>
    <w:p>
      <w:pPr>
        <w:ind w:left="4500"/>
        <w:spacing w:after="0"/>
        <w:rPr>
          <w:sz w:val="20"/>
          <w:szCs w:val="20"/>
          <w:color w:val="auto"/>
        </w:rPr>
      </w:pPr>
      <w:r>
        <w:rPr>
          <w:rFonts w:ascii="Arial" w:cs="Arial" w:eastAsia="Arial" w:hAnsi="Arial"/>
          <w:sz w:val="25"/>
          <w:szCs w:val="25"/>
          <w:color w:val="auto"/>
        </w:rPr>
        <w:t>Consolidated Financial Statements</w:t>
      </w:r>
    </w:p>
    <w:p>
      <w:pPr>
        <w:spacing w:after="0" w:line="24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As of and for the Year Ended</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2383155</wp:posOffset>
            </wp:positionV>
            <wp:extent cx="71748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25" w:name="page126"/>
    <w:bookmarkEnd w:id="1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RAM ENERGY HOLDINGS LLC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45720</wp:posOffset>
            </wp:positionV>
            <wp:extent cx="713232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of and for the Year Ended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2828925</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6" w:name="page127"/>
    <w:bookmarkEnd w:id="126"/>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480" w:type="dxa"/>
            <w:vAlign w:val="bottom"/>
          </w:tcPr>
          <w:p>
            <w:pPr>
              <w:spacing w:after="0"/>
              <w:rPr>
                <w:sz w:val="21"/>
                <w:szCs w:val="21"/>
                <w:color w:val="auto"/>
              </w:rPr>
            </w:pPr>
          </w:p>
        </w:tc>
        <w:tc>
          <w:tcPr>
            <w:tcW w:w="3760" w:type="dxa"/>
            <w:vAlign w:val="bottom"/>
          </w:tcPr>
          <w:p>
            <w:pPr>
              <w:jc w:val="right"/>
              <w:spacing w:after="0"/>
              <w:rPr>
                <w:sz w:val="20"/>
                <w:szCs w:val="20"/>
                <w:color w:val="auto"/>
              </w:rPr>
            </w:pPr>
            <w:r>
              <w:rPr>
                <w:rFonts w:ascii="Arial" w:cs="Arial" w:eastAsia="Arial" w:hAnsi="Arial"/>
                <w:sz w:val="19"/>
                <w:szCs w:val="19"/>
                <w:b w:val="1"/>
                <w:bCs w:val="1"/>
                <w:color w:val="auto"/>
              </w:rPr>
              <w:t>Page</w:t>
            </w:r>
          </w:p>
        </w:tc>
      </w:tr>
      <w:tr>
        <w:trPr>
          <w:trHeight w:val="392"/>
        </w:trPr>
        <w:tc>
          <w:tcPr>
            <w:tcW w:w="7480" w:type="dxa"/>
            <w:vAlign w:val="bottom"/>
          </w:tcPr>
          <w:p>
            <w:pPr>
              <w:spacing w:after="0"/>
              <w:rPr>
                <w:sz w:val="20"/>
                <w:szCs w:val="20"/>
                <w:color w:val="auto"/>
              </w:rPr>
            </w:pPr>
            <w:r>
              <w:rPr>
                <w:rFonts w:ascii="Arial" w:cs="Arial" w:eastAsia="Arial" w:hAnsi="Arial"/>
                <w:sz w:val="19"/>
                <w:szCs w:val="19"/>
                <w:b w:val="1"/>
                <w:bCs w:val="1"/>
                <w:color w:val="auto"/>
              </w:rPr>
              <w:t>Independent Auditor’s Report</w:t>
            </w:r>
          </w:p>
        </w:tc>
        <w:tc>
          <w:tcPr>
            <w:tcW w:w="376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392"/>
        </w:trPr>
        <w:tc>
          <w:tcPr>
            <w:tcW w:w="7480" w:type="dxa"/>
            <w:vAlign w:val="bottom"/>
          </w:tcPr>
          <w:p>
            <w:pPr>
              <w:spacing w:after="0"/>
              <w:rPr>
                <w:sz w:val="20"/>
                <w:szCs w:val="20"/>
                <w:color w:val="auto"/>
              </w:rPr>
            </w:pPr>
            <w:r>
              <w:rPr>
                <w:rFonts w:ascii="Arial" w:cs="Arial" w:eastAsia="Arial" w:hAnsi="Arial"/>
                <w:sz w:val="19"/>
                <w:szCs w:val="19"/>
                <w:b w:val="1"/>
                <w:bCs w:val="1"/>
                <w:color w:val="auto"/>
              </w:rPr>
              <w:t>Consolidated Financial Statements</w:t>
            </w:r>
          </w:p>
        </w:tc>
        <w:tc>
          <w:tcPr>
            <w:tcW w:w="3760" w:type="dxa"/>
            <w:vAlign w:val="bottom"/>
          </w:tcPr>
          <w:p>
            <w:pPr>
              <w:spacing w:after="0"/>
              <w:rPr>
                <w:sz w:val="24"/>
                <w:szCs w:val="24"/>
                <w:color w:val="auto"/>
              </w:rPr>
            </w:pPr>
          </w:p>
        </w:tc>
      </w:tr>
      <w:tr>
        <w:trPr>
          <w:trHeight w:val="391"/>
        </w:trPr>
        <w:tc>
          <w:tcPr>
            <w:tcW w:w="7480" w:type="dxa"/>
            <w:vAlign w:val="bottom"/>
          </w:tcPr>
          <w:p>
            <w:pPr>
              <w:spacing w:after="0"/>
              <w:rPr>
                <w:sz w:val="20"/>
                <w:szCs w:val="20"/>
                <w:color w:val="auto"/>
              </w:rPr>
            </w:pPr>
            <w:r>
              <w:rPr>
                <w:rFonts w:ascii="Arial" w:cs="Arial" w:eastAsia="Arial" w:hAnsi="Arial"/>
                <w:sz w:val="19"/>
                <w:szCs w:val="19"/>
                <w:color w:val="auto"/>
              </w:rPr>
              <w:t>Consolidated Balance Sheet as of September 30, 2020</w:t>
            </w:r>
          </w:p>
        </w:tc>
        <w:tc>
          <w:tcPr>
            <w:tcW w:w="3760" w:type="dxa"/>
            <w:vAlign w:val="bottom"/>
          </w:tcPr>
          <w:p>
            <w:pPr>
              <w:jc w:val="right"/>
              <w:spacing w:after="0"/>
              <w:rPr>
                <w:sz w:val="20"/>
                <w:szCs w:val="20"/>
                <w:color w:val="auto"/>
              </w:rPr>
            </w:pPr>
            <w:r>
              <w:rPr>
                <w:rFonts w:ascii="Arial" w:cs="Arial" w:eastAsia="Arial" w:hAnsi="Arial"/>
                <w:sz w:val="19"/>
                <w:szCs w:val="19"/>
                <w:color w:val="auto"/>
              </w:rPr>
              <w:t>5</w:t>
            </w:r>
          </w:p>
        </w:tc>
      </w:tr>
      <w:tr>
        <w:trPr>
          <w:trHeight w:val="367"/>
        </w:trPr>
        <w:tc>
          <w:tcPr>
            <w:tcW w:w="7480" w:type="dxa"/>
            <w:vAlign w:val="bottom"/>
          </w:tcPr>
          <w:p>
            <w:pPr>
              <w:ind w:left="220"/>
              <w:spacing w:after="0"/>
              <w:rPr>
                <w:sz w:val="20"/>
                <w:szCs w:val="20"/>
                <w:color w:val="auto"/>
              </w:rPr>
            </w:pPr>
            <w:r>
              <w:rPr>
                <w:rFonts w:ascii="Arial" w:cs="Arial" w:eastAsia="Arial" w:hAnsi="Arial"/>
                <w:sz w:val="19"/>
                <w:szCs w:val="19"/>
                <w:color w:val="auto"/>
              </w:rPr>
              <w:t>Consolidated Statement of Operations</w:t>
            </w:r>
          </w:p>
        </w:tc>
        <w:tc>
          <w:tcPr>
            <w:tcW w:w="376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240"/>
        </w:trPr>
        <w:tc>
          <w:tcPr>
            <w:tcW w:w="7480" w:type="dxa"/>
            <w:vAlign w:val="bottom"/>
          </w:tcPr>
          <w:p>
            <w:pPr>
              <w:ind w:left="360"/>
              <w:spacing w:after="0"/>
              <w:rPr>
                <w:sz w:val="20"/>
                <w:szCs w:val="20"/>
                <w:color w:val="auto"/>
              </w:rPr>
            </w:pPr>
            <w:r>
              <w:rPr>
                <w:rFonts w:ascii="Arial" w:cs="Arial" w:eastAsia="Arial" w:hAnsi="Arial"/>
                <w:sz w:val="19"/>
                <w:szCs w:val="19"/>
                <w:color w:val="auto"/>
              </w:rPr>
              <w:t>for the Year Ended September 30, 2020</w:t>
            </w:r>
          </w:p>
        </w:tc>
        <w:tc>
          <w:tcPr>
            <w:tcW w:w="3760" w:type="dxa"/>
            <w:vAlign w:val="bottom"/>
          </w:tcPr>
          <w:p>
            <w:pPr>
              <w:spacing w:after="0"/>
              <w:rPr>
                <w:sz w:val="20"/>
                <w:szCs w:val="20"/>
                <w:color w:val="auto"/>
              </w:rPr>
            </w:pPr>
          </w:p>
        </w:tc>
      </w:tr>
      <w:tr>
        <w:trPr>
          <w:trHeight w:val="367"/>
        </w:trPr>
        <w:tc>
          <w:tcPr>
            <w:tcW w:w="7480" w:type="dxa"/>
            <w:vAlign w:val="bottom"/>
          </w:tcPr>
          <w:p>
            <w:pPr>
              <w:ind w:left="220"/>
              <w:spacing w:after="0"/>
              <w:rPr>
                <w:sz w:val="20"/>
                <w:szCs w:val="20"/>
                <w:color w:val="auto"/>
              </w:rPr>
            </w:pPr>
            <w:r>
              <w:rPr>
                <w:rFonts w:ascii="Arial" w:cs="Arial" w:eastAsia="Arial" w:hAnsi="Arial"/>
                <w:sz w:val="19"/>
                <w:szCs w:val="19"/>
                <w:color w:val="auto"/>
              </w:rPr>
              <w:t>Consolidated Statement of Member’s Equity</w:t>
            </w:r>
          </w:p>
        </w:tc>
        <w:tc>
          <w:tcPr>
            <w:tcW w:w="376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40"/>
        </w:trPr>
        <w:tc>
          <w:tcPr>
            <w:tcW w:w="7480" w:type="dxa"/>
            <w:vAlign w:val="bottom"/>
          </w:tcPr>
          <w:p>
            <w:pPr>
              <w:ind w:left="360"/>
              <w:spacing w:after="0"/>
              <w:rPr>
                <w:sz w:val="20"/>
                <w:szCs w:val="20"/>
                <w:color w:val="auto"/>
              </w:rPr>
            </w:pPr>
            <w:r>
              <w:rPr>
                <w:rFonts w:ascii="Arial" w:cs="Arial" w:eastAsia="Arial" w:hAnsi="Arial"/>
                <w:sz w:val="19"/>
                <w:szCs w:val="19"/>
                <w:color w:val="auto"/>
              </w:rPr>
              <w:t>for the Year Ended September 30, 2020</w:t>
            </w:r>
          </w:p>
        </w:tc>
        <w:tc>
          <w:tcPr>
            <w:tcW w:w="3760" w:type="dxa"/>
            <w:vAlign w:val="bottom"/>
          </w:tcPr>
          <w:p>
            <w:pPr>
              <w:spacing w:after="0"/>
              <w:rPr>
                <w:sz w:val="20"/>
                <w:szCs w:val="20"/>
                <w:color w:val="auto"/>
              </w:rPr>
            </w:pPr>
          </w:p>
        </w:tc>
      </w:tr>
      <w:tr>
        <w:trPr>
          <w:trHeight w:val="367"/>
        </w:trPr>
        <w:tc>
          <w:tcPr>
            <w:tcW w:w="7480" w:type="dxa"/>
            <w:vAlign w:val="bottom"/>
          </w:tcPr>
          <w:p>
            <w:pPr>
              <w:ind w:left="220"/>
              <w:spacing w:after="0"/>
              <w:rPr>
                <w:sz w:val="20"/>
                <w:szCs w:val="20"/>
                <w:color w:val="auto"/>
              </w:rPr>
            </w:pPr>
            <w:r>
              <w:rPr>
                <w:rFonts w:ascii="Arial" w:cs="Arial" w:eastAsia="Arial" w:hAnsi="Arial"/>
                <w:sz w:val="19"/>
                <w:szCs w:val="19"/>
                <w:color w:val="auto"/>
              </w:rPr>
              <w:t>Consolidated Statement of Cash Flows</w:t>
            </w:r>
          </w:p>
        </w:tc>
        <w:tc>
          <w:tcPr>
            <w:tcW w:w="3760" w:type="dxa"/>
            <w:vAlign w:val="bottom"/>
          </w:tcPr>
          <w:p>
            <w:pPr>
              <w:jc w:val="right"/>
              <w:spacing w:after="0"/>
              <w:rPr>
                <w:sz w:val="20"/>
                <w:szCs w:val="20"/>
                <w:color w:val="auto"/>
              </w:rPr>
            </w:pPr>
            <w:r>
              <w:rPr>
                <w:rFonts w:ascii="Arial" w:cs="Arial" w:eastAsia="Arial" w:hAnsi="Arial"/>
                <w:sz w:val="19"/>
                <w:szCs w:val="19"/>
                <w:color w:val="auto"/>
              </w:rPr>
              <w:t>8</w:t>
            </w:r>
          </w:p>
        </w:tc>
      </w:tr>
      <w:tr>
        <w:trPr>
          <w:trHeight w:val="240"/>
        </w:trPr>
        <w:tc>
          <w:tcPr>
            <w:tcW w:w="7480" w:type="dxa"/>
            <w:vAlign w:val="bottom"/>
          </w:tcPr>
          <w:p>
            <w:pPr>
              <w:ind w:left="360"/>
              <w:spacing w:after="0"/>
              <w:rPr>
                <w:sz w:val="20"/>
                <w:szCs w:val="20"/>
                <w:color w:val="auto"/>
              </w:rPr>
            </w:pPr>
            <w:r>
              <w:rPr>
                <w:rFonts w:ascii="Arial" w:cs="Arial" w:eastAsia="Arial" w:hAnsi="Arial"/>
                <w:sz w:val="19"/>
                <w:szCs w:val="19"/>
                <w:color w:val="auto"/>
              </w:rPr>
              <w:t>for the Year Ended September 30, 2020</w:t>
            </w:r>
          </w:p>
        </w:tc>
        <w:tc>
          <w:tcPr>
            <w:tcW w:w="3760" w:type="dxa"/>
            <w:vAlign w:val="bottom"/>
          </w:tcPr>
          <w:p>
            <w:pPr>
              <w:spacing w:after="0"/>
              <w:rPr>
                <w:sz w:val="20"/>
                <w:szCs w:val="20"/>
                <w:color w:val="auto"/>
              </w:rPr>
            </w:pPr>
          </w:p>
        </w:tc>
      </w:tr>
      <w:tr>
        <w:trPr>
          <w:trHeight w:val="392"/>
        </w:trPr>
        <w:tc>
          <w:tcPr>
            <w:tcW w:w="7480" w:type="dxa"/>
            <w:vAlign w:val="bottom"/>
          </w:tcPr>
          <w:p>
            <w:pPr>
              <w:ind w:left="220"/>
              <w:spacing w:after="0"/>
              <w:rPr>
                <w:sz w:val="20"/>
                <w:szCs w:val="20"/>
                <w:color w:val="auto"/>
              </w:rPr>
            </w:pPr>
            <w:r>
              <w:rPr>
                <w:rFonts w:ascii="Arial" w:cs="Arial" w:eastAsia="Arial" w:hAnsi="Arial"/>
                <w:sz w:val="19"/>
                <w:szCs w:val="19"/>
                <w:color w:val="auto"/>
              </w:rPr>
              <w:t>Notes to Consolidated Financial Statements</w:t>
            </w:r>
          </w:p>
        </w:tc>
        <w:tc>
          <w:tcPr>
            <w:tcW w:w="3760" w:type="dxa"/>
            <w:vAlign w:val="bottom"/>
          </w:tcPr>
          <w:p>
            <w:pPr>
              <w:jc w:val="right"/>
              <w:spacing w:after="0"/>
              <w:rPr>
                <w:sz w:val="20"/>
                <w:szCs w:val="20"/>
                <w:color w:val="auto"/>
              </w:rPr>
            </w:pPr>
            <w:r>
              <w:rPr>
                <w:rFonts w:ascii="Arial" w:cs="Arial" w:eastAsia="Arial" w:hAnsi="Arial"/>
                <w:sz w:val="19"/>
                <w:szCs w:val="19"/>
                <w:color w:val="auto"/>
              </w:rPr>
              <w:t>9-20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27" w:name="page128"/>
    <w:bookmarkEnd w:id="127"/>
    <w:p>
      <w:pPr>
        <w:spacing w:after="0"/>
        <w:rPr>
          <w:sz w:val="20"/>
          <w:szCs w:val="20"/>
          <w:color w:val="auto"/>
        </w:rPr>
      </w:pPr>
      <w:r>
        <w:rPr>
          <w:rFonts w:ascii="Arial" w:cs="Arial" w:eastAsia="Arial" w:hAnsi="Arial"/>
          <w:sz w:val="19"/>
          <w:szCs w:val="19"/>
          <w:b w:val="1"/>
          <w:bCs w:val="1"/>
          <w:color w:val="auto"/>
        </w:rPr>
        <w:t>Independent Auditor’s Report</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color w:val="auto"/>
        </w:rPr>
        <w:t>To the Board of Directors RAM Energy</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Holdings LLC</w:t>
      </w:r>
    </w:p>
    <w:p>
      <w:pPr>
        <w:spacing w:after="0"/>
        <w:rPr>
          <w:sz w:val="20"/>
          <w:szCs w:val="20"/>
          <w:color w:val="auto"/>
        </w:rPr>
      </w:pPr>
      <w:r>
        <w:rPr>
          <w:rFonts w:ascii="Arial" w:cs="Arial" w:eastAsia="Arial" w:hAnsi="Arial"/>
          <w:sz w:val="19"/>
          <w:szCs w:val="19"/>
          <w:color w:val="auto"/>
        </w:rPr>
        <w:t>Tulsa, Oklahoma</w:t>
      </w:r>
    </w:p>
    <w:p>
      <w:pPr>
        <w:spacing w:after="0" w:line="90"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We have audited the accompanying consolidated financial statements of RAM Energy Holdings LLC and its subsidiaries (the “Company”), which comprise the consolidated balance sheet as of September 30, 2020, and the related consolidated statements of operations, member’s equity, and cash flows for the year then ended, and the related notes to the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Management’s Responsibility for the Consolidated Financial Statements</w:t>
      </w:r>
    </w:p>
    <w:p>
      <w:pPr>
        <w:spacing w:after="0" w:line="106"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Management is responsible for the preparation and fair presentation of these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Auditor’s Responsibility</w:t>
      </w:r>
    </w:p>
    <w:p>
      <w:pPr>
        <w:spacing w:after="0" w:line="10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Our responsibility is to express an opinion on these consolidated financial statements based on our audit. We conducted our audit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6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An audit involves performing procedures to obtain audit evidence about the amounts and disclosures in the consolidated financial statements. The procedures selected depend on the auditor’s judgment, including the assessment of the risks of material misstatement of the consolidated financial statements, whether due to fraud or error. In making those risk assessments, the auditor considers internal control relevant to the entity’s preparation and fair presentation of the consolidated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We believe that the audit evidence we have obtained is sufficient and appropriate to provide a basis for our audit opinion.</w:t>
      </w:r>
    </w:p>
    <w:p>
      <w:pPr>
        <w:spacing w:after="0" w:line="32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Opinion</w:t>
      </w:r>
    </w:p>
    <w:p>
      <w:pPr>
        <w:spacing w:after="0" w:line="10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In our opinion, the consolidated financial statements referred to above present fairly, in all material respects, the financial position of RAM Energy Holdings LLC and its subsidiaries as of September 30, 2020, and the results of their operations and their cash flows for the year then ended, in accordance with accounting principles generally accepted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28" w:name="page129"/>
    <w:bookmarkEnd w:id="128"/>
    <w:p>
      <w:pPr>
        <w:spacing w:after="0"/>
        <w:rPr>
          <w:sz w:val="20"/>
          <w:szCs w:val="20"/>
          <w:color w:val="auto"/>
        </w:rPr>
      </w:pPr>
      <w:r>
        <w:rPr>
          <w:rFonts w:ascii="Arial" w:cs="Arial" w:eastAsia="Arial" w:hAnsi="Arial"/>
          <w:sz w:val="19"/>
          <w:szCs w:val="19"/>
          <w:b w:val="1"/>
          <w:bCs w:val="1"/>
          <w:i w:val="1"/>
          <w:iCs w:val="1"/>
          <w:color w:val="auto"/>
        </w:rPr>
        <w:t>Emphasis of Matter</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more fully described in Note 2 to the consolidated financial statements, the Company has been materially impacted by the outbreak of a novel coronavirus (COVID-19), which was declared a global pandemic by the World Health Organization in March 2020. The pandemic has compounded the crude oil price volatility due to disruption of global supply and demand, which has, and may continue to have a material impact to the Company’s financial position and results of operations. Our opinion is not modified with respect to this matter.</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/s/ BDO USA, LLP</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Houston, TX</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November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748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129" w:name="page130"/>
    <w:bookmarkEnd w:id="1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60960</wp:posOffset>
            </wp:positionV>
            <wp:extent cx="713232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3151505</wp:posOffset>
            </wp:positionV>
            <wp:extent cx="71748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328"/>
        </w:trPr>
        <w:tc>
          <w:tcPr>
            <w:tcW w:w="8500" w:type="dxa"/>
            <w:vAlign w:val="bottom"/>
          </w:tcPr>
          <w:p>
            <w:pPr>
              <w:ind w:left="3180"/>
              <w:spacing w:after="0"/>
              <w:rPr>
                <w:sz w:val="20"/>
                <w:szCs w:val="20"/>
                <w:color w:val="auto"/>
              </w:rPr>
            </w:pPr>
            <w:r>
              <w:rPr>
                <w:rFonts w:ascii="Arial" w:cs="Arial" w:eastAsia="Arial" w:hAnsi="Arial"/>
                <w:sz w:val="25"/>
                <w:szCs w:val="25"/>
                <w:b w:val="1"/>
                <w:bCs w:val="1"/>
                <w:color w:val="auto"/>
              </w:rPr>
              <w:t>RAM Energy Holdings LLC and Subsidiaries</w:t>
            </w:r>
          </w:p>
        </w:tc>
        <w:tc>
          <w:tcPr>
            <w:tcW w:w="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8500" w:type="dxa"/>
            <w:vAlign w:val="bottom"/>
            <w:tcBorders>
              <w:bottom w:val="single" w:sz="8" w:color="auto"/>
            </w:tcBorders>
          </w:tcPr>
          <w:p>
            <w:pPr>
              <w:ind w:left="4340"/>
              <w:spacing w:after="0"/>
              <w:rPr>
                <w:sz w:val="20"/>
                <w:szCs w:val="20"/>
                <w:color w:val="auto"/>
              </w:rPr>
            </w:pPr>
            <w:r>
              <w:rPr>
                <w:rFonts w:ascii="Arial" w:cs="Arial" w:eastAsia="Arial" w:hAnsi="Arial"/>
                <w:sz w:val="22"/>
                <w:szCs w:val="22"/>
                <w:b w:val="1"/>
                <w:bCs w:val="1"/>
                <w:color w:val="auto"/>
              </w:rPr>
              <w:t>Consolidated Balance Sheet</w:t>
            </w:r>
          </w:p>
        </w:tc>
        <w:tc>
          <w:tcPr>
            <w:tcW w:w="9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85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i w:val="1"/>
                <w:iCs w:val="1"/>
                <w:color w:val="auto"/>
              </w:rPr>
              <w:t>September 30,</w:t>
            </w:r>
          </w:p>
        </w:tc>
        <w:tc>
          <w:tcPr>
            <w:tcW w:w="9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926"/>
              <w:spacing w:after="0"/>
              <w:rPr>
                <w:sz w:val="20"/>
                <w:szCs w:val="20"/>
                <w:color w:val="auto"/>
              </w:rPr>
            </w:pPr>
            <w:r>
              <w:rPr>
                <w:rFonts w:ascii="Arial" w:cs="Arial" w:eastAsia="Arial" w:hAnsi="Arial"/>
                <w:sz w:val="19"/>
                <w:szCs w:val="19"/>
                <w:b w:val="1"/>
                <w:bCs w:val="1"/>
                <w:color w:val="auto"/>
              </w:rPr>
              <w:t>2020</w:t>
            </w:r>
          </w:p>
        </w:tc>
        <w:tc>
          <w:tcPr>
            <w:tcW w:w="0" w:type="dxa"/>
            <w:vAlign w:val="bottom"/>
          </w:tcPr>
          <w:p>
            <w:pPr>
              <w:spacing w:after="0"/>
              <w:rPr>
                <w:sz w:val="1"/>
                <w:szCs w:val="1"/>
                <w:color w:val="auto"/>
              </w:rPr>
            </w:pPr>
          </w:p>
        </w:tc>
      </w:tr>
      <w:tr>
        <w:trPr>
          <w:trHeight w:val="367"/>
        </w:trPr>
        <w:tc>
          <w:tcPr>
            <w:tcW w:w="8500" w:type="dxa"/>
            <w:vAlign w:val="bottom"/>
          </w:tcPr>
          <w:p>
            <w:pPr>
              <w:spacing w:after="0"/>
              <w:rPr>
                <w:sz w:val="20"/>
                <w:szCs w:val="20"/>
                <w:color w:val="auto"/>
              </w:rPr>
            </w:pPr>
            <w:r>
              <w:rPr>
                <w:rFonts w:ascii="Arial" w:cs="Arial" w:eastAsia="Arial" w:hAnsi="Arial"/>
                <w:sz w:val="19"/>
                <w:szCs w:val="19"/>
                <w:b w:val="1"/>
                <w:bCs w:val="1"/>
                <w:color w:val="auto"/>
              </w:rPr>
              <w:t>Assets</w:t>
            </w:r>
          </w:p>
        </w:tc>
        <w:tc>
          <w:tcPr>
            <w:tcW w:w="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8500" w:type="dxa"/>
            <w:vAlign w:val="bottom"/>
          </w:tcPr>
          <w:p>
            <w:pPr>
              <w:spacing w:after="0"/>
              <w:rPr>
                <w:sz w:val="20"/>
                <w:szCs w:val="20"/>
                <w:color w:val="auto"/>
              </w:rPr>
            </w:pPr>
            <w:r>
              <w:rPr>
                <w:rFonts w:ascii="Arial" w:cs="Arial" w:eastAsia="Arial" w:hAnsi="Arial"/>
                <w:sz w:val="19"/>
                <w:szCs w:val="19"/>
                <w:b w:val="1"/>
                <w:bCs w:val="1"/>
                <w:color w:val="auto"/>
              </w:rPr>
              <w:t>Current Assets</w:t>
            </w:r>
          </w:p>
        </w:tc>
        <w:tc>
          <w:tcPr>
            <w:tcW w:w="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500" w:type="dxa"/>
            <w:vAlign w:val="bottom"/>
          </w:tcPr>
          <w:p>
            <w:pPr>
              <w:ind w:left="260"/>
              <w:spacing w:after="0"/>
              <w:rPr>
                <w:sz w:val="20"/>
                <w:szCs w:val="20"/>
                <w:color w:val="auto"/>
              </w:rPr>
            </w:pPr>
            <w:r>
              <w:rPr>
                <w:rFonts w:ascii="Arial" w:cs="Arial" w:eastAsia="Arial" w:hAnsi="Arial"/>
                <w:sz w:val="19"/>
                <w:szCs w:val="19"/>
                <w:color w:val="auto"/>
              </w:rPr>
              <w:t>Cash and cash equivalents</w:t>
            </w:r>
          </w:p>
        </w:tc>
        <w:tc>
          <w:tcPr>
            <w:tcW w:w="940" w:type="dxa"/>
            <w:vAlign w:val="bottom"/>
          </w:tcPr>
          <w:p>
            <w:pPr>
              <w:jc w:val="right"/>
              <w:ind w:right="326"/>
              <w:spacing w:after="0"/>
              <w:rPr>
                <w:sz w:val="20"/>
                <w:szCs w:val="20"/>
                <w:color w:val="auto"/>
              </w:rPr>
            </w:pPr>
            <w:r>
              <w:rPr>
                <w:rFonts w:ascii="Arial" w:cs="Arial" w:eastAsia="Arial" w:hAnsi="Arial"/>
                <w:sz w:val="19"/>
                <w:szCs w:val="19"/>
                <w:color w:val="auto"/>
              </w:rPr>
              <w:t>$</w:t>
            </w:r>
          </w:p>
        </w:tc>
        <w:tc>
          <w:tcPr>
            <w:tcW w:w="1800" w:type="dxa"/>
            <w:vAlign w:val="bottom"/>
          </w:tcPr>
          <w:p>
            <w:pPr>
              <w:jc w:val="right"/>
              <w:ind w:right="6"/>
              <w:spacing w:after="0"/>
              <w:rPr>
                <w:sz w:val="20"/>
                <w:szCs w:val="20"/>
                <w:color w:val="auto"/>
              </w:rPr>
            </w:pPr>
            <w:r>
              <w:rPr>
                <w:rFonts w:ascii="Arial" w:cs="Arial" w:eastAsia="Arial" w:hAnsi="Arial"/>
                <w:sz w:val="19"/>
                <w:szCs w:val="19"/>
                <w:color w:val="auto"/>
              </w:rPr>
              <w:t>8,670,146</w:t>
            </w:r>
          </w:p>
        </w:tc>
        <w:tc>
          <w:tcPr>
            <w:tcW w:w="0" w:type="dxa"/>
            <w:vAlign w:val="bottom"/>
          </w:tcPr>
          <w:p>
            <w:pPr>
              <w:spacing w:after="0"/>
              <w:rPr>
                <w:sz w:val="1"/>
                <w:szCs w:val="1"/>
                <w:color w:val="auto"/>
              </w:rPr>
            </w:pPr>
          </w:p>
        </w:tc>
      </w:tr>
      <w:tr>
        <w:trPr>
          <w:trHeight w:val="229"/>
        </w:trPr>
        <w:tc>
          <w:tcPr>
            <w:tcW w:w="8500" w:type="dxa"/>
            <w:vAlign w:val="bottom"/>
          </w:tcPr>
          <w:p>
            <w:pPr>
              <w:ind w:left="260"/>
              <w:spacing w:after="0"/>
              <w:rPr>
                <w:sz w:val="20"/>
                <w:szCs w:val="20"/>
                <w:color w:val="auto"/>
              </w:rPr>
            </w:pPr>
            <w:r>
              <w:rPr>
                <w:rFonts w:ascii="Arial" w:cs="Arial" w:eastAsia="Arial" w:hAnsi="Arial"/>
                <w:sz w:val="19"/>
                <w:szCs w:val="19"/>
                <w:color w:val="auto"/>
              </w:rPr>
              <w:t>Accounts receivable, net</w:t>
            </w:r>
          </w:p>
        </w:tc>
        <w:tc>
          <w:tcPr>
            <w:tcW w:w="940" w:type="dxa"/>
            <w:vAlign w:val="bottom"/>
          </w:tcPr>
          <w:p>
            <w:pPr>
              <w:spacing w:after="0"/>
              <w:rPr>
                <w:sz w:val="19"/>
                <w:szCs w:val="19"/>
                <w:color w:val="auto"/>
              </w:rPr>
            </w:pPr>
          </w:p>
        </w:tc>
        <w:tc>
          <w:tcPr>
            <w:tcW w:w="1800" w:type="dxa"/>
            <w:vAlign w:val="bottom"/>
          </w:tcPr>
          <w:p>
            <w:pPr>
              <w:jc w:val="right"/>
              <w:ind w:right="6"/>
              <w:spacing w:after="0"/>
              <w:rPr>
                <w:sz w:val="20"/>
                <w:szCs w:val="20"/>
                <w:color w:val="auto"/>
              </w:rPr>
            </w:pPr>
            <w:r>
              <w:rPr>
                <w:rFonts w:ascii="Arial" w:cs="Arial" w:eastAsia="Arial" w:hAnsi="Arial"/>
                <w:sz w:val="19"/>
                <w:szCs w:val="19"/>
                <w:color w:val="auto"/>
              </w:rPr>
              <w:t>1,776,351</w:t>
            </w:r>
          </w:p>
        </w:tc>
        <w:tc>
          <w:tcPr>
            <w:tcW w:w="0" w:type="dxa"/>
            <w:vAlign w:val="bottom"/>
          </w:tcPr>
          <w:p>
            <w:pPr>
              <w:spacing w:after="0"/>
              <w:rPr>
                <w:sz w:val="1"/>
                <w:szCs w:val="1"/>
                <w:color w:val="auto"/>
              </w:rPr>
            </w:pPr>
          </w:p>
        </w:tc>
      </w:tr>
      <w:tr>
        <w:trPr>
          <w:trHeight w:val="238"/>
        </w:trPr>
        <w:tc>
          <w:tcPr>
            <w:tcW w:w="850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Prepaid expenses</w:t>
            </w:r>
          </w:p>
        </w:tc>
        <w:tc>
          <w:tcPr>
            <w:tcW w:w="9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167,589</w:t>
            </w:r>
          </w:p>
        </w:tc>
        <w:tc>
          <w:tcPr>
            <w:tcW w:w="0" w:type="dxa"/>
            <w:vAlign w:val="bottom"/>
          </w:tcPr>
          <w:p>
            <w:pPr>
              <w:spacing w:after="0"/>
              <w:rPr>
                <w:sz w:val="1"/>
                <w:szCs w:val="1"/>
                <w:color w:val="auto"/>
              </w:rPr>
            </w:pPr>
          </w:p>
        </w:tc>
      </w:tr>
      <w:tr>
        <w:trPr>
          <w:trHeight w:val="360"/>
        </w:trPr>
        <w:tc>
          <w:tcPr>
            <w:tcW w:w="8500" w:type="dxa"/>
            <w:vAlign w:val="bottom"/>
          </w:tcPr>
          <w:p>
            <w:pPr>
              <w:spacing w:after="0"/>
              <w:rPr>
                <w:sz w:val="20"/>
                <w:szCs w:val="20"/>
                <w:color w:val="auto"/>
              </w:rPr>
            </w:pPr>
            <w:r>
              <w:rPr>
                <w:rFonts w:ascii="Arial" w:cs="Arial" w:eastAsia="Arial" w:hAnsi="Arial"/>
                <w:sz w:val="19"/>
                <w:szCs w:val="19"/>
                <w:b w:val="1"/>
                <w:bCs w:val="1"/>
                <w:color w:val="auto"/>
              </w:rPr>
              <w:t>Total Current Assets</w:t>
            </w:r>
          </w:p>
        </w:tc>
        <w:tc>
          <w:tcPr>
            <w:tcW w:w="940" w:type="dxa"/>
            <w:vAlign w:val="bottom"/>
          </w:tcPr>
          <w:p>
            <w:pPr>
              <w:spacing w:after="0"/>
              <w:rPr>
                <w:sz w:val="24"/>
                <w:szCs w:val="24"/>
                <w:color w:val="auto"/>
              </w:rPr>
            </w:pPr>
          </w:p>
        </w:tc>
        <w:tc>
          <w:tcPr>
            <w:tcW w:w="1800" w:type="dxa"/>
            <w:vAlign w:val="bottom"/>
          </w:tcPr>
          <w:p>
            <w:pPr>
              <w:jc w:val="right"/>
              <w:ind w:right="6"/>
              <w:spacing w:after="0"/>
              <w:rPr>
                <w:sz w:val="20"/>
                <w:szCs w:val="20"/>
                <w:color w:val="auto"/>
              </w:rPr>
            </w:pPr>
            <w:r>
              <w:rPr>
                <w:rFonts w:ascii="Arial" w:cs="Arial" w:eastAsia="Arial" w:hAnsi="Arial"/>
                <w:sz w:val="19"/>
                <w:szCs w:val="19"/>
                <w:color w:val="auto"/>
              </w:rPr>
              <w:t>10,614,086</w:t>
            </w:r>
          </w:p>
        </w:tc>
        <w:tc>
          <w:tcPr>
            <w:tcW w:w="0" w:type="dxa"/>
            <w:vAlign w:val="bottom"/>
          </w:tcPr>
          <w:p>
            <w:pPr>
              <w:spacing w:after="0"/>
              <w:rPr>
                <w:sz w:val="1"/>
                <w:szCs w:val="1"/>
                <w:color w:val="auto"/>
              </w:rPr>
            </w:pPr>
          </w:p>
        </w:tc>
      </w:tr>
      <w:tr>
        <w:trPr>
          <w:trHeight w:val="354"/>
        </w:trPr>
        <w:tc>
          <w:tcPr>
            <w:tcW w:w="8500" w:type="dxa"/>
            <w:vAlign w:val="bottom"/>
          </w:tcPr>
          <w:p>
            <w:pPr>
              <w:spacing w:after="0"/>
              <w:rPr>
                <w:sz w:val="20"/>
                <w:szCs w:val="20"/>
                <w:color w:val="auto"/>
              </w:rPr>
            </w:pPr>
            <w:r>
              <w:rPr>
                <w:rFonts w:ascii="Arial" w:cs="Arial" w:eastAsia="Arial" w:hAnsi="Arial"/>
                <w:sz w:val="19"/>
                <w:szCs w:val="19"/>
                <w:b w:val="1"/>
                <w:bCs w:val="1"/>
                <w:color w:val="auto"/>
              </w:rPr>
              <w:t>Property and Equipment, at Cost</w:t>
            </w:r>
          </w:p>
        </w:tc>
        <w:tc>
          <w:tcPr>
            <w:tcW w:w="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00" w:type="dxa"/>
            <w:vAlign w:val="bottom"/>
          </w:tcPr>
          <w:p>
            <w:pPr>
              <w:ind w:left="260"/>
              <w:spacing w:after="0" w:line="216" w:lineRule="exact"/>
              <w:rPr>
                <w:sz w:val="20"/>
                <w:szCs w:val="20"/>
                <w:color w:val="auto"/>
              </w:rPr>
            </w:pPr>
            <w:r>
              <w:rPr>
                <w:rFonts w:ascii="Arial" w:cs="Arial" w:eastAsia="Arial" w:hAnsi="Arial"/>
                <w:sz w:val="19"/>
                <w:szCs w:val="19"/>
                <w:color w:val="auto"/>
              </w:rPr>
              <w:t>Proved oil and natural gas properties and equipment,</w:t>
            </w:r>
          </w:p>
        </w:tc>
        <w:tc>
          <w:tcPr>
            <w:tcW w:w="9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00" w:type="dxa"/>
            <w:vAlign w:val="bottom"/>
          </w:tcPr>
          <w:p>
            <w:pPr>
              <w:ind w:left="400"/>
              <w:spacing w:after="0"/>
              <w:rPr>
                <w:sz w:val="20"/>
                <w:szCs w:val="20"/>
                <w:color w:val="auto"/>
              </w:rPr>
            </w:pPr>
            <w:r>
              <w:rPr>
                <w:rFonts w:ascii="Arial" w:cs="Arial" w:eastAsia="Arial" w:hAnsi="Arial"/>
                <w:sz w:val="19"/>
                <w:szCs w:val="19"/>
                <w:color w:val="auto"/>
              </w:rPr>
              <w:t>full cost method</w:t>
            </w:r>
          </w:p>
        </w:tc>
        <w:tc>
          <w:tcPr>
            <w:tcW w:w="940" w:type="dxa"/>
            <w:vAlign w:val="bottom"/>
          </w:tcPr>
          <w:p>
            <w:pPr>
              <w:spacing w:after="0"/>
              <w:rPr>
                <w:sz w:val="19"/>
                <w:szCs w:val="19"/>
                <w:color w:val="auto"/>
              </w:rPr>
            </w:pPr>
          </w:p>
        </w:tc>
        <w:tc>
          <w:tcPr>
            <w:tcW w:w="1800" w:type="dxa"/>
            <w:vAlign w:val="bottom"/>
          </w:tcPr>
          <w:p>
            <w:pPr>
              <w:jc w:val="right"/>
              <w:ind w:right="6"/>
              <w:spacing w:after="0"/>
              <w:rPr>
                <w:sz w:val="20"/>
                <w:szCs w:val="20"/>
                <w:color w:val="auto"/>
              </w:rPr>
            </w:pPr>
            <w:r>
              <w:rPr>
                <w:rFonts w:ascii="Arial" w:cs="Arial" w:eastAsia="Arial" w:hAnsi="Arial"/>
                <w:sz w:val="19"/>
                <w:szCs w:val="19"/>
                <w:color w:val="auto"/>
              </w:rPr>
              <w:t>116,121,091</w:t>
            </w:r>
          </w:p>
        </w:tc>
        <w:tc>
          <w:tcPr>
            <w:tcW w:w="0" w:type="dxa"/>
            <w:vAlign w:val="bottom"/>
          </w:tcPr>
          <w:p>
            <w:pPr>
              <w:spacing w:after="0"/>
              <w:rPr>
                <w:sz w:val="1"/>
                <w:szCs w:val="1"/>
                <w:color w:val="auto"/>
              </w:rPr>
            </w:pPr>
          </w:p>
        </w:tc>
      </w:tr>
      <w:tr>
        <w:trPr>
          <w:trHeight w:val="229"/>
        </w:trPr>
        <w:tc>
          <w:tcPr>
            <w:tcW w:w="8500" w:type="dxa"/>
            <w:vAlign w:val="bottom"/>
          </w:tcPr>
          <w:p>
            <w:pPr>
              <w:ind w:left="260"/>
              <w:spacing w:after="0"/>
              <w:rPr>
                <w:sz w:val="20"/>
                <w:szCs w:val="20"/>
                <w:color w:val="auto"/>
              </w:rPr>
            </w:pPr>
            <w:r>
              <w:rPr>
                <w:rFonts w:ascii="Arial" w:cs="Arial" w:eastAsia="Arial" w:hAnsi="Arial"/>
                <w:sz w:val="19"/>
                <w:szCs w:val="19"/>
                <w:color w:val="auto"/>
              </w:rPr>
              <w:t>Unproved oil and natural gas properties</w:t>
            </w:r>
          </w:p>
        </w:tc>
        <w:tc>
          <w:tcPr>
            <w:tcW w:w="940" w:type="dxa"/>
            <w:vAlign w:val="bottom"/>
          </w:tcPr>
          <w:p>
            <w:pPr>
              <w:spacing w:after="0"/>
              <w:rPr>
                <w:sz w:val="19"/>
                <w:szCs w:val="19"/>
                <w:color w:val="auto"/>
              </w:rPr>
            </w:pPr>
          </w:p>
        </w:tc>
        <w:tc>
          <w:tcPr>
            <w:tcW w:w="1800" w:type="dxa"/>
            <w:vAlign w:val="bottom"/>
          </w:tcPr>
          <w:p>
            <w:pPr>
              <w:jc w:val="right"/>
              <w:ind w:right="6"/>
              <w:spacing w:after="0"/>
              <w:rPr>
                <w:sz w:val="20"/>
                <w:szCs w:val="20"/>
                <w:color w:val="auto"/>
              </w:rPr>
            </w:pPr>
            <w:r>
              <w:rPr>
                <w:rFonts w:ascii="Arial" w:cs="Arial" w:eastAsia="Arial" w:hAnsi="Arial"/>
                <w:sz w:val="19"/>
                <w:szCs w:val="19"/>
                <w:color w:val="auto"/>
              </w:rPr>
              <w:t>7,488,377</w:t>
            </w:r>
          </w:p>
        </w:tc>
        <w:tc>
          <w:tcPr>
            <w:tcW w:w="0" w:type="dxa"/>
            <w:vAlign w:val="bottom"/>
          </w:tcPr>
          <w:p>
            <w:pPr>
              <w:spacing w:after="0"/>
              <w:rPr>
                <w:sz w:val="1"/>
                <w:szCs w:val="1"/>
                <w:color w:val="auto"/>
              </w:rPr>
            </w:pPr>
          </w:p>
        </w:tc>
      </w:tr>
      <w:tr>
        <w:trPr>
          <w:trHeight w:val="230"/>
        </w:trPr>
        <w:tc>
          <w:tcPr>
            <w:tcW w:w="8500" w:type="dxa"/>
            <w:vAlign w:val="bottom"/>
          </w:tcPr>
          <w:p>
            <w:pPr>
              <w:ind w:left="260"/>
              <w:spacing w:after="0"/>
              <w:rPr>
                <w:sz w:val="20"/>
                <w:szCs w:val="20"/>
                <w:color w:val="auto"/>
              </w:rPr>
            </w:pPr>
            <w:r>
              <w:rPr>
                <w:rFonts w:ascii="Arial" w:cs="Arial" w:eastAsia="Arial" w:hAnsi="Arial"/>
                <w:sz w:val="19"/>
                <w:szCs w:val="19"/>
                <w:color w:val="auto"/>
              </w:rPr>
              <w:t>Gas gathering and processing equipment</w:t>
            </w:r>
          </w:p>
        </w:tc>
        <w:tc>
          <w:tcPr>
            <w:tcW w:w="940" w:type="dxa"/>
            <w:vAlign w:val="bottom"/>
          </w:tcPr>
          <w:p>
            <w:pPr>
              <w:spacing w:after="0"/>
              <w:rPr>
                <w:sz w:val="19"/>
                <w:szCs w:val="19"/>
                <w:color w:val="auto"/>
              </w:rPr>
            </w:pPr>
          </w:p>
        </w:tc>
        <w:tc>
          <w:tcPr>
            <w:tcW w:w="1800" w:type="dxa"/>
            <w:vAlign w:val="bottom"/>
          </w:tcPr>
          <w:p>
            <w:pPr>
              <w:jc w:val="right"/>
              <w:ind w:right="6"/>
              <w:spacing w:after="0"/>
              <w:rPr>
                <w:sz w:val="20"/>
                <w:szCs w:val="20"/>
                <w:color w:val="auto"/>
              </w:rPr>
            </w:pPr>
            <w:r>
              <w:rPr>
                <w:rFonts w:ascii="Arial" w:cs="Arial" w:eastAsia="Arial" w:hAnsi="Arial"/>
                <w:sz w:val="19"/>
                <w:szCs w:val="19"/>
                <w:color w:val="auto"/>
              </w:rPr>
              <w:t>17,610,003</w:t>
            </w:r>
          </w:p>
        </w:tc>
        <w:tc>
          <w:tcPr>
            <w:tcW w:w="0" w:type="dxa"/>
            <w:vAlign w:val="bottom"/>
          </w:tcPr>
          <w:p>
            <w:pPr>
              <w:spacing w:after="0"/>
              <w:rPr>
                <w:sz w:val="1"/>
                <w:szCs w:val="1"/>
                <w:color w:val="auto"/>
              </w:rPr>
            </w:pPr>
          </w:p>
        </w:tc>
      </w:tr>
      <w:tr>
        <w:trPr>
          <w:trHeight w:val="238"/>
        </w:trPr>
        <w:tc>
          <w:tcPr>
            <w:tcW w:w="850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Other property and equipment</w:t>
            </w:r>
          </w:p>
        </w:tc>
        <w:tc>
          <w:tcPr>
            <w:tcW w:w="9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534,903</w:t>
            </w:r>
          </w:p>
        </w:tc>
        <w:tc>
          <w:tcPr>
            <w:tcW w:w="0" w:type="dxa"/>
            <w:vAlign w:val="bottom"/>
          </w:tcPr>
          <w:p>
            <w:pPr>
              <w:spacing w:after="0"/>
              <w:rPr>
                <w:sz w:val="1"/>
                <w:szCs w:val="1"/>
                <w:color w:val="auto"/>
              </w:rPr>
            </w:pPr>
          </w:p>
        </w:tc>
      </w:tr>
      <w:tr>
        <w:trPr>
          <w:trHeight w:val="234"/>
        </w:trPr>
        <w:tc>
          <w:tcPr>
            <w:tcW w:w="8500" w:type="dxa"/>
            <w:vAlign w:val="bottom"/>
            <w:vMerge w:val="restart"/>
          </w:tcPr>
          <w:p>
            <w:pPr>
              <w:spacing w:after="0"/>
              <w:rPr>
                <w:sz w:val="20"/>
                <w:szCs w:val="20"/>
                <w:color w:val="auto"/>
              </w:rPr>
            </w:pPr>
            <w:r>
              <w:rPr>
                <w:rFonts w:ascii="Arial" w:cs="Arial" w:eastAsia="Arial" w:hAnsi="Arial"/>
                <w:sz w:val="19"/>
                <w:szCs w:val="19"/>
                <w:color w:val="auto"/>
              </w:rPr>
              <w:t>Less: accumulated depreciation, depletion,</w:t>
            </w:r>
          </w:p>
        </w:tc>
        <w:tc>
          <w:tcPr>
            <w:tcW w:w="940" w:type="dxa"/>
            <w:vAlign w:val="bottom"/>
          </w:tcPr>
          <w:p>
            <w:pPr>
              <w:spacing w:after="0"/>
              <w:rPr>
                <w:sz w:val="20"/>
                <w:szCs w:val="20"/>
                <w:color w:val="auto"/>
              </w:rPr>
            </w:pPr>
          </w:p>
        </w:tc>
        <w:tc>
          <w:tcPr>
            <w:tcW w:w="1800" w:type="dxa"/>
            <w:vAlign w:val="bottom"/>
          </w:tcPr>
          <w:p>
            <w:pPr>
              <w:jc w:val="right"/>
              <w:ind w:right="6"/>
              <w:spacing w:after="0"/>
              <w:rPr>
                <w:sz w:val="20"/>
                <w:szCs w:val="20"/>
                <w:color w:val="auto"/>
              </w:rPr>
            </w:pPr>
            <w:r>
              <w:rPr>
                <w:rFonts w:ascii="Arial" w:cs="Arial" w:eastAsia="Arial" w:hAnsi="Arial"/>
                <w:sz w:val="19"/>
                <w:szCs w:val="19"/>
                <w:color w:val="auto"/>
              </w:rPr>
              <w:t>141,754,374</w:t>
            </w:r>
          </w:p>
        </w:tc>
        <w:tc>
          <w:tcPr>
            <w:tcW w:w="0" w:type="dxa"/>
            <w:vAlign w:val="bottom"/>
          </w:tcPr>
          <w:p>
            <w:pPr>
              <w:spacing w:after="0"/>
              <w:rPr>
                <w:sz w:val="1"/>
                <w:szCs w:val="1"/>
                <w:color w:val="auto"/>
              </w:rPr>
            </w:pPr>
          </w:p>
        </w:tc>
      </w:tr>
      <w:tr>
        <w:trPr>
          <w:trHeight w:val="196"/>
        </w:trPr>
        <w:tc>
          <w:tcPr>
            <w:tcW w:w="85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500" w:type="dxa"/>
            <w:vAlign w:val="bottom"/>
            <w:tcBorders>
              <w:bottom w:val="single" w:sz="8" w:color="auto"/>
            </w:tcBorders>
          </w:tcPr>
          <w:p>
            <w:pPr>
              <w:ind w:left="140"/>
              <w:spacing w:after="0"/>
              <w:rPr>
                <w:sz w:val="20"/>
                <w:szCs w:val="20"/>
                <w:color w:val="auto"/>
              </w:rPr>
            </w:pPr>
            <w:r>
              <w:rPr>
                <w:rFonts w:ascii="Arial" w:cs="Arial" w:eastAsia="Arial" w:hAnsi="Arial"/>
                <w:sz w:val="19"/>
                <w:szCs w:val="19"/>
                <w:color w:val="auto"/>
              </w:rPr>
              <w:t>amortization and impairment</w:t>
            </w:r>
          </w:p>
        </w:tc>
        <w:tc>
          <w:tcPr>
            <w:tcW w:w="9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(90,727,620)</w:t>
            </w:r>
          </w:p>
        </w:tc>
        <w:tc>
          <w:tcPr>
            <w:tcW w:w="0" w:type="dxa"/>
            <w:vAlign w:val="bottom"/>
          </w:tcPr>
          <w:p>
            <w:pPr>
              <w:spacing w:after="0"/>
              <w:rPr>
                <w:sz w:val="1"/>
                <w:szCs w:val="1"/>
                <w:color w:val="auto"/>
              </w:rPr>
            </w:pPr>
          </w:p>
        </w:tc>
      </w:tr>
      <w:tr>
        <w:trPr>
          <w:trHeight w:val="360"/>
        </w:trPr>
        <w:tc>
          <w:tcPr>
            <w:tcW w:w="8500" w:type="dxa"/>
            <w:vAlign w:val="bottom"/>
          </w:tcPr>
          <w:p>
            <w:pPr>
              <w:spacing w:after="0"/>
              <w:rPr>
                <w:sz w:val="20"/>
                <w:szCs w:val="20"/>
                <w:color w:val="auto"/>
              </w:rPr>
            </w:pPr>
            <w:r>
              <w:rPr>
                <w:rFonts w:ascii="Arial" w:cs="Arial" w:eastAsia="Arial" w:hAnsi="Arial"/>
                <w:sz w:val="19"/>
                <w:szCs w:val="19"/>
                <w:b w:val="1"/>
                <w:bCs w:val="1"/>
                <w:color w:val="auto"/>
              </w:rPr>
              <w:t>Net Property and Equipment</w:t>
            </w:r>
          </w:p>
        </w:tc>
        <w:tc>
          <w:tcPr>
            <w:tcW w:w="940" w:type="dxa"/>
            <w:vAlign w:val="bottom"/>
          </w:tcPr>
          <w:p>
            <w:pPr>
              <w:spacing w:after="0"/>
              <w:rPr>
                <w:sz w:val="24"/>
                <w:szCs w:val="24"/>
                <w:color w:val="auto"/>
              </w:rPr>
            </w:pPr>
          </w:p>
        </w:tc>
        <w:tc>
          <w:tcPr>
            <w:tcW w:w="1800" w:type="dxa"/>
            <w:vAlign w:val="bottom"/>
          </w:tcPr>
          <w:p>
            <w:pPr>
              <w:jc w:val="right"/>
              <w:ind w:right="6"/>
              <w:spacing w:after="0"/>
              <w:rPr>
                <w:sz w:val="20"/>
                <w:szCs w:val="20"/>
                <w:color w:val="auto"/>
              </w:rPr>
            </w:pPr>
            <w:r>
              <w:rPr>
                <w:rFonts w:ascii="Arial" w:cs="Arial" w:eastAsia="Arial" w:hAnsi="Arial"/>
                <w:sz w:val="19"/>
                <w:szCs w:val="19"/>
                <w:color w:val="auto"/>
              </w:rPr>
              <w:t>51,026,754</w:t>
            </w:r>
          </w:p>
        </w:tc>
        <w:tc>
          <w:tcPr>
            <w:tcW w:w="0" w:type="dxa"/>
            <w:vAlign w:val="bottom"/>
          </w:tcPr>
          <w:p>
            <w:pPr>
              <w:spacing w:after="0"/>
              <w:rPr>
                <w:sz w:val="1"/>
                <w:szCs w:val="1"/>
                <w:color w:val="auto"/>
              </w:rPr>
            </w:pPr>
          </w:p>
        </w:tc>
      </w:tr>
      <w:tr>
        <w:trPr>
          <w:trHeight w:val="354"/>
        </w:trPr>
        <w:tc>
          <w:tcPr>
            <w:tcW w:w="8500" w:type="dxa"/>
            <w:vAlign w:val="bottom"/>
          </w:tcPr>
          <w:p>
            <w:pPr>
              <w:spacing w:after="0"/>
              <w:rPr>
                <w:sz w:val="20"/>
                <w:szCs w:val="20"/>
                <w:color w:val="auto"/>
              </w:rPr>
            </w:pPr>
            <w:r>
              <w:rPr>
                <w:rFonts w:ascii="Arial" w:cs="Arial" w:eastAsia="Arial" w:hAnsi="Arial"/>
                <w:sz w:val="19"/>
                <w:szCs w:val="19"/>
                <w:b w:val="1"/>
                <w:bCs w:val="1"/>
                <w:color w:val="auto"/>
              </w:rPr>
              <w:t>Other Assets</w:t>
            </w:r>
          </w:p>
        </w:tc>
        <w:tc>
          <w:tcPr>
            <w:tcW w:w="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500" w:type="dxa"/>
            <w:vAlign w:val="bottom"/>
          </w:tcPr>
          <w:p>
            <w:pPr>
              <w:ind w:left="260"/>
              <w:spacing w:after="0"/>
              <w:rPr>
                <w:sz w:val="20"/>
                <w:szCs w:val="20"/>
                <w:color w:val="auto"/>
              </w:rPr>
            </w:pPr>
            <w:r>
              <w:rPr>
                <w:rFonts w:ascii="Arial" w:cs="Arial" w:eastAsia="Arial" w:hAnsi="Arial"/>
                <w:sz w:val="19"/>
                <w:szCs w:val="19"/>
                <w:color w:val="auto"/>
              </w:rPr>
              <w:t>Restricted cash</w:t>
            </w:r>
          </w:p>
        </w:tc>
        <w:tc>
          <w:tcPr>
            <w:tcW w:w="940" w:type="dxa"/>
            <w:vAlign w:val="bottom"/>
          </w:tcPr>
          <w:p>
            <w:pPr>
              <w:spacing w:after="0"/>
              <w:rPr>
                <w:sz w:val="19"/>
                <w:szCs w:val="19"/>
                <w:color w:val="auto"/>
              </w:rPr>
            </w:pPr>
          </w:p>
        </w:tc>
        <w:tc>
          <w:tcPr>
            <w:tcW w:w="1800" w:type="dxa"/>
            <w:vAlign w:val="bottom"/>
          </w:tcPr>
          <w:p>
            <w:pPr>
              <w:jc w:val="right"/>
              <w:ind w:right="6"/>
              <w:spacing w:after="0"/>
              <w:rPr>
                <w:sz w:val="20"/>
                <w:szCs w:val="20"/>
                <w:color w:val="auto"/>
              </w:rPr>
            </w:pPr>
            <w:r>
              <w:rPr>
                <w:rFonts w:ascii="Arial" w:cs="Arial" w:eastAsia="Arial" w:hAnsi="Arial"/>
                <w:sz w:val="19"/>
                <w:szCs w:val="19"/>
                <w:color w:val="auto"/>
              </w:rPr>
              <w:t>741,524</w:t>
            </w:r>
          </w:p>
        </w:tc>
        <w:tc>
          <w:tcPr>
            <w:tcW w:w="0" w:type="dxa"/>
            <w:vAlign w:val="bottom"/>
          </w:tcPr>
          <w:p>
            <w:pPr>
              <w:spacing w:after="0"/>
              <w:rPr>
                <w:sz w:val="1"/>
                <w:szCs w:val="1"/>
                <w:color w:val="auto"/>
              </w:rPr>
            </w:pPr>
          </w:p>
        </w:tc>
      </w:tr>
      <w:tr>
        <w:trPr>
          <w:trHeight w:val="238"/>
        </w:trPr>
        <w:tc>
          <w:tcPr>
            <w:tcW w:w="850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Other</w:t>
            </w:r>
          </w:p>
        </w:tc>
        <w:tc>
          <w:tcPr>
            <w:tcW w:w="9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15,334</w:t>
            </w:r>
          </w:p>
        </w:tc>
        <w:tc>
          <w:tcPr>
            <w:tcW w:w="0" w:type="dxa"/>
            <w:vAlign w:val="bottom"/>
          </w:tcPr>
          <w:p>
            <w:pPr>
              <w:spacing w:after="0"/>
              <w:rPr>
                <w:sz w:val="1"/>
                <w:szCs w:val="1"/>
                <w:color w:val="auto"/>
              </w:rPr>
            </w:pPr>
          </w:p>
        </w:tc>
      </w:tr>
      <w:tr>
        <w:trPr>
          <w:trHeight w:val="358"/>
        </w:trPr>
        <w:tc>
          <w:tcPr>
            <w:tcW w:w="85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Total Other Assets</w:t>
            </w:r>
          </w:p>
        </w:tc>
        <w:tc>
          <w:tcPr>
            <w:tcW w:w="9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756,858</w:t>
            </w:r>
          </w:p>
        </w:tc>
        <w:tc>
          <w:tcPr>
            <w:tcW w:w="0" w:type="dxa"/>
            <w:vAlign w:val="bottom"/>
          </w:tcPr>
          <w:p>
            <w:pPr>
              <w:spacing w:after="0"/>
              <w:rPr>
                <w:sz w:val="1"/>
                <w:szCs w:val="1"/>
                <w:color w:val="auto"/>
              </w:rPr>
            </w:pPr>
          </w:p>
        </w:tc>
      </w:tr>
      <w:tr>
        <w:trPr>
          <w:trHeight w:val="365"/>
        </w:trPr>
        <w:tc>
          <w:tcPr>
            <w:tcW w:w="85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Total Assets</w:t>
            </w:r>
          </w:p>
        </w:tc>
        <w:tc>
          <w:tcPr>
            <w:tcW w:w="940" w:type="dxa"/>
            <w:vAlign w:val="bottom"/>
            <w:tcBorders>
              <w:bottom w:val="single" w:sz="8" w:color="auto"/>
            </w:tcBorders>
          </w:tcPr>
          <w:p>
            <w:pPr>
              <w:jc w:val="right"/>
              <w:ind w:right="326"/>
              <w:spacing w:after="0"/>
              <w:rPr>
                <w:sz w:val="20"/>
                <w:szCs w:val="20"/>
                <w:color w:val="auto"/>
              </w:rPr>
            </w:pPr>
            <w:r>
              <w:rPr>
                <w:rFonts w:ascii="Arial" w:cs="Arial" w:eastAsia="Arial" w:hAnsi="Arial"/>
                <w:sz w:val="19"/>
                <w:szCs w:val="19"/>
                <w:color w:val="auto"/>
              </w:rPr>
              <w:t>$</w:t>
            </w:r>
          </w:p>
        </w:tc>
        <w:tc>
          <w:tcPr>
            <w:tcW w:w="180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62,397,698</w:t>
            </w:r>
          </w:p>
        </w:tc>
        <w:tc>
          <w:tcPr>
            <w:tcW w:w="0" w:type="dxa"/>
            <w:vAlign w:val="bottom"/>
          </w:tcPr>
          <w:p>
            <w:pPr>
              <w:spacing w:after="0"/>
              <w:rPr>
                <w:sz w:val="1"/>
                <w:szCs w:val="1"/>
                <w:color w:val="auto"/>
              </w:rPr>
            </w:pPr>
          </w:p>
        </w:tc>
      </w:tr>
      <w:tr>
        <w:trPr>
          <w:trHeight w:val="367"/>
        </w:trPr>
        <w:tc>
          <w:tcPr>
            <w:tcW w:w="8500" w:type="dxa"/>
            <w:vAlign w:val="bottom"/>
          </w:tcPr>
          <w:p>
            <w:pPr>
              <w:spacing w:after="0"/>
              <w:rPr>
                <w:sz w:val="20"/>
                <w:szCs w:val="20"/>
                <w:color w:val="auto"/>
              </w:rPr>
            </w:pPr>
            <w:r>
              <w:rPr>
                <w:rFonts w:ascii="Arial" w:cs="Arial" w:eastAsia="Arial" w:hAnsi="Arial"/>
                <w:sz w:val="19"/>
                <w:szCs w:val="19"/>
                <w:b w:val="1"/>
                <w:bCs w:val="1"/>
                <w:color w:val="auto"/>
              </w:rPr>
              <w:t>Liabilities and Member’s Equity</w:t>
            </w:r>
          </w:p>
        </w:tc>
        <w:tc>
          <w:tcPr>
            <w:tcW w:w="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8500" w:type="dxa"/>
            <w:vAlign w:val="bottom"/>
          </w:tcPr>
          <w:p>
            <w:pPr>
              <w:spacing w:after="0"/>
              <w:rPr>
                <w:sz w:val="20"/>
                <w:szCs w:val="20"/>
                <w:color w:val="auto"/>
              </w:rPr>
            </w:pPr>
            <w:r>
              <w:rPr>
                <w:rFonts w:ascii="Arial" w:cs="Arial" w:eastAsia="Arial" w:hAnsi="Arial"/>
                <w:sz w:val="19"/>
                <w:szCs w:val="19"/>
                <w:b w:val="1"/>
                <w:bCs w:val="1"/>
                <w:color w:val="auto"/>
              </w:rPr>
              <w:t>Current Liabilities</w:t>
            </w:r>
          </w:p>
        </w:tc>
        <w:tc>
          <w:tcPr>
            <w:tcW w:w="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500" w:type="dxa"/>
            <w:vAlign w:val="bottom"/>
          </w:tcPr>
          <w:p>
            <w:pPr>
              <w:ind w:left="260"/>
              <w:spacing w:after="0"/>
              <w:rPr>
                <w:sz w:val="20"/>
                <w:szCs w:val="20"/>
                <w:color w:val="auto"/>
              </w:rPr>
            </w:pPr>
            <w:r>
              <w:rPr>
                <w:rFonts w:ascii="Arial" w:cs="Arial" w:eastAsia="Arial" w:hAnsi="Arial"/>
                <w:sz w:val="19"/>
                <w:szCs w:val="19"/>
                <w:color w:val="auto"/>
              </w:rPr>
              <w:t>Accounts payable</w:t>
            </w:r>
          </w:p>
        </w:tc>
        <w:tc>
          <w:tcPr>
            <w:tcW w:w="940" w:type="dxa"/>
            <w:vAlign w:val="bottom"/>
          </w:tcPr>
          <w:p>
            <w:pPr>
              <w:jc w:val="right"/>
              <w:ind w:right="326"/>
              <w:spacing w:after="0"/>
              <w:rPr>
                <w:sz w:val="20"/>
                <w:szCs w:val="20"/>
                <w:color w:val="auto"/>
              </w:rPr>
            </w:pPr>
            <w:r>
              <w:rPr>
                <w:rFonts w:ascii="Arial" w:cs="Arial" w:eastAsia="Arial" w:hAnsi="Arial"/>
                <w:sz w:val="19"/>
                <w:szCs w:val="19"/>
                <w:color w:val="auto"/>
              </w:rPr>
              <w:t>$</w:t>
            </w:r>
          </w:p>
        </w:tc>
        <w:tc>
          <w:tcPr>
            <w:tcW w:w="1800" w:type="dxa"/>
            <w:vAlign w:val="bottom"/>
          </w:tcPr>
          <w:p>
            <w:pPr>
              <w:jc w:val="right"/>
              <w:ind w:right="6"/>
              <w:spacing w:after="0"/>
              <w:rPr>
                <w:sz w:val="20"/>
                <w:szCs w:val="20"/>
                <w:color w:val="auto"/>
              </w:rPr>
            </w:pPr>
            <w:r>
              <w:rPr>
                <w:rFonts w:ascii="Arial" w:cs="Arial" w:eastAsia="Arial" w:hAnsi="Arial"/>
                <w:sz w:val="19"/>
                <w:szCs w:val="19"/>
                <w:color w:val="auto"/>
              </w:rPr>
              <w:t>9,297,593</w:t>
            </w:r>
          </w:p>
        </w:tc>
        <w:tc>
          <w:tcPr>
            <w:tcW w:w="0" w:type="dxa"/>
            <w:vAlign w:val="bottom"/>
          </w:tcPr>
          <w:p>
            <w:pPr>
              <w:spacing w:after="0"/>
              <w:rPr>
                <w:sz w:val="1"/>
                <w:szCs w:val="1"/>
                <w:color w:val="auto"/>
              </w:rPr>
            </w:pPr>
          </w:p>
        </w:tc>
      </w:tr>
      <w:tr>
        <w:trPr>
          <w:trHeight w:val="230"/>
        </w:trPr>
        <w:tc>
          <w:tcPr>
            <w:tcW w:w="8500" w:type="dxa"/>
            <w:vAlign w:val="bottom"/>
          </w:tcPr>
          <w:p>
            <w:pPr>
              <w:ind w:left="260"/>
              <w:spacing w:after="0"/>
              <w:rPr>
                <w:sz w:val="20"/>
                <w:szCs w:val="20"/>
                <w:color w:val="auto"/>
              </w:rPr>
            </w:pPr>
            <w:r>
              <w:rPr>
                <w:rFonts w:ascii="Arial" w:cs="Arial" w:eastAsia="Arial" w:hAnsi="Arial"/>
                <w:sz w:val="19"/>
                <w:szCs w:val="19"/>
                <w:color w:val="auto"/>
              </w:rPr>
              <w:t>Revenue payable</w:t>
            </w:r>
          </w:p>
        </w:tc>
        <w:tc>
          <w:tcPr>
            <w:tcW w:w="940" w:type="dxa"/>
            <w:vAlign w:val="bottom"/>
          </w:tcPr>
          <w:p>
            <w:pPr>
              <w:spacing w:after="0"/>
              <w:rPr>
                <w:sz w:val="19"/>
                <w:szCs w:val="19"/>
                <w:color w:val="auto"/>
              </w:rPr>
            </w:pPr>
          </w:p>
        </w:tc>
        <w:tc>
          <w:tcPr>
            <w:tcW w:w="1800" w:type="dxa"/>
            <w:vAlign w:val="bottom"/>
          </w:tcPr>
          <w:p>
            <w:pPr>
              <w:jc w:val="right"/>
              <w:ind w:right="6"/>
              <w:spacing w:after="0"/>
              <w:rPr>
                <w:sz w:val="20"/>
                <w:szCs w:val="20"/>
                <w:color w:val="auto"/>
              </w:rPr>
            </w:pPr>
            <w:r>
              <w:rPr>
                <w:rFonts w:ascii="Arial" w:cs="Arial" w:eastAsia="Arial" w:hAnsi="Arial"/>
                <w:sz w:val="19"/>
                <w:szCs w:val="19"/>
                <w:color w:val="auto"/>
              </w:rPr>
              <w:t>1,526,449</w:t>
            </w:r>
          </w:p>
        </w:tc>
        <w:tc>
          <w:tcPr>
            <w:tcW w:w="0" w:type="dxa"/>
            <w:vAlign w:val="bottom"/>
          </w:tcPr>
          <w:p>
            <w:pPr>
              <w:spacing w:after="0"/>
              <w:rPr>
                <w:sz w:val="1"/>
                <w:szCs w:val="1"/>
                <w:color w:val="auto"/>
              </w:rPr>
            </w:pPr>
          </w:p>
        </w:tc>
      </w:tr>
      <w:tr>
        <w:trPr>
          <w:trHeight w:val="229"/>
        </w:trPr>
        <w:tc>
          <w:tcPr>
            <w:tcW w:w="8500" w:type="dxa"/>
            <w:vAlign w:val="bottom"/>
          </w:tcPr>
          <w:p>
            <w:pPr>
              <w:ind w:left="260"/>
              <w:spacing w:after="0"/>
              <w:rPr>
                <w:sz w:val="20"/>
                <w:szCs w:val="20"/>
                <w:color w:val="auto"/>
              </w:rPr>
            </w:pPr>
            <w:r>
              <w:rPr>
                <w:rFonts w:ascii="Arial" w:cs="Arial" w:eastAsia="Arial" w:hAnsi="Arial"/>
                <w:sz w:val="19"/>
                <w:szCs w:val="19"/>
                <w:color w:val="auto"/>
              </w:rPr>
              <w:t>Accrued liabilities</w:t>
            </w:r>
          </w:p>
        </w:tc>
        <w:tc>
          <w:tcPr>
            <w:tcW w:w="940" w:type="dxa"/>
            <w:vAlign w:val="bottom"/>
          </w:tcPr>
          <w:p>
            <w:pPr>
              <w:spacing w:after="0"/>
              <w:rPr>
                <w:sz w:val="19"/>
                <w:szCs w:val="19"/>
                <w:color w:val="auto"/>
              </w:rPr>
            </w:pPr>
          </w:p>
        </w:tc>
        <w:tc>
          <w:tcPr>
            <w:tcW w:w="1800" w:type="dxa"/>
            <w:vAlign w:val="bottom"/>
          </w:tcPr>
          <w:p>
            <w:pPr>
              <w:jc w:val="right"/>
              <w:ind w:right="6"/>
              <w:spacing w:after="0"/>
              <w:rPr>
                <w:sz w:val="20"/>
                <w:szCs w:val="20"/>
                <w:color w:val="auto"/>
              </w:rPr>
            </w:pPr>
            <w:r>
              <w:rPr>
                <w:rFonts w:ascii="Arial" w:cs="Arial" w:eastAsia="Arial" w:hAnsi="Arial"/>
                <w:sz w:val="19"/>
                <w:szCs w:val="19"/>
                <w:color w:val="auto"/>
              </w:rPr>
              <w:t>1,074,357</w:t>
            </w:r>
          </w:p>
        </w:tc>
        <w:tc>
          <w:tcPr>
            <w:tcW w:w="0" w:type="dxa"/>
            <w:vAlign w:val="bottom"/>
          </w:tcPr>
          <w:p>
            <w:pPr>
              <w:spacing w:after="0"/>
              <w:rPr>
                <w:sz w:val="1"/>
                <w:szCs w:val="1"/>
                <w:color w:val="auto"/>
              </w:rPr>
            </w:pPr>
          </w:p>
        </w:tc>
      </w:tr>
      <w:tr>
        <w:trPr>
          <w:trHeight w:val="230"/>
        </w:trPr>
        <w:tc>
          <w:tcPr>
            <w:tcW w:w="8500" w:type="dxa"/>
            <w:vAlign w:val="bottom"/>
          </w:tcPr>
          <w:p>
            <w:pPr>
              <w:ind w:left="260"/>
              <w:spacing w:after="0"/>
              <w:rPr>
                <w:sz w:val="20"/>
                <w:szCs w:val="20"/>
                <w:color w:val="auto"/>
              </w:rPr>
            </w:pPr>
            <w:r>
              <w:rPr>
                <w:rFonts w:ascii="Arial" w:cs="Arial" w:eastAsia="Arial" w:hAnsi="Arial"/>
                <w:sz w:val="19"/>
                <w:szCs w:val="19"/>
                <w:color w:val="auto"/>
              </w:rPr>
              <w:t>Derivative liabilities</w:t>
            </w:r>
          </w:p>
        </w:tc>
        <w:tc>
          <w:tcPr>
            <w:tcW w:w="940" w:type="dxa"/>
            <w:vAlign w:val="bottom"/>
          </w:tcPr>
          <w:p>
            <w:pPr>
              <w:spacing w:after="0"/>
              <w:rPr>
                <w:sz w:val="19"/>
                <w:szCs w:val="19"/>
                <w:color w:val="auto"/>
              </w:rPr>
            </w:pPr>
          </w:p>
        </w:tc>
        <w:tc>
          <w:tcPr>
            <w:tcW w:w="1800" w:type="dxa"/>
            <w:vAlign w:val="bottom"/>
          </w:tcPr>
          <w:p>
            <w:pPr>
              <w:jc w:val="right"/>
              <w:ind w:right="6"/>
              <w:spacing w:after="0"/>
              <w:rPr>
                <w:sz w:val="20"/>
                <w:szCs w:val="20"/>
                <w:color w:val="auto"/>
              </w:rPr>
            </w:pPr>
            <w:r>
              <w:rPr>
                <w:rFonts w:ascii="Arial" w:cs="Arial" w:eastAsia="Arial" w:hAnsi="Arial"/>
                <w:sz w:val="19"/>
                <w:szCs w:val="19"/>
                <w:color w:val="auto"/>
              </w:rPr>
              <w:t>537,157</w:t>
            </w:r>
          </w:p>
        </w:tc>
        <w:tc>
          <w:tcPr>
            <w:tcW w:w="0" w:type="dxa"/>
            <w:vAlign w:val="bottom"/>
          </w:tcPr>
          <w:p>
            <w:pPr>
              <w:spacing w:after="0"/>
              <w:rPr>
                <w:sz w:val="1"/>
                <w:szCs w:val="1"/>
                <w:color w:val="auto"/>
              </w:rPr>
            </w:pPr>
          </w:p>
        </w:tc>
      </w:tr>
      <w:tr>
        <w:trPr>
          <w:trHeight w:val="238"/>
        </w:trPr>
        <w:tc>
          <w:tcPr>
            <w:tcW w:w="850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Current portion of asset retirement obligations</w:t>
            </w:r>
          </w:p>
        </w:tc>
        <w:tc>
          <w:tcPr>
            <w:tcW w:w="9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903,228</w:t>
            </w:r>
          </w:p>
        </w:tc>
        <w:tc>
          <w:tcPr>
            <w:tcW w:w="0" w:type="dxa"/>
            <w:vAlign w:val="bottom"/>
          </w:tcPr>
          <w:p>
            <w:pPr>
              <w:spacing w:after="0"/>
              <w:rPr>
                <w:sz w:val="1"/>
                <w:szCs w:val="1"/>
                <w:color w:val="auto"/>
              </w:rPr>
            </w:pPr>
          </w:p>
        </w:tc>
      </w:tr>
      <w:tr>
        <w:trPr>
          <w:trHeight w:val="360"/>
        </w:trPr>
        <w:tc>
          <w:tcPr>
            <w:tcW w:w="8500" w:type="dxa"/>
            <w:vAlign w:val="bottom"/>
          </w:tcPr>
          <w:p>
            <w:pPr>
              <w:spacing w:after="0"/>
              <w:rPr>
                <w:sz w:val="20"/>
                <w:szCs w:val="20"/>
                <w:color w:val="auto"/>
              </w:rPr>
            </w:pPr>
            <w:r>
              <w:rPr>
                <w:rFonts w:ascii="Arial" w:cs="Arial" w:eastAsia="Arial" w:hAnsi="Arial"/>
                <w:sz w:val="19"/>
                <w:szCs w:val="19"/>
                <w:b w:val="1"/>
                <w:bCs w:val="1"/>
                <w:color w:val="auto"/>
              </w:rPr>
              <w:t>Total Current Liabilities</w:t>
            </w:r>
          </w:p>
        </w:tc>
        <w:tc>
          <w:tcPr>
            <w:tcW w:w="940" w:type="dxa"/>
            <w:vAlign w:val="bottom"/>
          </w:tcPr>
          <w:p>
            <w:pPr>
              <w:spacing w:after="0"/>
              <w:rPr>
                <w:sz w:val="24"/>
                <w:szCs w:val="24"/>
                <w:color w:val="auto"/>
              </w:rPr>
            </w:pPr>
          </w:p>
        </w:tc>
        <w:tc>
          <w:tcPr>
            <w:tcW w:w="1800" w:type="dxa"/>
            <w:vAlign w:val="bottom"/>
          </w:tcPr>
          <w:p>
            <w:pPr>
              <w:jc w:val="right"/>
              <w:ind w:right="6"/>
              <w:spacing w:after="0"/>
              <w:rPr>
                <w:sz w:val="20"/>
                <w:szCs w:val="20"/>
                <w:color w:val="auto"/>
              </w:rPr>
            </w:pPr>
            <w:r>
              <w:rPr>
                <w:rFonts w:ascii="Arial" w:cs="Arial" w:eastAsia="Arial" w:hAnsi="Arial"/>
                <w:sz w:val="19"/>
                <w:szCs w:val="19"/>
                <w:color w:val="auto"/>
              </w:rPr>
              <w:t>13,338,784</w:t>
            </w:r>
          </w:p>
        </w:tc>
        <w:tc>
          <w:tcPr>
            <w:tcW w:w="0" w:type="dxa"/>
            <w:vAlign w:val="bottom"/>
          </w:tcPr>
          <w:p>
            <w:pPr>
              <w:spacing w:after="0"/>
              <w:rPr>
                <w:sz w:val="1"/>
                <w:szCs w:val="1"/>
                <w:color w:val="auto"/>
              </w:rPr>
            </w:pPr>
          </w:p>
        </w:tc>
      </w:tr>
      <w:tr>
        <w:trPr>
          <w:trHeight w:val="365"/>
        </w:trPr>
        <w:tc>
          <w:tcPr>
            <w:tcW w:w="8500" w:type="dxa"/>
            <w:vAlign w:val="bottom"/>
          </w:tcPr>
          <w:p>
            <w:pPr>
              <w:spacing w:after="0"/>
              <w:rPr>
                <w:sz w:val="20"/>
                <w:szCs w:val="20"/>
                <w:color w:val="auto"/>
              </w:rPr>
            </w:pPr>
            <w:r>
              <w:rPr>
                <w:rFonts w:ascii="Arial" w:cs="Arial" w:eastAsia="Arial" w:hAnsi="Arial"/>
                <w:sz w:val="19"/>
                <w:szCs w:val="19"/>
                <w:b w:val="1"/>
                <w:bCs w:val="1"/>
                <w:color w:val="auto"/>
              </w:rPr>
              <w:t>Asset Retirement Obligations, net of current portion</w:t>
            </w:r>
          </w:p>
        </w:tc>
        <w:tc>
          <w:tcPr>
            <w:tcW w:w="940" w:type="dxa"/>
            <w:vAlign w:val="bottom"/>
          </w:tcPr>
          <w:p>
            <w:pPr>
              <w:spacing w:after="0"/>
              <w:rPr>
                <w:sz w:val="24"/>
                <w:szCs w:val="24"/>
                <w:color w:val="auto"/>
              </w:rPr>
            </w:pPr>
          </w:p>
        </w:tc>
        <w:tc>
          <w:tcPr>
            <w:tcW w:w="1800" w:type="dxa"/>
            <w:vAlign w:val="bottom"/>
          </w:tcPr>
          <w:p>
            <w:pPr>
              <w:jc w:val="right"/>
              <w:ind w:right="6"/>
              <w:spacing w:after="0"/>
              <w:rPr>
                <w:sz w:val="20"/>
                <w:szCs w:val="20"/>
                <w:color w:val="auto"/>
              </w:rPr>
            </w:pPr>
            <w:r>
              <w:rPr>
                <w:rFonts w:ascii="Arial" w:cs="Arial" w:eastAsia="Arial" w:hAnsi="Arial"/>
                <w:sz w:val="19"/>
                <w:szCs w:val="19"/>
                <w:color w:val="auto"/>
              </w:rPr>
              <w:t>4,827,793</w:t>
            </w:r>
          </w:p>
        </w:tc>
        <w:tc>
          <w:tcPr>
            <w:tcW w:w="0" w:type="dxa"/>
            <w:vAlign w:val="bottom"/>
          </w:tcPr>
          <w:p>
            <w:pPr>
              <w:spacing w:after="0"/>
              <w:rPr>
                <w:sz w:val="1"/>
                <w:szCs w:val="1"/>
                <w:color w:val="auto"/>
              </w:rPr>
            </w:pPr>
          </w:p>
        </w:tc>
      </w:tr>
      <w:tr>
        <w:trPr>
          <w:trHeight w:val="363"/>
        </w:trPr>
        <w:tc>
          <w:tcPr>
            <w:tcW w:w="85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Long-Term Debt, net</w:t>
            </w:r>
          </w:p>
        </w:tc>
        <w:tc>
          <w:tcPr>
            <w:tcW w:w="9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40,293,546</w:t>
            </w:r>
          </w:p>
        </w:tc>
        <w:tc>
          <w:tcPr>
            <w:tcW w:w="0" w:type="dxa"/>
            <w:vAlign w:val="bottom"/>
          </w:tcPr>
          <w:p>
            <w:pPr>
              <w:spacing w:after="0"/>
              <w:rPr>
                <w:sz w:val="1"/>
                <w:szCs w:val="1"/>
                <w:color w:val="auto"/>
              </w:rPr>
            </w:pPr>
          </w:p>
        </w:tc>
      </w:tr>
      <w:tr>
        <w:trPr>
          <w:trHeight w:val="358"/>
        </w:trPr>
        <w:tc>
          <w:tcPr>
            <w:tcW w:w="85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Total Liabilities</w:t>
            </w:r>
          </w:p>
        </w:tc>
        <w:tc>
          <w:tcPr>
            <w:tcW w:w="9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58,460,123</w:t>
            </w:r>
          </w:p>
        </w:tc>
        <w:tc>
          <w:tcPr>
            <w:tcW w:w="0" w:type="dxa"/>
            <w:vAlign w:val="bottom"/>
          </w:tcPr>
          <w:p>
            <w:pPr>
              <w:spacing w:after="0"/>
              <w:rPr>
                <w:sz w:val="1"/>
                <w:szCs w:val="1"/>
                <w:color w:val="auto"/>
              </w:rPr>
            </w:pPr>
          </w:p>
        </w:tc>
      </w:tr>
      <w:tr>
        <w:trPr>
          <w:trHeight w:val="360"/>
        </w:trPr>
        <w:tc>
          <w:tcPr>
            <w:tcW w:w="8500" w:type="dxa"/>
            <w:vAlign w:val="bottom"/>
          </w:tcPr>
          <w:p>
            <w:pPr>
              <w:spacing w:after="0"/>
              <w:rPr>
                <w:sz w:val="20"/>
                <w:szCs w:val="20"/>
                <w:color w:val="auto"/>
              </w:rPr>
            </w:pPr>
            <w:r>
              <w:rPr>
                <w:rFonts w:ascii="Arial" w:cs="Arial" w:eastAsia="Arial" w:hAnsi="Arial"/>
                <w:sz w:val="19"/>
                <w:szCs w:val="19"/>
                <w:b w:val="1"/>
                <w:bCs w:val="1"/>
                <w:color w:val="auto"/>
              </w:rPr>
              <w:t>Commitments and Contingencies (Note 9)</w:t>
            </w:r>
          </w:p>
        </w:tc>
        <w:tc>
          <w:tcPr>
            <w:tcW w:w="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85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Member’s Equity</w:t>
            </w:r>
          </w:p>
        </w:tc>
        <w:tc>
          <w:tcPr>
            <w:tcW w:w="9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3,937,575</w:t>
            </w:r>
          </w:p>
        </w:tc>
        <w:tc>
          <w:tcPr>
            <w:tcW w:w="0" w:type="dxa"/>
            <w:vAlign w:val="bottom"/>
          </w:tcPr>
          <w:p>
            <w:pPr>
              <w:spacing w:after="0"/>
              <w:rPr>
                <w:sz w:val="1"/>
                <w:szCs w:val="1"/>
                <w:color w:val="auto"/>
              </w:rPr>
            </w:pPr>
          </w:p>
        </w:tc>
      </w:tr>
      <w:tr>
        <w:trPr>
          <w:trHeight w:val="371"/>
        </w:trPr>
        <w:tc>
          <w:tcPr>
            <w:tcW w:w="85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Total Liabilities and Member’s Equity</w:t>
            </w:r>
          </w:p>
        </w:tc>
        <w:tc>
          <w:tcPr>
            <w:tcW w:w="940" w:type="dxa"/>
            <w:vAlign w:val="bottom"/>
            <w:tcBorders>
              <w:bottom w:val="single" w:sz="8" w:color="auto"/>
            </w:tcBorders>
          </w:tcPr>
          <w:p>
            <w:pPr>
              <w:jc w:val="right"/>
              <w:ind w:right="326"/>
              <w:spacing w:after="0"/>
              <w:rPr>
                <w:sz w:val="20"/>
                <w:szCs w:val="20"/>
                <w:color w:val="auto"/>
              </w:rPr>
            </w:pPr>
            <w:r>
              <w:rPr>
                <w:rFonts w:ascii="Arial" w:cs="Arial" w:eastAsia="Arial" w:hAnsi="Arial"/>
                <w:sz w:val="19"/>
                <w:szCs w:val="19"/>
                <w:color w:val="auto"/>
              </w:rPr>
              <w:t>$</w:t>
            </w:r>
          </w:p>
        </w:tc>
        <w:tc>
          <w:tcPr>
            <w:tcW w:w="180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62,397,698</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center"/>
        <w:ind w:right="80"/>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748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328"/>
        </w:trPr>
        <w:tc>
          <w:tcPr>
            <w:tcW w:w="8480" w:type="dxa"/>
            <w:vAlign w:val="bottom"/>
          </w:tcPr>
          <w:p>
            <w:pPr>
              <w:ind w:left="3180"/>
              <w:spacing w:after="0"/>
              <w:rPr>
                <w:sz w:val="20"/>
                <w:szCs w:val="20"/>
                <w:color w:val="auto"/>
              </w:rPr>
            </w:pPr>
            <w:r>
              <w:rPr>
                <w:rFonts w:ascii="Arial" w:cs="Arial" w:eastAsia="Arial" w:hAnsi="Arial"/>
                <w:sz w:val="25"/>
                <w:szCs w:val="25"/>
                <w:b w:val="1"/>
                <w:bCs w:val="1"/>
                <w:color w:val="auto"/>
              </w:rPr>
              <w:t>RAM Energy Holdings LLC and Subsidiaries</w:t>
            </w:r>
          </w:p>
        </w:tc>
        <w:tc>
          <w:tcPr>
            <w:tcW w:w="9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17"/>
        </w:trPr>
        <w:tc>
          <w:tcPr>
            <w:tcW w:w="8480" w:type="dxa"/>
            <w:vAlign w:val="bottom"/>
            <w:tcBorders>
              <w:bottom w:val="single" w:sz="8" w:color="auto"/>
            </w:tcBorders>
          </w:tcPr>
          <w:p>
            <w:pPr>
              <w:ind w:left="3860"/>
              <w:spacing w:after="0"/>
              <w:rPr>
                <w:sz w:val="20"/>
                <w:szCs w:val="20"/>
                <w:color w:val="auto"/>
              </w:rPr>
            </w:pPr>
            <w:r>
              <w:rPr>
                <w:rFonts w:ascii="Arial" w:cs="Arial" w:eastAsia="Arial" w:hAnsi="Arial"/>
                <w:sz w:val="22"/>
                <w:szCs w:val="22"/>
                <w:b w:val="1"/>
                <w:bCs w:val="1"/>
                <w:color w:val="auto"/>
              </w:rPr>
              <w:t>Consolidated Statement of Operations</w:t>
            </w:r>
          </w:p>
        </w:tc>
        <w:tc>
          <w:tcPr>
            <w:tcW w:w="9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r>
        <w:trPr>
          <w:trHeight w:val="466"/>
        </w:trPr>
        <w:tc>
          <w:tcPr>
            <w:tcW w:w="848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i w:val="1"/>
                <w:iCs w:val="1"/>
                <w:color w:val="auto"/>
              </w:rPr>
              <w:t>Year Ended September 30,</w:t>
            </w:r>
          </w:p>
        </w:tc>
        <w:tc>
          <w:tcPr>
            <w:tcW w:w="9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946"/>
              <w:spacing w:after="0"/>
              <w:rPr>
                <w:sz w:val="20"/>
                <w:szCs w:val="20"/>
                <w:color w:val="auto"/>
              </w:rPr>
            </w:pPr>
            <w:r>
              <w:rPr>
                <w:rFonts w:ascii="Arial" w:cs="Arial" w:eastAsia="Arial" w:hAnsi="Arial"/>
                <w:sz w:val="19"/>
                <w:szCs w:val="19"/>
                <w:b w:val="1"/>
                <w:bCs w:val="1"/>
                <w:color w:val="auto"/>
              </w:rPr>
              <w:t>2020</w:t>
            </w:r>
          </w:p>
        </w:tc>
      </w:tr>
      <w:tr>
        <w:trPr>
          <w:trHeight w:val="356"/>
        </w:trPr>
        <w:tc>
          <w:tcPr>
            <w:tcW w:w="8480" w:type="dxa"/>
            <w:vAlign w:val="bottom"/>
          </w:tcPr>
          <w:p>
            <w:pPr>
              <w:spacing w:after="0"/>
              <w:rPr>
                <w:sz w:val="20"/>
                <w:szCs w:val="20"/>
                <w:color w:val="auto"/>
              </w:rPr>
            </w:pPr>
            <w:r>
              <w:rPr>
                <w:rFonts w:ascii="Arial" w:cs="Arial" w:eastAsia="Arial" w:hAnsi="Arial"/>
                <w:sz w:val="19"/>
                <w:szCs w:val="19"/>
                <w:b w:val="1"/>
                <w:bCs w:val="1"/>
                <w:color w:val="auto"/>
              </w:rPr>
              <w:t>Operating Revenues</w:t>
            </w:r>
          </w:p>
        </w:tc>
        <w:tc>
          <w:tcPr>
            <w:tcW w:w="9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29"/>
        </w:trPr>
        <w:tc>
          <w:tcPr>
            <w:tcW w:w="8480" w:type="dxa"/>
            <w:vAlign w:val="bottom"/>
          </w:tcPr>
          <w:p>
            <w:pPr>
              <w:ind w:left="260"/>
              <w:spacing w:after="0"/>
              <w:rPr>
                <w:sz w:val="20"/>
                <w:szCs w:val="20"/>
                <w:color w:val="auto"/>
              </w:rPr>
            </w:pPr>
            <w:r>
              <w:rPr>
                <w:rFonts w:ascii="Arial" w:cs="Arial" w:eastAsia="Arial" w:hAnsi="Arial"/>
                <w:sz w:val="19"/>
                <w:szCs w:val="19"/>
                <w:color w:val="auto"/>
              </w:rPr>
              <w:t>Crude oil sales</w:t>
            </w:r>
          </w:p>
        </w:tc>
        <w:tc>
          <w:tcPr>
            <w:tcW w:w="940" w:type="dxa"/>
            <w:vAlign w:val="bottom"/>
          </w:tcPr>
          <w:p>
            <w:pPr>
              <w:jc w:val="right"/>
              <w:ind w:right="306"/>
              <w:spacing w:after="0"/>
              <w:rPr>
                <w:sz w:val="20"/>
                <w:szCs w:val="20"/>
                <w:color w:val="auto"/>
              </w:rPr>
            </w:pPr>
            <w:r>
              <w:rPr>
                <w:rFonts w:ascii="Arial" w:cs="Arial" w:eastAsia="Arial" w:hAnsi="Arial"/>
                <w:sz w:val="19"/>
                <w:szCs w:val="19"/>
                <w:color w:val="auto"/>
              </w:rPr>
              <w:t>$</w:t>
            </w:r>
          </w:p>
        </w:tc>
        <w:tc>
          <w:tcPr>
            <w:tcW w:w="1820" w:type="dxa"/>
            <w:vAlign w:val="bottom"/>
          </w:tcPr>
          <w:p>
            <w:pPr>
              <w:jc w:val="right"/>
              <w:ind w:right="26"/>
              <w:spacing w:after="0"/>
              <w:rPr>
                <w:sz w:val="20"/>
                <w:szCs w:val="20"/>
                <w:color w:val="auto"/>
              </w:rPr>
            </w:pPr>
            <w:r>
              <w:rPr>
                <w:rFonts w:ascii="Arial" w:cs="Arial" w:eastAsia="Arial" w:hAnsi="Arial"/>
                <w:sz w:val="19"/>
                <w:szCs w:val="19"/>
                <w:color w:val="auto"/>
              </w:rPr>
              <w:t>13,242,725</w:t>
            </w:r>
          </w:p>
        </w:tc>
      </w:tr>
      <w:tr>
        <w:trPr>
          <w:trHeight w:val="230"/>
        </w:trPr>
        <w:tc>
          <w:tcPr>
            <w:tcW w:w="8480" w:type="dxa"/>
            <w:vAlign w:val="bottom"/>
          </w:tcPr>
          <w:p>
            <w:pPr>
              <w:ind w:left="260"/>
              <w:spacing w:after="0"/>
              <w:rPr>
                <w:sz w:val="20"/>
                <w:szCs w:val="20"/>
                <w:color w:val="auto"/>
              </w:rPr>
            </w:pPr>
            <w:r>
              <w:rPr>
                <w:rFonts w:ascii="Arial" w:cs="Arial" w:eastAsia="Arial" w:hAnsi="Arial"/>
                <w:sz w:val="19"/>
                <w:szCs w:val="19"/>
                <w:color w:val="auto"/>
              </w:rPr>
              <w:t>Natural gas sales</w:t>
            </w:r>
          </w:p>
        </w:tc>
        <w:tc>
          <w:tcPr>
            <w:tcW w:w="940" w:type="dxa"/>
            <w:vAlign w:val="bottom"/>
          </w:tcPr>
          <w:p>
            <w:pPr>
              <w:spacing w:after="0"/>
              <w:rPr>
                <w:sz w:val="19"/>
                <w:szCs w:val="19"/>
                <w:color w:val="auto"/>
              </w:rPr>
            </w:pPr>
          </w:p>
        </w:tc>
        <w:tc>
          <w:tcPr>
            <w:tcW w:w="1820" w:type="dxa"/>
            <w:vAlign w:val="bottom"/>
          </w:tcPr>
          <w:p>
            <w:pPr>
              <w:jc w:val="right"/>
              <w:ind w:right="26"/>
              <w:spacing w:after="0"/>
              <w:rPr>
                <w:sz w:val="20"/>
                <w:szCs w:val="20"/>
                <w:color w:val="auto"/>
              </w:rPr>
            </w:pPr>
            <w:r>
              <w:rPr>
                <w:rFonts w:ascii="Arial" w:cs="Arial" w:eastAsia="Arial" w:hAnsi="Arial"/>
                <w:sz w:val="19"/>
                <w:szCs w:val="19"/>
                <w:color w:val="auto"/>
              </w:rPr>
              <w:t>8,046,227</w:t>
            </w:r>
          </w:p>
        </w:tc>
      </w:tr>
      <w:tr>
        <w:trPr>
          <w:trHeight w:val="229"/>
        </w:trPr>
        <w:tc>
          <w:tcPr>
            <w:tcW w:w="8480" w:type="dxa"/>
            <w:vAlign w:val="bottom"/>
          </w:tcPr>
          <w:p>
            <w:pPr>
              <w:ind w:left="260"/>
              <w:spacing w:after="0"/>
              <w:rPr>
                <w:sz w:val="20"/>
                <w:szCs w:val="20"/>
                <w:color w:val="auto"/>
              </w:rPr>
            </w:pPr>
            <w:r>
              <w:rPr>
                <w:rFonts w:ascii="Arial" w:cs="Arial" w:eastAsia="Arial" w:hAnsi="Arial"/>
                <w:sz w:val="19"/>
                <w:szCs w:val="19"/>
                <w:color w:val="auto"/>
              </w:rPr>
              <w:t>Natural gas liquids sales</w:t>
            </w:r>
          </w:p>
        </w:tc>
        <w:tc>
          <w:tcPr>
            <w:tcW w:w="940" w:type="dxa"/>
            <w:vAlign w:val="bottom"/>
          </w:tcPr>
          <w:p>
            <w:pPr>
              <w:spacing w:after="0"/>
              <w:rPr>
                <w:sz w:val="19"/>
                <w:szCs w:val="19"/>
                <w:color w:val="auto"/>
              </w:rPr>
            </w:pPr>
          </w:p>
        </w:tc>
        <w:tc>
          <w:tcPr>
            <w:tcW w:w="1820" w:type="dxa"/>
            <w:vAlign w:val="bottom"/>
          </w:tcPr>
          <w:p>
            <w:pPr>
              <w:jc w:val="right"/>
              <w:ind w:right="26"/>
              <w:spacing w:after="0"/>
              <w:rPr>
                <w:sz w:val="20"/>
                <w:szCs w:val="20"/>
                <w:color w:val="auto"/>
              </w:rPr>
            </w:pPr>
            <w:r>
              <w:rPr>
                <w:rFonts w:ascii="Arial" w:cs="Arial" w:eastAsia="Arial" w:hAnsi="Arial"/>
                <w:sz w:val="19"/>
                <w:szCs w:val="19"/>
                <w:color w:val="auto"/>
              </w:rPr>
              <w:t>5,281,458</w:t>
            </w:r>
          </w:p>
        </w:tc>
      </w:tr>
      <w:tr>
        <w:trPr>
          <w:trHeight w:val="229"/>
        </w:trPr>
        <w:tc>
          <w:tcPr>
            <w:tcW w:w="8480" w:type="dxa"/>
            <w:vAlign w:val="bottom"/>
          </w:tcPr>
          <w:p>
            <w:pPr>
              <w:ind w:left="260"/>
              <w:spacing w:after="0"/>
              <w:rPr>
                <w:sz w:val="20"/>
                <w:szCs w:val="20"/>
                <w:color w:val="auto"/>
              </w:rPr>
            </w:pPr>
            <w:r>
              <w:rPr>
                <w:rFonts w:ascii="Arial" w:cs="Arial" w:eastAsia="Arial" w:hAnsi="Arial"/>
                <w:sz w:val="19"/>
                <w:szCs w:val="19"/>
                <w:color w:val="auto"/>
              </w:rPr>
              <w:t>Water supply services</w:t>
            </w:r>
          </w:p>
        </w:tc>
        <w:tc>
          <w:tcPr>
            <w:tcW w:w="940" w:type="dxa"/>
            <w:vAlign w:val="bottom"/>
          </w:tcPr>
          <w:p>
            <w:pPr>
              <w:spacing w:after="0"/>
              <w:rPr>
                <w:sz w:val="19"/>
                <w:szCs w:val="19"/>
                <w:color w:val="auto"/>
              </w:rPr>
            </w:pPr>
          </w:p>
        </w:tc>
        <w:tc>
          <w:tcPr>
            <w:tcW w:w="1820" w:type="dxa"/>
            <w:vAlign w:val="bottom"/>
          </w:tcPr>
          <w:p>
            <w:pPr>
              <w:jc w:val="right"/>
              <w:ind w:right="26"/>
              <w:spacing w:after="0"/>
              <w:rPr>
                <w:sz w:val="20"/>
                <w:szCs w:val="20"/>
                <w:color w:val="auto"/>
              </w:rPr>
            </w:pPr>
            <w:r>
              <w:rPr>
                <w:rFonts w:ascii="Arial" w:cs="Arial" w:eastAsia="Arial" w:hAnsi="Arial"/>
                <w:sz w:val="19"/>
                <w:szCs w:val="19"/>
                <w:color w:val="auto"/>
              </w:rPr>
              <w:t>748,221</w:t>
            </w:r>
          </w:p>
        </w:tc>
      </w:tr>
      <w:tr>
        <w:trPr>
          <w:trHeight w:val="238"/>
        </w:trPr>
        <w:tc>
          <w:tcPr>
            <w:tcW w:w="848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Gathering fees</w:t>
            </w: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3,267,474</w:t>
            </w:r>
          </w:p>
        </w:tc>
      </w:tr>
      <w:tr>
        <w:trPr>
          <w:trHeight w:val="360"/>
        </w:trPr>
        <w:tc>
          <w:tcPr>
            <w:tcW w:w="8480" w:type="dxa"/>
            <w:vAlign w:val="bottom"/>
          </w:tcPr>
          <w:p>
            <w:pPr>
              <w:spacing w:after="0"/>
              <w:rPr>
                <w:sz w:val="20"/>
                <w:szCs w:val="20"/>
                <w:color w:val="auto"/>
              </w:rPr>
            </w:pPr>
            <w:r>
              <w:rPr>
                <w:rFonts w:ascii="Arial" w:cs="Arial" w:eastAsia="Arial" w:hAnsi="Arial"/>
                <w:sz w:val="19"/>
                <w:szCs w:val="19"/>
                <w:b w:val="1"/>
                <w:bCs w:val="1"/>
                <w:color w:val="auto"/>
              </w:rPr>
              <w:t>Total Revenues</w:t>
            </w:r>
          </w:p>
        </w:tc>
        <w:tc>
          <w:tcPr>
            <w:tcW w:w="94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Arial" w:cs="Arial" w:eastAsia="Arial" w:hAnsi="Arial"/>
                <w:sz w:val="19"/>
                <w:szCs w:val="19"/>
                <w:color w:val="auto"/>
              </w:rPr>
              <w:t>30,586,105</w:t>
            </w:r>
          </w:p>
        </w:tc>
      </w:tr>
      <w:tr>
        <w:trPr>
          <w:trHeight w:val="354"/>
        </w:trPr>
        <w:tc>
          <w:tcPr>
            <w:tcW w:w="8480" w:type="dxa"/>
            <w:vAlign w:val="bottom"/>
          </w:tcPr>
          <w:p>
            <w:pPr>
              <w:spacing w:after="0"/>
              <w:rPr>
                <w:sz w:val="20"/>
                <w:szCs w:val="20"/>
                <w:color w:val="auto"/>
              </w:rPr>
            </w:pPr>
            <w:r>
              <w:rPr>
                <w:rFonts w:ascii="Arial" w:cs="Arial" w:eastAsia="Arial" w:hAnsi="Arial"/>
                <w:sz w:val="19"/>
                <w:szCs w:val="19"/>
                <w:b w:val="1"/>
                <w:bCs w:val="1"/>
                <w:color w:val="auto"/>
              </w:rPr>
              <w:t>Operating Expenses</w:t>
            </w:r>
          </w:p>
        </w:tc>
        <w:tc>
          <w:tcPr>
            <w:tcW w:w="9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29"/>
        </w:trPr>
        <w:tc>
          <w:tcPr>
            <w:tcW w:w="8480" w:type="dxa"/>
            <w:vAlign w:val="bottom"/>
          </w:tcPr>
          <w:p>
            <w:pPr>
              <w:ind w:left="260"/>
              <w:spacing w:after="0"/>
              <w:rPr>
                <w:sz w:val="20"/>
                <w:szCs w:val="20"/>
                <w:color w:val="auto"/>
              </w:rPr>
            </w:pPr>
            <w:r>
              <w:rPr>
                <w:rFonts w:ascii="Arial" w:cs="Arial" w:eastAsia="Arial" w:hAnsi="Arial"/>
                <w:sz w:val="19"/>
                <w:szCs w:val="19"/>
                <w:color w:val="auto"/>
              </w:rPr>
              <w:t>Oil and natural gas operating expenses</w:t>
            </w:r>
          </w:p>
        </w:tc>
        <w:tc>
          <w:tcPr>
            <w:tcW w:w="940" w:type="dxa"/>
            <w:vAlign w:val="bottom"/>
          </w:tcPr>
          <w:p>
            <w:pPr>
              <w:spacing w:after="0"/>
              <w:rPr>
                <w:sz w:val="19"/>
                <w:szCs w:val="19"/>
                <w:color w:val="auto"/>
              </w:rPr>
            </w:pPr>
          </w:p>
        </w:tc>
        <w:tc>
          <w:tcPr>
            <w:tcW w:w="1820" w:type="dxa"/>
            <w:vAlign w:val="bottom"/>
          </w:tcPr>
          <w:p>
            <w:pPr>
              <w:jc w:val="right"/>
              <w:ind w:right="26"/>
              <w:spacing w:after="0"/>
              <w:rPr>
                <w:sz w:val="20"/>
                <w:szCs w:val="20"/>
                <w:color w:val="auto"/>
              </w:rPr>
            </w:pPr>
            <w:r>
              <w:rPr>
                <w:rFonts w:ascii="Arial" w:cs="Arial" w:eastAsia="Arial" w:hAnsi="Arial"/>
                <w:sz w:val="19"/>
                <w:szCs w:val="19"/>
                <w:color w:val="auto"/>
              </w:rPr>
              <w:t>19,371,952</w:t>
            </w:r>
          </w:p>
        </w:tc>
      </w:tr>
      <w:tr>
        <w:trPr>
          <w:trHeight w:val="229"/>
        </w:trPr>
        <w:tc>
          <w:tcPr>
            <w:tcW w:w="8480" w:type="dxa"/>
            <w:vAlign w:val="bottom"/>
          </w:tcPr>
          <w:p>
            <w:pPr>
              <w:ind w:left="260"/>
              <w:spacing w:after="0"/>
              <w:rPr>
                <w:sz w:val="20"/>
                <w:szCs w:val="20"/>
                <w:color w:val="auto"/>
              </w:rPr>
            </w:pPr>
            <w:r>
              <w:rPr>
                <w:rFonts w:ascii="Arial" w:cs="Arial" w:eastAsia="Arial" w:hAnsi="Arial"/>
                <w:sz w:val="19"/>
                <w:szCs w:val="19"/>
                <w:color w:val="auto"/>
              </w:rPr>
              <w:t>Oil and natural gas production taxes</w:t>
            </w:r>
          </w:p>
        </w:tc>
        <w:tc>
          <w:tcPr>
            <w:tcW w:w="940" w:type="dxa"/>
            <w:vAlign w:val="bottom"/>
          </w:tcPr>
          <w:p>
            <w:pPr>
              <w:spacing w:after="0"/>
              <w:rPr>
                <w:sz w:val="19"/>
                <w:szCs w:val="19"/>
                <w:color w:val="auto"/>
              </w:rPr>
            </w:pPr>
          </w:p>
        </w:tc>
        <w:tc>
          <w:tcPr>
            <w:tcW w:w="1820" w:type="dxa"/>
            <w:vAlign w:val="bottom"/>
          </w:tcPr>
          <w:p>
            <w:pPr>
              <w:jc w:val="right"/>
              <w:ind w:right="26"/>
              <w:spacing w:after="0"/>
              <w:rPr>
                <w:sz w:val="20"/>
                <w:szCs w:val="20"/>
                <w:color w:val="auto"/>
              </w:rPr>
            </w:pPr>
            <w:r>
              <w:rPr>
                <w:rFonts w:ascii="Arial" w:cs="Arial" w:eastAsia="Arial" w:hAnsi="Arial"/>
                <w:sz w:val="19"/>
                <w:szCs w:val="19"/>
                <w:color w:val="auto"/>
              </w:rPr>
              <w:t>713,228</w:t>
            </w:r>
          </w:p>
        </w:tc>
      </w:tr>
      <w:tr>
        <w:trPr>
          <w:trHeight w:val="230"/>
        </w:trPr>
        <w:tc>
          <w:tcPr>
            <w:tcW w:w="8480" w:type="dxa"/>
            <w:vAlign w:val="bottom"/>
          </w:tcPr>
          <w:p>
            <w:pPr>
              <w:ind w:left="260"/>
              <w:spacing w:after="0"/>
              <w:rPr>
                <w:sz w:val="20"/>
                <w:szCs w:val="20"/>
                <w:color w:val="auto"/>
              </w:rPr>
            </w:pPr>
            <w:r>
              <w:rPr>
                <w:rFonts w:ascii="Arial" w:cs="Arial" w:eastAsia="Arial" w:hAnsi="Arial"/>
                <w:sz w:val="19"/>
                <w:szCs w:val="19"/>
                <w:color w:val="auto"/>
              </w:rPr>
              <w:t>Water usage</w:t>
            </w:r>
          </w:p>
        </w:tc>
        <w:tc>
          <w:tcPr>
            <w:tcW w:w="940" w:type="dxa"/>
            <w:vAlign w:val="bottom"/>
          </w:tcPr>
          <w:p>
            <w:pPr>
              <w:spacing w:after="0"/>
              <w:rPr>
                <w:sz w:val="19"/>
                <w:szCs w:val="19"/>
                <w:color w:val="auto"/>
              </w:rPr>
            </w:pPr>
          </w:p>
        </w:tc>
        <w:tc>
          <w:tcPr>
            <w:tcW w:w="1820" w:type="dxa"/>
            <w:vAlign w:val="bottom"/>
          </w:tcPr>
          <w:p>
            <w:pPr>
              <w:jc w:val="right"/>
              <w:ind w:right="26"/>
              <w:spacing w:after="0"/>
              <w:rPr>
                <w:sz w:val="20"/>
                <w:szCs w:val="20"/>
                <w:color w:val="auto"/>
              </w:rPr>
            </w:pPr>
            <w:r>
              <w:rPr>
                <w:rFonts w:ascii="Arial" w:cs="Arial" w:eastAsia="Arial" w:hAnsi="Arial"/>
                <w:sz w:val="19"/>
                <w:szCs w:val="19"/>
                <w:color w:val="auto"/>
              </w:rPr>
              <w:t>75,000</w:t>
            </w:r>
          </w:p>
        </w:tc>
      </w:tr>
      <w:tr>
        <w:trPr>
          <w:trHeight w:val="229"/>
        </w:trPr>
        <w:tc>
          <w:tcPr>
            <w:tcW w:w="8480" w:type="dxa"/>
            <w:vAlign w:val="bottom"/>
          </w:tcPr>
          <w:p>
            <w:pPr>
              <w:ind w:left="260"/>
              <w:spacing w:after="0"/>
              <w:rPr>
                <w:sz w:val="20"/>
                <w:szCs w:val="20"/>
                <w:color w:val="auto"/>
              </w:rPr>
            </w:pPr>
            <w:r>
              <w:rPr>
                <w:rFonts w:ascii="Arial" w:cs="Arial" w:eastAsia="Arial" w:hAnsi="Arial"/>
                <w:sz w:val="19"/>
                <w:szCs w:val="19"/>
                <w:color w:val="auto"/>
              </w:rPr>
              <w:t>Depreciation, depletion and amortization</w:t>
            </w:r>
          </w:p>
        </w:tc>
        <w:tc>
          <w:tcPr>
            <w:tcW w:w="940" w:type="dxa"/>
            <w:vAlign w:val="bottom"/>
          </w:tcPr>
          <w:p>
            <w:pPr>
              <w:spacing w:after="0"/>
              <w:rPr>
                <w:sz w:val="19"/>
                <w:szCs w:val="19"/>
                <w:color w:val="auto"/>
              </w:rPr>
            </w:pPr>
          </w:p>
        </w:tc>
        <w:tc>
          <w:tcPr>
            <w:tcW w:w="1820" w:type="dxa"/>
            <w:vAlign w:val="bottom"/>
          </w:tcPr>
          <w:p>
            <w:pPr>
              <w:jc w:val="right"/>
              <w:ind w:right="26"/>
              <w:spacing w:after="0"/>
              <w:rPr>
                <w:sz w:val="20"/>
                <w:szCs w:val="20"/>
                <w:color w:val="auto"/>
              </w:rPr>
            </w:pPr>
            <w:r>
              <w:rPr>
                <w:rFonts w:ascii="Arial" w:cs="Arial" w:eastAsia="Arial" w:hAnsi="Arial"/>
                <w:sz w:val="19"/>
                <w:szCs w:val="19"/>
                <w:color w:val="auto"/>
              </w:rPr>
              <w:t>14,816,892</w:t>
            </w:r>
          </w:p>
        </w:tc>
      </w:tr>
      <w:tr>
        <w:trPr>
          <w:trHeight w:val="230"/>
        </w:trPr>
        <w:tc>
          <w:tcPr>
            <w:tcW w:w="8480" w:type="dxa"/>
            <w:vAlign w:val="bottom"/>
          </w:tcPr>
          <w:p>
            <w:pPr>
              <w:ind w:left="260"/>
              <w:spacing w:after="0"/>
              <w:rPr>
                <w:sz w:val="20"/>
                <w:szCs w:val="20"/>
                <w:color w:val="auto"/>
              </w:rPr>
            </w:pPr>
            <w:r>
              <w:rPr>
                <w:rFonts w:ascii="Arial" w:cs="Arial" w:eastAsia="Arial" w:hAnsi="Arial"/>
                <w:sz w:val="19"/>
                <w:szCs w:val="19"/>
                <w:color w:val="auto"/>
              </w:rPr>
              <w:t>Impairment of oil and gas properties</w:t>
            </w:r>
          </w:p>
        </w:tc>
        <w:tc>
          <w:tcPr>
            <w:tcW w:w="940" w:type="dxa"/>
            <w:vAlign w:val="bottom"/>
          </w:tcPr>
          <w:p>
            <w:pPr>
              <w:spacing w:after="0"/>
              <w:rPr>
                <w:sz w:val="19"/>
                <w:szCs w:val="19"/>
                <w:color w:val="auto"/>
              </w:rPr>
            </w:pPr>
          </w:p>
        </w:tc>
        <w:tc>
          <w:tcPr>
            <w:tcW w:w="1820" w:type="dxa"/>
            <w:vAlign w:val="bottom"/>
          </w:tcPr>
          <w:p>
            <w:pPr>
              <w:jc w:val="right"/>
              <w:ind w:right="26"/>
              <w:spacing w:after="0"/>
              <w:rPr>
                <w:sz w:val="20"/>
                <w:szCs w:val="20"/>
                <w:color w:val="auto"/>
              </w:rPr>
            </w:pPr>
            <w:r>
              <w:rPr>
                <w:rFonts w:ascii="Arial" w:cs="Arial" w:eastAsia="Arial" w:hAnsi="Arial"/>
                <w:sz w:val="19"/>
                <w:szCs w:val="19"/>
                <w:color w:val="auto"/>
              </w:rPr>
              <w:t>32,455,508</w:t>
            </w:r>
          </w:p>
        </w:tc>
      </w:tr>
      <w:tr>
        <w:trPr>
          <w:trHeight w:val="229"/>
        </w:trPr>
        <w:tc>
          <w:tcPr>
            <w:tcW w:w="8480" w:type="dxa"/>
            <w:vAlign w:val="bottom"/>
          </w:tcPr>
          <w:p>
            <w:pPr>
              <w:ind w:left="260"/>
              <w:spacing w:after="0"/>
              <w:rPr>
                <w:sz w:val="20"/>
                <w:szCs w:val="20"/>
                <w:color w:val="auto"/>
              </w:rPr>
            </w:pPr>
            <w:r>
              <w:rPr>
                <w:rFonts w:ascii="Arial" w:cs="Arial" w:eastAsia="Arial" w:hAnsi="Arial"/>
                <w:sz w:val="19"/>
                <w:szCs w:val="19"/>
                <w:color w:val="auto"/>
              </w:rPr>
              <w:t>Accretion of asset retirement obligations</w:t>
            </w:r>
          </w:p>
        </w:tc>
        <w:tc>
          <w:tcPr>
            <w:tcW w:w="940" w:type="dxa"/>
            <w:vAlign w:val="bottom"/>
          </w:tcPr>
          <w:p>
            <w:pPr>
              <w:spacing w:after="0"/>
              <w:rPr>
                <w:sz w:val="19"/>
                <w:szCs w:val="19"/>
                <w:color w:val="auto"/>
              </w:rPr>
            </w:pPr>
          </w:p>
        </w:tc>
        <w:tc>
          <w:tcPr>
            <w:tcW w:w="1820" w:type="dxa"/>
            <w:vAlign w:val="bottom"/>
          </w:tcPr>
          <w:p>
            <w:pPr>
              <w:jc w:val="right"/>
              <w:ind w:right="26"/>
              <w:spacing w:after="0"/>
              <w:rPr>
                <w:sz w:val="20"/>
                <w:szCs w:val="20"/>
                <w:color w:val="auto"/>
              </w:rPr>
            </w:pPr>
            <w:r>
              <w:rPr>
                <w:rFonts w:ascii="Arial" w:cs="Arial" w:eastAsia="Arial" w:hAnsi="Arial"/>
                <w:sz w:val="19"/>
                <w:szCs w:val="19"/>
                <w:color w:val="auto"/>
              </w:rPr>
              <w:t>576,665</w:t>
            </w:r>
          </w:p>
        </w:tc>
      </w:tr>
      <w:tr>
        <w:trPr>
          <w:trHeight w:val="229"/>
        </w:trPr>
        <w:tc>
          <w:tcPr>
            <w:tcW w:w="8480" w:type="dxa"/>
            <w:vAlign w:val="bottom"/>
          </w:tcPr>
          <w:p>
            <w:pPr>
              <w:ind w:left="260"/>
              <w:spacing w:after="0"/>
              <w:rPr>
                <w:sz w:val="20"/>
                <w:szCs w:val="20"/>
                <w:color w:val="auto"/>
              </w:rPr>
            </w:pPr>
            <w:r>
              <w:rPr>
                <w:rFonts w:ascii="Arial" w:cs="Arial" w:eastAsia="Arial" w:hAnsi="Arial"/>
                <w:sz w:val="19"/>
                <w:szCs w:val="19"/>
                <w:color w:val="auto"/>
              </w:rPr>
              <w:t>Bad debt expense</w:t>
            </w:r>
          </w:p>
        </w:tc>
        <w:tc>
          <w:tcPr>
            <w:tcW w:w="940" w:type="dxa"/>
            <w:vAlign w:val="bottom"/>
          </w:tcPr>
          <w:p>
            <w:pPr>
              <w:spacing w:after="0"/>
              <w:rPr>
                <w:sz w:val="19"/>
                <w:szCs w:val="19"/>
                <w:color w:val="auto"/>
              </w:rPr>
            </w:pPr>
          </w:p>
        </w:tc>
        <w:tc>
          <w:tcPr>
            <w:tcW w:w="1820" w:type="dxa"/>
            <w:vAlign w:val="bottom"/>
          </w:tcPr>
          <w:p>
            <w:pPr>
              <w:jc w:val="right"/>
              <w:ind w:right="26"/>
              <w:spacing w:after="0"/>
              <w:rPr>
                <w:sz w:val="20"/>
                <w:szCs w:val="20"/>
                <w:color w:val="auto"/>
              </w:rPr>
            </w:pPr>
            <w:r>
              <w:rPr>
                <w:rFonts w:ascii="Arial" w:cs="Arial" w:eastAsia="Arial" w:hAnsi="Arial"/>
                <w:sz w:val="19"/>
                <w:szCs w:val="19"/>
                <w:color w:val="auto"/>
              </w:rPr>
              <w:t>1,050</w:t>
            </w:r>
          </w:p>
        </w:tc>
      </w:tr>
      <w:tr>
        <w:trPr>
          <w:trHeight w:val="216"/>
        </w:trPr>
        <w:tc>
          <w:tcPr>
            <w:tcW w:w="8480" w:type="dxa"/>
            <w:vAlign w:val="bottom"/>
          </w:tcPr>
          <w:p>
            <w:pPr>
              <w:ind w:left="260"/>
              <w:spacing w:after="0" w:line="216" w:lineRule="exact"/>
              <w:rPr>
                <w:sz w:val="20"/>
                <w:szCs w:val="20"/>
                <w:color w:val="auto"/>
              </w:rPr>
            </w:pPr>
            <w:r>
              <w:rPr>
                <w:rFonts w:ascii="Arial" w:cs="Arial" w:eastAsia="Arial" w:hAnsi="Arial"/>
                <w:sz w:val="19"/>
                <w:szCs w:val="19"/>
                <w:color w:val="auto"/>
              </w:rPr>
              <w:t>General and administrative, overhead and other</w:t>
            </w:r>
          </w:p>
        </w:tc>
        <w:tc>
          <w:tcPr>
            <w:tcW w:w="9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8"/>
        </w:trPr>
        <w:tc>
          <w:tcPr>
            <w:tcW w:w="8480" w:type="dxa"/>
            <w:vAlign w:val="bottom"/>
            <w:tcBorders>
              <w:bottom w:val="single" w:sz="8" w:color="auto"/>
            </w:tcBorders>
          </w:tcPr>
          <w:p>
            <w:pPr>
              <w:ind w:left="400"/>
              <w:spacing w:after="0"/>
              <w:rPr>
                <w:sz w:val="20"/>
                <w:szCs w:val="20"/>
                <w:color w:val="auto"/>
              </w:rPr>
            </w:pPr>
            <w:r>
              <w:rPr>
                <w:rFonts w:ascii="Arial" w:cs="Arial" w:eastAsia="Arial" w:hAnsi="Arial"/>
                <w:sz w:val="19"/>
                <w:szCs w:val="19"/>
                <w:color w:val="auto"/>
              </w:rPr>
              <w:t>expenses, net of operator's overhead fees</w:t>
            </w: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4,450,780</w:t>
            </w:r>
          </w:p>
        </w:tc>
      </w:tr>
      <w:tr>
        <w:trPr>
          <w:trHeight w:val="358"/>
        </w:trPr>
        <w:tc>
          <w:tcPr>
            <w:tcW w:w="848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Total Operating Expenses</w:t>
            </w:r>
          </w:p>
        </w:tc>
        <w:tc>
          <w:tcPr>
            <w:tcW w:w="9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72,461,075</w:t>
            </w:r>
          </w:p>
        </w:tc>
      </w:tr>
      <w:tr>
        <w:trPr>
          <w:trHeight w:val="360"/>
        </w:trPr>
        <w:tc>
          <w:tcPr>
            <w:tcW w:w="8480" w:type="dxa"/>
            <w:vAlign w:val="bottom"/>
          </w:tcPr>
          <w:p>
            <w:pPr>
              <w:spacing w:after="0"/>
              <w:rPr>
                <w:sz w:val="20"/>
                <w:szCs w:val="20"/>
                <w:color w:val="auto"/>
              </w:rPr>
            </w:pPr>
            <w:r>
              <w:rPr>
                <w:rFonts w:ascii="Arial" w:cs="Arial" w:eastAsia="Arial" w:hAnsi="Arial"/>
                <w:sz w:val="19"/>
                <w:szCs w:val="19"/>
                <w:b w:val="1"/>
                <w:bCs w:val="1"/>
                <w:color w:val="auto"/>
              </w:rPr>
              <w:t>Loss from Operations</w:t>
            </w:r>
          </w:p>
        </w:tc>
        <w:tc>
          <w:tcPr>
            <w:tcW w:w="94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9"/>
                <w:szCs w:val="19"/>
                <w:color w:val="auto"/>
              </w:rPr>
              <w:t>(41,874,970)</w:t>
            </w:r>
          </w:p>
        </w:tc>
      </w:tr>
      <w:tr>
        <w:trPr>
          <w:trHeight w:val="354"/>
        </w:trPr>
        <w:tc>
          <w:tcPr>
            <w:tcW w:w="8480" w:type="dxa"/>
            <w:vAlign w:val="bottom"/>
          </w:tcPr>
          <w:p>
            <w:pPr>
              <w:spacing w:after="0"/>
              <w:rPr>
                <w:sz w:val="20"/>
                <w:szCs w:val="20"/>
                <w:color w:val="auto"/>
              </w:rPr>
            </w:pPr>
            <w:r>
              <w:rPr>
                <w:rFonts w:ascii="Arial" w:cs="Arial" w:eastAsia="Arial" w:hAnsi="Arial"/>
                <w:sz w:val="19"/>
                <w:szCs w:val="19"/>
                <w:b w:val="1"/>
                <w:bCs w:val="1"/>
                <w:color w:val="auto"/>
              </w:rPr>
              <w:t>Other Income (Expense)</w:t>
            </w:r>
          </w:p>
        </w:tc>
        <w:tc>
          <w:tcPr>
            <w:tcW w:w="9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30"/>
        </w:trPr>
        <w:tc>
          <w:tcPr>
            <w:tcW w:w="8480" w:type="dxa"/>
            <w:vAlign w:val="bottom"/>
          </w:tcPr>
          <w:p>
            <w:pPr>
              <w:ind w:left="260"/>
              <w:spacing w:after="0"/>
              <w:rPr>
                <w:sz w:val="20"/>
                <w:szCs w:val="20"/>
                <w:color w:val="auto"/>
              </w:rPr>
            </w:pPr>
            <w:r>
              <w:rPr>
                <w:rFonts w:ascii="Arial" w:cs="Arial" w:eastAsia="Arial" w:hAnsi="Arial"/>
                <w:sz w:val="19"/>
                <w:szCs w:val="19"/>
                <w:color w:val="auto"/>
              </w:rPr>
              <w:t>Interest expense</w:t>
            </w:r>
          </w:p>
        </w:tc>
        <w:tc>
          <w:tcPr>
            <w:tcW w:w="9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9"/>
                <w:szCs w:val="19"/>
                <w:color w:val="auto"/>
              </w:rPr>
              <w:t>(5,945,697)</w:t>
            </w:r>
          </w:p>
        </w:tc>
      </w:tr>
      <w:tr>
        <w:trPr>
          <w:trHeight w:val="229"/>
        </w:trPr>
        <w:tc>
          <w:tcPr>
            <w:tcW w:w="8480" w:type="dxa"/>
            <w:vAlign w:val="bottom"/>
          </w:tcPr>
          <w:p>
            <w:pPr>
              <w:ind w:left="260"/>
              <w:spacing w:after="0"/>
              <w:rPr>
                <w:sz w:val="20"/>
                <w:szCs w:val="20"/>
                <w:color w:val="auto"/>
              </w:rPr>
            </w:pPr>
            <w:r>
              <w:rPr>
                <w:rFonts w:ascii="Arial" w:cs="Arial" w:eastAsia="Arial" w:hAnsi="Arial"/>
                <w:sz w:val="19"/>
                <w:szCs w:val="19"/>
                <w:color w:val="auto"/>
              </w:rPr>
              <w:t>Interest income</w:t>
            </w:r>
          </w:p>
        </w:tc>
        <w:tc>
          <w:tcPr>
            <w:tcW w:w="940" w:type="dxa"/>
            <w:vAlign w:val="bottom"/>
          </w:tcPr>
          <w:p>
            <w:pPr>
              <w:spacing w:after="0"/>
              <w:rPr>
                <w:sz w:val="19"/>
                <w:szCs w:val="19"/>
                <w:color w:val="auto"/>
              </w:rPr>
            </w:pPr>
          </w:p>
        </w:tc>
        <w:tc>
          <w:tcPr>
            <w:tcW w:w="1820" w:type="dxa"/>
            <w:vAlign w:val="bottom"/>
          </w:tcPr>
          <w:p>
            <w:pPr>
              <w:jc w:val="right"/>
              <w:ind w:right="26"/>
              <w:spacing w:after="0"/>
              <w:rPr>
                <w:sz w:val="20"/>
                <w:szCs w:val="20"/>
                <w:color w:val="auto"/>
              </w:rPr>
            </w:pPr>
            <w:r>
              <w:rPr>
                <w:rFonts w:ascii="Arial" w:cs="Arial" w:eastAsia="Arial" w:hAnsi="Arial"/>
                <w:sz w:val="19"/>
                <w:szCs w:val="19"/>
                <w:color w:val="auto"/>
              </w:rPr>
              <w:t>86,697</w:t>
            </w:r>
          </w:p>
        </w:tc>
      </w:tr>
      <w:tr>
        <w:trPr>
          <w:trHeight w:val="230"/>
        </w:trPr>
        <w:tc>
          <w:tcPr>
            <w:tcW w:w="8480" w:type="dxa"/>
            <w:vAlign w:val="bottom"/>
          </w:tcPr>
          <w:p>
            <w:pPr>
              <w:ind w:left="260"/>
              <w:spacing w:after="0"/>
              <w:rPr>
                <w:sz w:val="20"/>
                <w:szCs w:val="20"/>
                <w:color w:val="auto"/>
              </w:rPr>
            </w:pPr>
            <w:r>
              <w:rPr>
                <w:rFonts w:ascii="Arial" w:cs="Arial" w:eastAsia="Arial" w:hAnsi="Arial"/>
                <w:sz w:val="19"/>
                <w:szCs w:val="19"/>
                <w:color w:val="auto"/>
              </w:rPr>
              <w:t>Gain on derivative instruments</w:t>
            </w:r>
          </w:p>
        </w:tc>
        <w:tc>
          <w:tcPr>
            <w:tcW w:w="940" w:type="dxa"/>
            <w:vAlign w:val="bottom"/>
          </w:tcPr>
          <w:p>
            <w:pPr>
              <w:spacing w:after="0"/>
              <w:rPr>
                <w:sz w:val="19"/>
                <w:szCs w:val="19"/>
                <w:color w:val="auto"/>
              </w:rPr>
            </w:pPr>
          </w:p>
        </w:tc>
        <w:tc>
          <w:tcPr>
            <w:tcW w:w="1820" w:type="dxa"/>
            <w:vAlign w:val="bottom"/>
          </w:tcPr>
          <w:p>
            <w:pPr>
              <w:jc w:val="right"/>
              <w:ind w:right="26"/>
              <w:spacing w:after="0"/>
              <w:rPr>
                <w:sz w:val="20"/>
                <w:szCs w:val="20"/>
                <w:color w:val="auto"/>
              </w:rPr>
            </w:pPr>
            <w:r>
              <w:rPr>
                <w:rFonts w:ascii="Arial" w:cs="Arial" w:eastAsia="Arial" w:hAnsi="Arial"/>
                <w:sz w:val="19"/>
                <w:szCs w:val="19"/>
                <w:color w:val="auto"/>
              </w:rPr>
              <w:t>2,322,535</w:t>
            </w:r>
          </w:p>
        </w:tc>
      </w:tr>
      <w:tr>
        <w:trPr>
          <w:trHeight w:val="238"/>
        </w:trPr>
        <w:tc>
          <w:tcPr>
            <w:tcW w:w="848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Other income, net</w:t>
            </w: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82,745</w:t>
            </w:r>
          </w:p>
        </w:tc>
      </w:tr>
      <w:tr>
        <w:trPr>
          <w:trHeight w:val="358"/>
        </w:trPr>
        <w:tc>
          <w:tcPr>
            <w:tcW w:w="848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Total Other Income (Expense)</w:t>
            </w:r>
          </w:p>
        </w:tc>
        <w:tc>
          <w:tcPr>
            <w:tcW w:w="9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(3,453,720)</w:t>
            </w:r>
          </w:p>
        </w:tc>
      </w:tr>
      <w:tr>
        <w:trPr>
          <w:trHeight w:val="365"/>
        </w:trPr>
        <w:tc>
          <w:tcPr>
            <w:tcW w:w="848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Net Loss</w:t>
            </w:r>
          </w:p>
        </w:tc>
        <w:tc>
          <w:tcPr>
            <w:tcW w:w="940" w:type="dxa"/>
            <w:vAlign w:val="bottom"/>
            <w:tcBorders>
              <w:bottom w:val="single" w:sz="8" w:color="auto"/>
            </w:tcBorders>
          </w:tcPr>
          <w:p>
            <w:pPr>
              <w:jc w:val="right"/>
              <w:ind w:right="306"/>
              <w:spacing w:after="0"/>
              <w:rPr>
                <w:sz w:val="20"/>
                <w:szCs w:val="20"/>
                <w:color w:val="auto"/>
              </w:rPr>
            </w:pPr>
            <w:r>
              <w:rPr>
                <w:rFonts w:ascii="Arial" w:cs="Arial" w:eastAsia="Arial" w:hAnsi="Arial"/>
                <w:sz w:val="19"/>
                <w:szCs w:val="19"/>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(45,328,690)</w:t>
            </w:r>
          </w:p>
        </w:tc>
      </w:tr>
    </w:tbl>
    <w:p>
      <w:pPr>
        <w:spacing w:after="0" w:line="221" w:lineRule="exact"/>
        <w:rPr>
          <w:sz w:val="20"/>
          <w:szCs w:val="20"/>
          <w:color w:val="auto"/>
        </w:rPr>
      </w:pPr>
    </w:p>
    <w:p>
      <w:pPr>
        <w:jc w:val="center"/>
        <w:ind w:right="120"/>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748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 of Member’s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7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0" w:type="dxa"/>
            <w:vAlign w:val="bottom"/>
          </w:tcPr>
          <w:p>
            <w:pPr>
              <w:jc w:val="right"/>
              <w:ind w:right="546"/>
              <w:spacing w:after="0"/>
              <w:rPr>
                <w:sz w:val="20"/>
                <w:szCs w:val="20"/>
                <w:color w:val="auto"/>
              </w:rPr>
            </w:pPr>
            <w:r>
              <w:rPr>
                <w:rFonts w:ascii="Arial" w:cs="Arial" w:eastAsia="Arial" w:hAnsi="Arial"/>
                <w:sz w:val="19"/>
                <w:szCs w:val="19"/>
                <w:b w:val="1"/>
                <w:bCs w:val="1"/>
                <w:color w:val="auto"/>
              </w:rPr>
              <w:t>Member’s</w:t>
            </w:r>
          </w:p>
        </w:tc>
      </w:tr>
      <w:tr>
        <w:trPr>
          <w:trHeight w:val="251"/>
        </w:trPr>
        <w:tc>
          <w:tcPr>
            <w:tcW w:w="4700" w:type="dxa"/>
            <w:vAlign w:val="bottom"/>
            <w:tcBorders>
              <w:bottom w:val="single" w:sz="8" w:color="auto"/>
            </w:tcBorders>
          </w:tcPr>
          <w:p>
            <w:pPr>
              <w:spacing w:after="0"/>
              <w:rPr>
                <w:sz w:val="21"/>
                <w:szCs w:val="21"/>
                <w:color w:val="auto"/>
              </w:rPr>
            </w:pPr>
          </w:p>
        </w:tc>
        <w:tc>
          <w:tcPr>
            <w:tcW w:w="3960" w:type="dxa"/>
            <w:vAlign w:val="bottom"/>
            <w:tcBorders>
              <w:bottom w:val="single" w:sz="8" w:color="auto"/>
            </w:tcBorders>
          </w:tcPr>
          <w:p>
            <w:pPr>
              <w:jc w:val="right"/>
              <w:ind w:right="1066"/>
              <w:spacing w:after="0"/>
              <w:rPr>
                <w:sz w:val="20"/>
                <w:szCs w:val="20"/>
                <w:color w:val="auto"/>
              </w:rPr>
            </w:pPr>
            <w:r>
              <w:rPr>
                <w:rFonts w:ascii="Arial" w:cs="Arial" w:eastAsia="Arial" w:hAnsi="Arial"/>
                <w:sz w:val="19"/>
                <w:szCs w:val="19"/>
                <w:b w:val="1"/>
                <w:bCs w:val="1"/>
                <w:color w:val="auto"/>
              </w:rPr>
              <w:t>Units</w:t>
            </w:r>
          </w:p>
        </w:tc>
        <w:tc>
          <w:tcPr>
            <w:tcW w:w="7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346"/>
              <w:spacing w:after="0"/>
              <w:rPr>
                <w:sz w:val="20"/>
                <w:szCs w:val="20"/>
                <w:color w:val="auto"/>
              </w:rPr>
            </w:pPr>
            <w:r>
              <w:rPr>
                <w:rFonts w:ascii="Arial" w:cs="Arial" w:eastAsia="Arial" w:hAnsi="Arial"/>
                <w:sz w:val="19"/>
                <w:szCs w:val="19"/>
                <w:b w:val="1"/>
                <w:bCs w:val="1"/>
                <w:color w:val="auto"/>
                <w:w w:val="99"/>
              </w:rPr>
              <w:t>Equity (Deficit)</w:t>
            </w:r>
          </w:p>
        </w:tc>
      </w:tr>
      <w:tr>
        <w:trPr>
          <w:trHeight w:val="366"/>
        </w:trPr>
        <w:tc>
          <w:tcPr>
            <w:tcW w:w="4700" w:type="dxa"/>
            <w:vAlign w:val="bottom"/>
          </w:tcPr>
          <w:p>
            <w:pPr>
              <w:spacing w:after="0"/>
              <w:rPr>
                <w:sz w:val="20"/>
                <w:szCs w:val="20"/>
                <w:color w:val="auto"/>
              </w:rPr>
            </w:pPr>
            <w:r>
              <w:rPr>
                <w:rFonts w:ascii="Arial" w:cs="Arial" w:eastAsia="Arial" w:hAnsi="Arial"/>
                <w:sz w:val="19"/>
                <w:szCs w:val="19"/>
                <w:b w:val="1"/>
                <w:bCs w:val="1"/>
                <w:color w:val="auto"/>
              </w:rPr>
              <w:t>Balance, October 1, 2019</w:t>
            </w:r>
          </w:p>
        </w:tc>
        <w:tc>
          <w:tcPr>
            <w:tcW w:w="3960" w:type="dxa"/>
            <w:vAlign w:val="bottom"/>
          </w:tcPr>
          <w:p>
            <w:pPr>
              <w:jc w:val="right"/>
              <w:ind w:right="486"/>
              <w:spacing w:after="0"/>
              <w:rPr>
                <w:sz w:val="20"/>
                <w:szCs w:val="20"/>
                <w:color w:val="auto"/>
              </w:rPr>
            </w:pPr>
            <w:r>
              <w:rPr>
                <w:rFonts w:ascii="Arial" w:cs="Arial" w:eastAsia="Arial" w:hAnsi="Arial"/>
                <w:sz w:val="19"/>
                <w:szCs w:val="19"/>
                <w:color w:val="auto"/>
              </w:rPr>
              <w:t>84,747</w:t>
            </w:r>
          </w:p>
        </w:tc>
        <w:tc>
          <w:tcPr>
            <w:tcW w:w="780" w:type="dxa"/>
            <w:vAlign w:val="bottom"/>
          </w:tcPr>
          <w:p>
            <w:pPr>
              <w:jc w:val="right"/>
              <w:ind w:right="6"/>
              <w:spacing w:after="0"/>
              <w:rPr>
                <w:sz w:val="20"/>
                <w:szCs w:val="20"/>
                <w:color w:val="auto"/>
              </w:rPr>
            </w:pPr>
            <w:r>
              <w:rPr>
                <w:rFonts w:ascii="Arial" w:cs="Arial" w:eastAsia="Arial" w:hAnsi="Arial"/>
                <w:sz w:val="19"/>
                <w:szCs w:val="19"/>
                <w:color w:val="auto"/>
              </w:rPr>
              <w:t>$</w:t>
            </w:r>
          </w:p>
        </w:tc>
        <w:tc>
          <w:tcPr>
            <w:tcW w:w="1800" w:type="dxa"/>
            <w:vAlign w:val="bottom"/>
          </w:tcPr>
          <w:p>
            <w:pPr>
              <w:jc w:val="right"/>
              <w:spacing w:after="0"/>
              <w:rPr>
                <w:sz w:val="20"/>
                <w:szCs w:val="20"/>
                <w:color w:val="auto"/>
              </w:rPr>
            </w:pPr>
            <w:r>
              <w:rPr>
                <w:rFonts w:ascii="Arial" w:cs="Arial" w:eastAsia="Arial" w:hAnsi="Arial"/>
                <w:sz w:val="19"/>
                <w:szCs w:val="19"/>
                <w:color w:val="auto"/>
              </w:rPr>
              <w:t>(37,177,068)</w:t>
            </w:r>
          </w:p>
        </w:tc>
      </w:tr>
      <w:tr>
        <w:trPr>
          <w:trHeight w:val="365"/>
        </w:trPr>
        <w:tc>
          <w:tcPr>
            <w:tcW w:w="4700" w:type="dxa"/>
            <w:vAlign w:val="bottom"/>
          </w:tcPr>
          <w:p>
            <w:pPr>
              <w:spacing w:after="0"/>
              <w:rPr>
                <w:sz w:val="20"/>
                <w:szCs w:val="20"/>
                <w:color w:val="auto"/>
              </w:rPr>
            </w:pPr>
            <w:r>
              <w:rPr>
                <w:rFonts w:ascii="Arial" w:cs="Arial" w:eastAsia="Arial" w:hAnsi="Arial"/>
                <w:sz w:val="19"/>
                <w:szCs w:val="19"/>
                <w:b w:val="1"/>
                <w:bCs w:val="1"/>
                <w:color w:val="auto"/>
              </w:rPr>
              <w:t>Conversion of debt to equity</w:t>
            </w:r>
          </w:p>
        </w:tc>
        <w:tc>
          <w:tcPr>
            <w:tcW w:w="3960" w:type="dxa"/>
            <w:vAlign w:val="bottom"/>
          </w:tcPr>
          <w:p>
            <w:pPr>
              <w:jc w:val="right"/>
              <w:ind w:right="486"/>
              <w:spacing w:after="0"/>
              <w:rPr>
                <w:sz w:val="20"/>
                <w:szCs w:val="20"/>
                <w:color w:val="auto"/>
              </w:rPr>
            </w:pPr>
            <w:r>
              <w:rPr>
                <w:rFonts w:ascii="Arial" w:cs="Arial" w:eastAsia="Arial" w:hAnsi="Arial"/>
                <w:sz w:val="19"/>
                <w:szCs w:val="19"/>
                <w:color w:val="auto"/>
              </w:rPr>
              <w:t>96,058</w:t>
            </w:r>
          </w:p>
        </w:tc>
        <w:tc>
          <w:tcPr>
            <w:tcW w:w="780" w:type="dxa"/>
            <w:vAlign w:val="bottom"/>
          </w:tcPr>
          <w:p>
            <w:pPr>
              <w:spacing w:after="0"/>
              <w:rPr>
                <w:sz w:val="24"/>
                <w:szCs w:val="24"/>
                <w:color w:val="auto"/>
              </w:rPr>
            </w:pPr>
          </w:p>
        </w:tc>
        <w:tc>
          <w:tcPr>
            <w:tcW w:w="1800" w:type="dxa"/>
            <w:vAlign w:val="bottom"/>
          </w:tcPr>
          <w:p>
            <w:pPr>
              <w:jc w:val="right"/>
              <w:ind w:right="26"/>
              <w:spacing w:after="0"/>
              <w:rPr>
                <w:sz w:val="20"/>
                <w:szCs w:val="20"/>
                <w:color w:val="auto"/>
              </w:rPr>
            </w:pPr>
            <w:r>
              <w:rPr>
                <w:rFonts w:ascii="Arial" w:cs="Arial" w:eastAsia="Arial" w:hAnsi="Arial"/>
                <w:sz w:val="19"/>
                <w:szCs w:val="19"/>
                <w:color w:val="auto"/>
              </w:rPr>
              <w:t>86,443,333</w:t>
            </w:r>
          </w:p>
        </w:tc>
      </w:tr>
      <w:tr>
        <w:trPr>
          <w:trHeight w:val="363"/>
        </w:trPr>
        <w:tc>
          <w:tcPr>
            <w:tcW w:w="470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Net loss</w:t>
            </w:r>
          </w:p>
        </w:tc>
        <w:tc>
          <w:tcPr>
            <w:tcW w:w="3960" w:type="dxa"/>
            <w:vAlign w:val="bottom"/>
            <w:tcBorders>
              <w:bottom w:val="single" w:sz="8" w:color="auto"/>
            </w:tcBorders>
          </w:tcPr>
          <w:p>
            <w:pPr>
              <w:jc w:val="right"/>
              <w:ind w:right="486"/>
              <w:spacing w:after="0"/>
              <w:rPr>
                <w:sz w:val="20"/>
                <w:szCs w:val="20"/>
                <w:color w:val="auto"/>
              </w:rPr>
            </w:pPr>
            <w:r>
              <w:rPr>
                <w:rFonts w:ascii="Arial" w:cs="Arial" w:eastAsia="Arial" w:hAnsi="Arial"/>
                <w:sz w:val="19"/>
                <w:szCs w:val="19"/>
                <w:color w:val="auto"/>
              </w:rPr>
              <w:t>-</w:t>
            </w:r>
          </w:p>
        </w:tc>
        <w:tc>
          <w:tcPr>
            <w:tcW w:w="7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(45,328,690)</w:t>
            </w:r>
          </w:p>
        </w:tc>
      </w:tr>
      <w:tr>
        <w:trPr>
          <w:trHeight w:val="365"/>
        </w:trPr>
        <w:tc>
          <w:tcPr>
            <w:tcW w:w="47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Balance, September 30, 2020</w:t>
            </w:r>
          </w:p>
        </w:tc>
        <w:tc>
          <w:tcPr>
            <w:tcW w:w="3960" w:type="dxa"/>
            <w:vAlign w:val="bottom"/>
            <w:tcBorders>
              <w:bottom w:val="single" w:sz="8" w:color="auto"/>
            </w:tcBorders>
          </w:tcPr>
          <w:p>
            <w:pPr>
              <w:jc w:val="right"/>
              <w:ind w:right="486"/>
              <w:spacing w:after="0"/>
              <w:rPr>
                <w:sz w:val="20"/>
                <w:szCs w:val="20"/>
                <w:color w:val="auto"/>
              </w:rPr>
            </w:pPr>
            <w:r>
              <w:rPr>
                <w:rFonts w:ascii="Arial" w:cs="Arial" w:eastAsia="Arial" w:hAnsi="Arial"/>
                <w:sz w:val="19"/>
                <w:szCs w:val="19"/>
                <w:color w:val="auto"/>
              </w:rPr>
              <w:t>180,805</w:t>
            </w:r>
          </w:p>
        </w:tc>
        <w:tc>
          <w:tcPr>
            <w:tcW w:w="78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w:t>
            </w:r>
          </w:p>
        </w:tc>
        <w:tc>
          <w:tcPr>
            <w:tcW w:w="180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3,937,575</w:t>
            </w:r>
          </w:p>
        </w:tc>
      </w:tr>
    </w:tbl>
    <w:p>
      <w:pPr>
        <w:spacing w:after="0" w:line="221" w:lineRule="exact"/>
        <w:rPr>
          <w:sz w:val="20"/>
          <w:szCs w:val="20"/>
          <w:color w:val="auto"/>
        </w:rPr>
      </w:pPr>
    </w:p>
    <w:p>
      <w:pPr>
        <w:jc w:val="center"/>
        <w:ind w:right="120"/>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748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328"/>
        </w:trPr>
        <w:tc>
          <w:tcPr>
            <w:tcW w:w="8480" w:type="dxa"/>
            <w:vAlign w:val="bottom"/>
          </w:tcPr>
          <w:p>
            <w:pPr>
              <w:ind w:left="3180"/>
              <w:spacing w:after="0"/>
              <w:rPr>
                <w:sz w:val="20"/>
                <w:szCs w:val="20"/>
                <w:color w:val="auto"/>
              </w:rPr>
            </w:pPr>
            <w:r>
              <w:rPr>
                <w:rFonts w:ascii="Arial" w:cs="Arial" w:eastAsia="Arial" w:hAnsi="Arial"/>
                <w:sz w:val="25"/>
                <w:szCs w:val="25"/>
                <w:b w:val="1"/>
                <w:bCs w:val="1"/>
                <w:color w:val="auto"/>
              </w:rPr>
              <w:t>RAM Energy Holdings LLC and Subsidiaries</w:t>
            </w:r>
          </w:p>
        </w:tc>
        <w:tc>
          <w:tcPr>
            <w:tcW w:w="9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90"/>
        </w:trPr>
        <w:tc>
          <w:tcPr>
            <w:tcW w:w="8480" w:type="dxa"/>
            <w:vAlign w:val="bottom"/>
            <w:tcBorders>
              <w:bottom w:val="single" w:sz="8" w:color="auto"/>
            </w:tcBorders>
          </w:tcPr>
          <w:p>
            <w:pPr>
              <w:ind w:left="3840"/>
              <w:spacing w:after="0"/>
              <w:rPr>
                <w:sz w:val="20"/>
                <w:szCs w:val="20"/>
                <w:color w:val="auto"/>
              </w:rPr>
            </w:pPr>
            <w:r>
              <w:rPr>
                <w:rFonts w:ascii="Arial" w:cs="Arial" w:eastAsia="Arial" w:hAnsi="Arial"/>
                <w:sz w:val="22"/>
                <w:szCs w:val="22"/>
                <w:b w:val="1"/>
                <w:bCs w:val="1"/>
                <w:color w:val="auto"/>
              </w:rPr>
              <w:t>Consolidated Statement of Cash Flows</w:t>
            </w:r>
          </w:p>
        </w:tc>
        <w:tc>
          <w:tcPr>
            <w:tcW w:w="9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r>
        <w:trPr>
          <w:trHeight w:val="507"/>
        </w:trPr>
        <w:tc>
          <w:tcPr>
            <w:tcW w:w="848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i w:val="1"/>
                <w:iCs w:val="1"/>
                <w:color w:val="auto"/>
              </w:rPr>
              <w:t>Year Ended September 30,</w:t>
            </w:r>
          </w:p>
        </w:tc>
        <w:tc>
          <w:tcPr>
            <w:tcW w:w="9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926"/>
              <w:spacing w:after="0"/>
              <w:rPr>
                <w:sz w:val="20"/>
                <w:szCs w:val="20"/>
                <w:color w:val="auto"/>
              </w:rPr>
            </w:pPr>
            <w:r>
              <w:rPr>
                <w:rFonts w:ascii="Arial" w:cs="Arial" w:eastAsia="Arial" w:hAnsi="Arial"/>
                <w:sz w:val="19"/>
                <w:szCs w:val="19"/>
                <w:b w:val="1"/>
                <w:bCs w:val="1"/>
                <w:color w:val="auto"/>
              </w:rPr>
              <w:t>2020</w:t>
            </w:r>
          </w:p>
        </w:tc>
      </w:tr>
      <w:tr>
        <w:trPr>
          <w:trHeight w:val="356"/>
        </w:trPr>
        <w:tc>
          <w:tcPr>
            <w:tcW w:w="8480" w:type="dxa"/>
            <w:vAlign w:val="bottom"/>
          </w:tcPr>
          <w:p>
            <w:pPr>
              <w:spacing w:after="0"/>
              <w:rPr>
                <w:sz w:val="20"/>
                <w:szCs w:val="20"/>
                <w:color w:val="auto"/>
              </w:rPr>
            </w:pPr>
            <w:r>
              <w:rPr>
                <w:rFonts w:ascii="Arial" w:cs="Arial" w:eastAsia="Arial" w:hAnsi="Arial"/>
                <w:sz w:val="19"/>
                <w:szCs w:val="19"/>
                <w:b w:val="1"/>
                <w:bCs w:val="1"/>
                <w:color w:val="auto"/>
              </w:rPr>
              <w:t>Cash Flows from Operating Activities</w:t>
            </w:r>
          </w:p>
        </w:tc>
        <w:tc>
          <w:tcPr>
            <w:tcW w:w="9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30"/>
        </w:trPr>
        <w:tc>
          <w:tcPr>
            <w:tcW w:w="8480" w:type="dxa"/>
            <w:vAlign w:val="bottom"/>
          </w:tcPr>
          <w:p>
            <w:pPr>
              <w:ind w:left="260"/>
              <w:spacing w:after="0"/>
              <w:rPr>
                <w:sz w:val="20"/>
                <w:szCs w:val="20"/>
                <w:color w:val="auto"/>
              </w:rPr>
            </w:pPr>
            <w:r>
              <w:rPr>
                <w:rFonts w:ascii="Arial" w:cs="Arial" w:eastAsia="Arial" w:hAnsi="Arial"/>
                <w:sz w:val="19"/>
                <w:szCs w:val="19"/>
                <w:color w:val="auto"/>
              </w:rPr>
              <w:t>Net loss</w:t>
            </w:r>
          </w:p>
        </w:tc>
        <w:tc>
          <w:tcPr>
            <w:tcW w:w="940" w:type="dxa"/>
            <w:vAlign w:val="bottom"/>
          </w:tcPr>
          <w:p>
            <w:pPr>
              <w:jc w:val="right"/>
              <w:ind w:right="306"/>
              <w:spacing w:after="0"/>
              <w:rPr>
                <w:sz w:val="20"/>
                <w:szCs w:val="20"/>
                <w:color w:val="auto"/>
              </w:rPr>
            </w:pPr>
            <w:r>
              <w:rPr>
                <w:rFonts w:ascii="Arial" w:cs="Arial" w:eastAsia="Arial" w:hAnsi="Arial"/>
                <w:sz w:val="19"/>
                <w:szCs w:val="19"/>
                <w:color w:val="auto"/>
              </w:rPr>
              <w:t>$</w:t>
            </w:r>
          </w:p>
        </w:tc>
        <w:tc>
          <w:tcPr>
            <w:tcW w:w="1820" w:type="dxa"/>
            <w:vAlign w:val="bottom"/>
          </w:tcPr>
          <w:p>
            <w:pPr>
              <w:jc w:val="right"/>
              <w:spacing w:after="0"/>
              <w:rPr>
                <w:sz w:val="20"/>
                <w:szCs w:val="20"/>
                <w:color w:val="auto"/>
              </w:rPr>
            </w:pPr>
            <w:r>
              <w:rPr>
                <w:rFonts w:ascii="Arial" w:cs="Arial" w:eastAsia="Arial" w:hAnsi="Arial"/>
                <w:sz w:val="19"/>
                <w:szCs w:val="19"/>
                <w:color w:val="auto"/>
              </w:rPr>
              <w:t>(45,328,690)</w:t>
            </w:r>
          </w:p>
        </w:tc>
      </w:tr>
      <w:tr>
        <w:trPr>
          <w:trHeight w:val="216"/>
        </w:trPr>
        <w:tc>
          <w:tcPr>
            <w:tcW w:w="8480" w:type="dxa"/>
            <w:vAlign w:val="bottom"/>
          </w:tcPr>
          <w:p>
            <w:pPr>
              <w:ind w:left="260"/>
              <w:spacing w:after="0" w:line="216" w:lineRule="exact"/>
              <w:rPr>
                <w:sz w:val="20"/>
                <w:szCs w:val="20"/>
                <w:color w:val="auto"/>
              </w:rPr>
            </w:pPr>
            <w:r>
              <w:rPr>
                <w:rFonts w:ascii="Arial" w:cs="Arial" w:eastAsia="Arial" w:hAnsi="Arial"/>
                <w:sz w:val="19"/>
                <w:szCs w:val="19"/>
                <w:color w:val="auto"/>
              </w:rPr>
              <w:t>Adjustments to reconcile net loss to net cash used in</w:t>
            </w:r>
          </w:p>
        </w:tc>
        <w:tc>
          <w:tcPr>
            <w:tcW w:w="9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29"/>
        </w:trPr>
        <w:tc>
          <w:tcPr>
            <w:tcW w:w="8480" w:type="dxa"/>
            <w:vAlign w:val="bottom"/>
          </w:tcPr>
          <w:p>
            <w:pPr>
              <w:ind w:left="400"/>
              <w:spacing w:after="0"/>
              <w:rPr>
                <w:sz w:val="20"/>
                <w:szCs w:val="20"/>
                <w:color w:val="auto"/>
              </w:rPr>
            </w:pPr>
            <w:r>
              <w:rPr>
                <w:rFonts w:ascii="Arial" w:cs="Arial" w:eastAsia="Arial" w:hAnsi="Arial"/>
                <w:sz w:val="19"/>
                <w:szCs w:val="19"/>
                <w:color w:val="auto"/>
              </w:rPr>
              <w:t>operating activities:</w:t>
            </w:r>
          </w:p>
        </w:tc>
        <w:tc>
          <w:tcPr>
            <w:tcW w:w="9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29"/>
        </w:trPr>
        <w:tc>
          <w:tcPr>
            <w:tcW w:w="8480" w:type="dxa"/>
            <w:vAlign w:val="bottom"/>
          </w:tcPr>
          <w:p>
            <w:pPr>
              <w:ind w:left="500"/>
              <w:spacing w:after="0"/>
              <w:rPr>
                <w:sz w:val="20"/>
                <w:szCs w:val="20"/>
                <w:color w:val="auto"/>
              </w:rPr>
            </w:pPr>
            <w:r>
              <w:rPr>
                <w:rFonts w:ascii="Arial" w:cs="Arial" w:eastAsia="Arial" w:hAnsi="Arial"/>
                <w:sz w:val="19"/>
                <w:szCs w:val="19"/>
                <w:color w:val="auto"/>
              </w:rPr>
              <w:t>Depreciation, depletion and amortization</w:t>
            </w:r>
          </w:p>
        </w:tc>
        <w:tc>
          <w:tcPr>
            <w:tcW w:w="940" w:type="dxa"/>
            <w:vAlign w:val="bottom"/>
          </w:tcPr>
          <w:p>
            <w:pPr>
              <w:spacing w:after="0"/>
              <w:rPr>
                <w:sz w:val="19"/>
                <w:szCs w:val="19"/>
                <w:color w:val="auto"/>
              </w:rPr>
            </w:pPr>
          </w:p>
        </w:tc>
        <w:tc>
          <w:tcPr>
            <w:tcW w:w="1820" w:type="dxa"/>
            <w:vAlign w:val="bottom"/>
          </w:tcPr>
          <w:p>
            <w:pPr>
              <w:jc w:val="right"/>
              <w:ind w:right="6"/>
              <w:spacing w:after="0"/>
              <w:rPr>
                <w:sz w:val="20"/>
                <w:szCs w:val="20"/>
                <w:color w:val="auto"/>
              </w:rPr>
            </w:pPr>
            <w:r>
              <w:rPr>
                <w:rFonts w:ascii="Arial" w:cs="Arial" w:eastAsia="Arial" w:hAnsi="Arial"/>
                <w:sz w:val="19"/>
                <w:szCs w:val="19"/>
                <w:color w:val="auto"/>
              </w:rPr>
              <w:t>14,816,892</w:t>
            </w:r>
          </w:p>
        </w:tc>
      </w:tr>
      <w:tr>
        <w:trPr>
          <w:trHeight w:val="230"/>
        </w:trPr>
        <w:tc>
          <w:tcPr>
            <w:tcW w:w="8480" w:type="dxa"/>
            <w:vAlign w:val="bottom"/>
          </w:tcPr>
          <w:p>
            <w:pPr>
              <w:ind w:left="500"/>
              <w:spacing w:after="0"/>
              <w:rPr>
                <w:sz w:val="20"/>
                <w:szCs w:val="20"/>
                <w:color w:val="auto"/>
              </w:rPr>
            </w:pPr>
            <w:r>
              <w:rPr>
                <w:rFonts w:ascii="Arial" w:cs="Arial" w:eastAsia="Arial" w:hAnsi="Arial"/>
                <w:sz w:val="19"/>
                <w:szCs w:val="19"/>
                <w:color w:val="auto"/>
              </w:rPr>
              <w:t>Impairment of oil and gas properties</w:t>
            </w:r>
          </w:p>
        </w:tc>
        <w:tc>
          <w:tcPr>
            <w:tcW w:w="940" w:type="dxa"/>
            <w:vAlign w:val="bottom"/>
          </w:tcPr>
          <w:p>
            <w:pPr>
              <w:spacing w:after="0"/>
              <w:rPr>
                <w:sz w:val="19"/>
                <w:szCs w:val="19"/>
                <w:color w:val="auto"/>
              </w:rPr>
            </w:pPr>
          </w:p>
        </w:tc>
        <w:tc>
          <w:tcPr>
            <w:tcW w:w="1820" w:type="dxa"/>
            <w:vAlign w:val="bottom"/>
          </w:tcPr>
          <w:p>
            <w:pPr>
              <w:jc w:val="right"/>
              <w:ind w:right="6"/>
              <w:spacing w:after="0"/>
              <w:rPr>
                <w:sz w:val="20"/>
                <w:szCs w:val="20"/>
                <w:color w:val="auto"/>
              </w:rPr>
            </w:pPr>
            <w:r>
              <w:rPr>
                <w:rFonts w:ascii="Arial" w:cs="Arial" w:eastAsia="Arial" w:hAnsi="Arial"/>
                <w:sz w:val="19"/>
                <w:szCs w:val="19"/>
                <w:color w:val="auto"/>
              </w:rPr>
              <w:t>32,455,508</w:t>
            </w:r>
          </w:p>
        </w:tc>
      </w:tr>
      <w:tr>
        <w:trPr>
          <w:trHeight w:val="229"/>
        </w:trPr>
        <w:tc>
          <w:tcPr>
            <w:tcW w:w="8480" w:type="dxa"/>
            <w:vAlign w:val="bottom"/>
          </w:tcPr>
          <w:p>
            <w:pPr>
              <w:ind w:left="500"/>
              <w:spacing w:after="0"/>
              <w:rPr>
                <w:sz w:val="20"/>
                <w:szCs w:val="20"/>
                <w:color w:val="auto"/>
              </w:rPr>
            </w:pPr>
            <w:r>
              <w:rPr>
                <w:rFonts w:ascii="Arial" w:cs="Arial" w:eastAsia="Arial" w:hAnsi="Arial"/>
                <w:sz w:val="19"/>
                <w:szCs w:val="19"/>
                <w:color w:val="auto"/>
              </w:rPr>
              <w:t>Interest expense paid in kind</w:t>
            </w:r>
          </w:p>
        </w:tc>
        <w:tc>
          <w:tcPr>
            <w:tcW w:w="940" w:type="dxa"/>
            <w:vAlign w:val="bottom"/>
          </w:tcPr>
          <w:p>
            <w:pPr>
              <w:spacing w:after="0"/>
              <w:rPr>
                <w:sz w:val="19"/>
                <w:szCs w:val="19"/>
                <w:color w:val="auto"/>
              </w:rPr>
            </w:pPr>
          </w:p>
        </w:tc>
        <w:tc>
          <w:tcPr>
            <w:tcW w:w="1820" w:type="dxa"/>
            <w:vAlign w:val="bottom"/>
          </w:tcPr>
          <w:p>
            <w:pPr>
              <w:jc w:val="right"/>
              <w:ind w:right="6"/>
              <w:spacing w:after="0"/>
              <w:rPr>
                <w:sz w:val="20"/>
                <w:szCs w:val="20"/>
                <w:color w:val="auto"/>
              </w:rPr>
            </w:pPr>
            <w:r>
              <w:rPr>
                <w:rFonts w:ascii="Arial" w:cs="Arial" w:eastAsia="Arial" w:hAnsi="Arial"/>
                <w:sz w:val="19"/>
                <w:szCs w:val="19"/>
                <w:color w:val="auto"/>
              </w:rPr>
              <w:t>1,443,333</w:t>
            </w:r>
          </w:p>
        </w:tc>
      </w:tr>
      <w:tr>
        <w:trPr>
          <w:trHeight w:val="230"/>
        </w:trPr>
        <w:tc>
          <w:tcPr>
            <w:tcW w:w="8480" w:type="dxa"/>
            <w:vAlign w:val="bottom"/>
          </w:tcPr>
          <w:p>
            <w:pPr>
              <w:ind w:left="500"/>
              <w:spacing w:after="0"/>
              <w:rPr>
                <w:sz w:val="20"/>
                <w:szCs w:val="20"/>
                <w:color w:val="auto"/>
              </w:rPr>
            </w:pPr>
            <w:r>
              <w:rPr>
                <w:rFonts w:ascii="Arial" w:cs="Arial" w:eastAsia="Arial" w:hAnsi="Arial"/>
                <w:sz w:val="19"/>
                <w:szCs w:val="19"/>
                <w:color w:val="auto"/>
              </w:rPr>
              <w:t>Amortization of deferred loan costs</w:t>
            </w:r>
          </w:p>
        </w:tc>
        <w:tc>
          <w:tcPr>
            <w:tcW w:w="940" w:type="dxa"/>
            <w:vAlign w:val="bottom"/>
          </w:tcPr>
          <w:p>
            <w:pPr>
              <w:spacing w:after="0"/>
              <w:rPr>
                <w:sz w:val="19"/>
                <w:szCs w:val="19"/>
                <w:color w:val="auto"/>
              </w:rPr>
            </w:pPr>
          </w:p>
        </w:tc>
        <w:tc>
          <w:tcPr>
            <w:tcW w:w="1820" w:type="dxa"/>
            <w:vAlign w:val="bottom"/>
          </w:tcPr>
          <w:p>
            <w:pPr>
              <w:jc w:val="right"/>
              <w:ind w:right="6"/>
              <w:spacing w:after="0"/>
              <w:rPr>
                <w:sz w:val="20"/>
                <w:szCs w:val="20"/>
                <w:color w:val="auto"/>
              </w:rPr>
            </w:pPr>
            <w:r>
              <w:rPr>
                <w:rFonts w:ascii="Arial" w:cs="Arial" w:eastAsia="Arial" w:hAnsi="Arial"/>
                <w:sz w:val="19"/>
                <w:szCs w:val="19"/>
                <w:color w:val="auto"/>
              </w:rPr>
              <w:t>8,466</w:t>
            </w:r>
          </w:p>
        </w:tc>
      </w:tr>
      <w:tr>
        <w:trPr>
          <w:trHeight w:val="229"/>
        </w:trPr>
        <w:tc>
          <w:tcPr>
            <w:tcW w:w="8480" w:type="dxa"/>
            <w:vAlign w:val="bottom"/>
          </w:tcPr>
          <w:p>
            <w:pPr>
              <w:ind w:left="500"/>
              <w:spacing w:after="0"/>
              <w:rPr>
                <w:sz w:val="20"/>
                <w:szCs w:val="20"/>
                <w:color w:val="auto"/>
              </w:rPr>
            </w:pPr>
            <w:r>
              <w:rPr>
                <w:rFonts w:ascii="Arial" w:cs="Arial" w:eastAsia="Arial" w:hAnsi="Arial"/>
                <w:sz w:val="19"/>
                <w:szCs w:val="19"/>
                <w:color w:val="auto"/>
              </w:rPr>
              <w:t>Accretion of asset retirement obligations</w:t>
            </w:r>
          </w:p>
        </w:tc>
        <w:tc>
          <w:tcPr>
            <w:tcW w:w="940" w:type="dxa"/>
            <w:vAlign w:val="bottom"/>
          </w:tcPr>
          <w:p>
            <w:pPr>
              <w:spacing w:after="0"/>
              <w:rPr>
                <w:sz w:val="19"/>
                <w:szCs w:val="19"/>
                <w:color w:val="auto"/>
              </w:rPr>
            </w:pPr>
          </w:p>
        </w:tc>
        <w:tc>
          <w:tcPr>
            <w:tcW w:w="1820" w:type="dxa"/>
            <w:vAlign w:val="bottom"/>
          </w:tcPr>
          <w:p>
            <w:pPr>
              <w:jc w:val="right"/>
              <w:ind w:right="6"/>
              <w:spacing w:after="0"/>
              <w:rPr>
                <w:sz w:val="20"/>
                <w:szCs w:val="20"/>
                <w:color w:val="auto"/>
              </w:rPr>
            </w:pPr>
            <w:r>
              <w:rPr>
                <w:rFonts w:ascii="Arial" w:cs="Arial" w:eastAsia="Arial" w:hAnsi="Arial"/>
                <w:sz w:val="19"/>
                <w:szCs w:val="19"/>
                <w:color w:val="auto"/>
              </w:rPr>
              <w:t>576,665</w:t>
            </w:r>
          </w:p>
        </w:tc>
      </w:tr>
      <w:tr>
        <w:trPr>
          <w:trHeight w:val="229"/>
        </w:trPr>
        <w:tc>
          <w:tcPr>
            <w:tcW w:w="8480" w:type="dxa"/>
            <w:vAlign w:val="bottom"/>
          </w:tcPr>
          <w:p>
            <w:pPr>
              <w:ind w:left="500"/>
              <w:spacing w:after="0"/>
              <w:rPr>
                <w:sz w:val="20"/>
                <w:szCs w:val="20"/>
                <w:color w:val="auto"/>
              </w:rPr>
            </w:pPr>
            <w:r>
              <w:rPr>
                <w:rFonts w:ascii="Arial" w:cs="Arial" w:eastAsia="Arial" w:hAnsi="Arial"/>
                <w:sz w:val="19"/>
                <w:szCs w:val="19"/>
                <w:color w:val="auto"/>
              </w:rPr>
              <w:t>Bad debt expense</w:t>
            </w:r>
          </w:p>
        </w:tc>
        <w:tc>
          <w:tcPr>
            <w:tcW w:w="940" w:type="dxa"/>
            <w:vAlign w:val="bottom"/>
          </w:tcPr>
          <w:p>
            <w:pPr>
              <w:spacing w:after="0"/>
              <w:rPr>
                <w:sz w:val="19"/>
                <w:szCs w:val="19"/>
                <w:color w:val="auto"/>
              </w:rPr>
            </w:pPr>
          </w:p>
        </w:tc>
        <w:tc>
          <w:tcPr>
            <w:tcW w:w="1820" w:type="dxa"/>
            <w:vAlign w:val="bottom"/>
          </w:tcPr>
          <w:p>
            <w:pPr>
              <w:jc w:val="right"/>
              <w:ind w:right="6"/>
              <w:spacing w:after="0"/>
              <w:rPr>
                <w:sz w:val="20"/>
                <w:szCs w:val="20"/>
                <w:color w:val="auto"/>
              </w:rPr>
            </w:pPr>
            <w:r>
              <w:rPr>
                <w:rFonts w:ascii="Arial" w:cs="Arial" w:eastAsia="Arial" w:hAnsi="Arial"/>
                <w:sz w:val="19"/>
                <w:szCs w:val="19"/>
                <w:color w:val="auto"/>
              </w:rPr>
              <w:t>1,050</w:t>
            </w:r>
          </w:p>
        </w:tc>
      </w:tr>
      <w:tr>
        <w:trPr>
          <w:trHeight w:val="230"/>
        </w:trPr>
        <w:tc>
          <w:tcPr>
            <w:tcW w:w="8480" w:type="dxa"/>
            <w:vAlign w:val="bottom"/>
          </w:tcPr>
          <w:p>
            <w:pPr>
              <w:ind w:left="500"/>
              <w:spacing w:after="0"/>
              <w:rPr>
                <w:sz w:val="20"/>
                <w:szCs w:val="20"/>
                <w:color w:val="auto"/>
              </w:rPr>
            </w:pPr>
            <w:r>
              <w:rPr>
                <w:rFonts w:ascii="Arial" w:cs="Arial" w:eastAsia="Arial" w:hAnsi="Arial"/>
                <w:sz w:val="19"/>
                <w:szCs w:val="19"/>
                <w:color w:val="auto"/>
              </w:rPr>
              <w:t>Gain on derivative instruments</w:t>
            </w:r>
          </w:p>
        </w:tc>
        <w:tc>
          <w:tcPr>
            <w:tcW w:w="9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9"/>
                <w:szCs w:val="19"/>
                <w:color w:val="auto"/>
              </w:rPr>
              <w:t>(2,322,535)</w:t>
            </w:r>
          </w:p>
        </w:tc>
      </w:tr>
      <w:tr>
        <w:trPr>
          <w:trHeight w:val="229"/>
        </w:trPr>
        <w:tc>
          <w:tcPr>
            <w:tcW w:w="8480" w:type="dxa"/>
            <w:vAlign w:val="bottom"/>
          </w:tcPr>
          <w:p>
            <w:pPr>
              <w:ind w:left="500"/>
              <w:spacing w:after="0"/>
              <w:rPr>
                <w:sz w:val="20"/>
                <w:szCs w:val="20"/>
                <w:color w:val="auto"/>
              </w:rPr>
            </w:pPr>
            <w:r>
              <w:rPr>
                <w:rFonts w:ascii="Arial" w:cs="Arial" w:eastAsia="Arial" w:hAnsi="Arial"/>
                <w:sz w:val="19"/>
                <w:szCs w:val="19"/>
                <w:color w:val="auto"/>
              </w:rPr>
              <w:t>Derivative cash settlements</w:t>
            </w:r>
          </w:p>
        </w:tc>
        <w:tc>
          <w:tcPr>
            <w:tcW w:w="940" w:type="dxa"/>
            <w:vAlign w:val="bottom"/>
          </w:tcPr>
          <w:p>
            <w:pPr>
              <w:spacing w:after="0"/>
              <w:rPr>
                <w:sz w:val="19"/>
                <w:szCs w:val="19"/>
                <w:color w:val="auto"/>
              </w:rPr>
            </w:pPr>
          </w:p>
        </w:tc>
        <w:tc>
          <w:tcPr>
            <w:tcW w:w="1820" w:type="dxa"/>
            <w:vAlign w:val="bottom"/>
          </w:tcPr>
          <w:p>
            <w:pPr>
              <w:jc w:val="right"/>
              <w:ind w:right="6"/>
              <w:spacing w:after="0"/>
              <w:rPr>
                <w:sz w:val="20"/>
                <w:szCs w:val="20"/>
                <w:color w:val="auto"/>
              </w:rPr>
            </w:pPr>
            <w:r>
              <w:rPr>
                <w:rFonts w:ascii="Arial" w:cs="Arial" w:eastAsia="Arial" w:hAnsi="Arial"/>
                <w:sz w:val="19"/>
                <w:szCs w:val="19"/>
                <w:color w:val="auto"/>
              </w:rPr>
              <w:t>2,859,692</w:t>
            </w:r>
          </w:p>
        </w:tc>
      </w:tr>
      <w:tr>
        <w:trPr>
          <w:trHeight w:val="229"/>
        </w:trPr>
        <w:tc>
          <w:tcPr>
            <w:tcW w:w="8480" w:type="dxa"/>
            <w:vAlign w:val="bottom"/>
          </w:tcPr>
          <w:p>
            <w:pPr>
              <w:ind w:left="260"/>
              <w:spacing w:after="0"/>
              <w:rPr>
                <w:sz w:val="20"/>
                <w:szCs w:val="20"/>
                <w:color w:val="auto"/>
              </w:rPr>
            </w:pPr>
            <w:r>
              <w:rPr>
                <w:rFonts w:ascii="Arial" w:cs="Arial" w:eastAsia="Arial" w:hAnsi="Arial"/>
                <w:sz w:val="19"/>
                <w:szCs w:val="19"/>
                <w:color w:val="auto"/>
              </w:rPr>
              <w:t>Changes in operating assets and liabilities:</w:t>
            </w:r>
          </w:p>
        </w:tc>
        <w:tc>
          <w:tcPr>
            <w:tcW w:w="9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8480" w:type="dxa"/>
            <w:vAlign w:val="bottom"/>
          </w:tcPr>
          <w:p>
            <w:pPr>
              <w:ind w:left="500"/>
              <w:spacing w:after="0"/>
              <w:rPr>
                <w:sz w:val="20"/>
                <w:szCs w:val="20"/>
                <w:color w:val="auto"/>
              </w:rPr>
            </w:pPr>
            <w:r>
              <w:rPr>
                <w:rFonts w:ascii="Arial" w:cs="Arial" w:eastAsia="Arial" w:hAnsi="Arial"/>
                <w:sz w:val="19"/>
                <w:szCs w:val="19"/>
                <w:color w:val="auto"/>
              </w:rPr>
              <w:t>Accounts receivable</w:t>
            </w:r>
          </w:p>
        </w:tc>
        <w:tc>
          <w:tcPr>
            <w:tcW w:w="940" w:type="dxa"/>
            <w:vAlign w:val="bottom"/>
          </w:tcPr>
          <w:p>
            <w:pPr>
              <w:spacing w:after="0"/>
              <w:rPr>
                <w:sz w:val="19"/>
                <w:szCs w:val="19"/>
                <w:color w:val="auto"/>
              </w:rPr>
            </w:pPr>
          </w:p>
        </w:tc>
        <w:tc>
          <w:tcPr>
            <w:tcW w:w="1820" w:type="dxa"/>
            <w:vAlign w:val="bottom"/>
          </w:tcPr>
          <w:p>
            <w:pPr>
              <w:jc w:val="right"/>
              <w:ind w:right="6"/>
              <w:spacing w:after="0"/>
              <w:rPr>
                <w:sz w:val="20"/>
                <w:szCs w:val="20"/>
                <w:color w:val="auto"/>
              </w:rPr>
            </w:pPr>
            <w:r>
              <w:rPr>
                <w:rFonts w:ascii="Arial" w:cs="Arial" w:eastAsia="Arial" w:hAnsi="Arial"/>
                <w:sz w:val="19"/>
                <w:szCs w:val="19"/>
                <w:color w:val="auto"/>
              </w:rPr>
              <w:t>6,049,168</w:t>
            </w:r>
          </w:p>
        </w:tc>
      </w:tr>
      <w:tr>
        <w:trPr>
          <w:trHeight w:val="229"/>
        </w:trPr>
        <w:tc>
          <w:tcPr>
            <w:tcW w:w="8480" w:type="dxa"/>
            <w:vAlign w:val="bottom"/>
          </w:tcPr>
          <w:p>
            <w:pPr>
              <w:ind w:left="500"/>
              <w:spacing w:after="0"/>
              <w:rPr>
                <w:sz w:val="20"/>
                <w:szCs w:val="20"/>
                <w:color w:val="auto"/>
              </w:rPr>
            </w:pPr>
            <w:r>
              <w:rPr>
                <w:rFonts w:ascii="Arial" w:cs="Arial" w:eastAsia="Arial" w:hAnsi="Arial"/>
                <w:sz w:val="19"/>
                <w:szCs w:val="19"/>
                <w:color w:val="auto"/>
              </w:rPr>
              <w:t>Prepaid expenses and other assets</w:t>
            </w:r>
          </w:p>
        </w:tc>
        <w:tc>
          <w:tcPr>
            <w:tcW w:w="940" w:type="dxa"/>
            <w:vAlign w:val="bottom"/>
          </w:tcPr>
          <w:p>
            <w:pPr>
              <w:spacing w:after="0"/>
              <w:rPr>
                <w:sz w:val="19"/>
                <w:szCs w:val="19"/>
                <w:color w:val="auto"/>
              </w:rPr>
            </w:pPr>
          </w:p>
        </w:tc>
        <w:tc>
          <w:tcPr>
            <w:tcW w:w="1820" w:type="dxa"/>
            <w:vAlign w:val="bottom"/>
          </w:tcPr>
          <w:p>
            <w:pPr>
              <w:jc w:val="right"/>
              <w:ind w:right="6"/>
              <w:spacing w:after="0"/>
              <w:rPr>
                <w:sz w:val="20"/>
                <w:szCs w:val="20"/>
                <w:color w:val="auto"/>
              </w:rPr>
            </w:pPr>
            <w:r>
              <w:rPr>
                <w:rFonts w:ascii="Arial" w:cs="Arial" w:eastAsia="Arial" w:hAnsi="Arial"/>
                <w:sz w:val="19"/>
                <w:szCs w:val="19"/>
                <w:color w:val="auto"/>
              </w:rPr>
              <w:t>57,806</w:t>
            </w:r>
          </w:p>
        </w:tc>
      </w:tr>
      <w:tr>
        <w:trPr>
          <w:trHeight w:val="230"/>
        </w:trPr>
        <w:tc>
          <w:tcPr>
            <w:tcW w:w="8480" w:type="dxa"/>
            <w:vAlign w:val="bottom"/>
          </w:tcPr>
          <w:p>
            <w:pPr>
              <w:ind w:left="500"/>
              <w:spacing w:after="0"/>
              <w:rPr>
                <w:sz w:val="20"/>
                <w:szCs w:val="20"/>
                <w:color w:val="auto"/>
              </w:rPr>
            </w:pPr>
            <w:r>
              <w:rPr>
                <w:rFonts w:ascii="Arial" w:cs="Arial" w:eastAsia="Arial" w:hAnsi="Arial"/>
                <w:sz w:val="19"/>
                <w:szCs w:val="19"/>
                <w:color w:val="auto"/>
              </w:rPr>
              <w:t>Accounts payable and revenue payable</w:t>
            </w:r>
          </w:p>
        </w:tc>
        <w:tc>
          <w:tcPr>
            <w:tcW w:w="9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9"/>
                <w:szCs w:val="19"/>
                <w:color w:val="auto"/>
              </w:rPr>
              <w:t>(18,113,792)</w:t>
            </w:r>
          </w:p>
        </w:tc>
      </w:tr>
      <w:tr>
        <w:trPr>
          <w:trHeight w:val="229"/>
        </w:trPr>
        <w:tc>
          <w:tcPr>
            <w:tcW w:w="8480" w:type="dxa"/>
            <w:vAlign w:val="bottom"/>
          </w:tcPr>
          <w:p>
            <w:pPr>
              <w:ind w:left="500"/>
              <w:spacing w:after="0"/>
              <w:rPr>
                <w:sz w:val="20"/>
                <w:szCs w:val="20"/>
                <w:color w:val="auto"/>
              </w:rPr>
            </w:pPr>
            <w:r>
              <w:rPr>
                <w:rFonts w:ascii="Arial" w:cs="Arial" w:eastAsia="Arial" w:hAnsi="Arial"/>
                <w:sz w:val="19"/>
                <w:szCs w:val="19"/>
                <w:color w:val="auto"/>
              </w:rPr>
              <w:t>Drilling advances</w:t>
            </w:r>
          </w:p>
        </w:tc>
        <w:tc>
          <w:tcPr>
            <w:tcW w:w="9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9"/>
                <w:szCs w:val="19"/>
                <w:color w:val="auto"/>
              </w:rPr>
              <w:t>(2,226,283)</w:t>
            </w:r>
          </w:p>
        </w:tc>
      </w:tr>
      <w:tr>
        <w:trPr>
          <w:trHeight w:val="229"/>
        </w:trPr>
        <w:tc>
          <w:tcPr>
            <w:tcW w:w="8480" w:type="dxa"/>
            <w:vAlign w:val="bottom"/>
          </w:tcPr>
          <w:p>
            <w:pPr>
              <w:ind w:left="500"/>
              <w:spacing w:after="0"/>
              <w:rPr>
                <w:sz w:val="20"/>
                <w:szCs w:val="20"/>
                <w:color w:val="auto"/>
              </w:rPr>
            </w:pPr>
            <w:r>
              <w:rPr>
                <w:rFonts w:ascii="Arial" w:cs="Arial" w:eastAsia="Arial" w:hAnsi="Arial"/>
                <w:sz w:val="19"/>
                <w:szCs w:val="19"/>
                <w:color w:val="auto"/>
              </w:rPr>
              <w:t>Settlements of asset retirement obligations</w:t>
            </w:r>
          </w:p>
        </w:tc>
        <w:tc>
          <w:tcPr>
            <w:tcW w:w="9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9"/>
                <w:szCs w:val="19"/>
                <w:color w:val="auto"/>
              </w:rPr>
              <w:t>(664,473)</w:t>
            </w:r>
          </w:p>
        </w:tc>
      </w:tr>
      <w:tr>
        <w:trPr>
          <w:trHeight w:val="238"/>
        </w:trPr>
        <w:tc>
          <w:tcPr>
            <w:tcW w:w="8480" w:type="dxa"/>
            <w:vAlign w:val="bottom"/>
            <w:tcBorders>
              <w:bottom w:val="single" w:sz="8" w:color="auto"/>
            </w:tcBorders>
          </w:tcPr>
          <w:p>
            <w:pPr>
              <w:ind w:left="500"/>
              <w:spacing w:after="0"/>
              <w:rPr>
                <w:sz w:val="20"/>
                <w:szCs w:val="20"/>
                <w:color w:val="auto"/>
              </w:rPr>
            </w:pPr>
            <w:r>
              <w:rPr>
                <w:rFonts w:ascii="Arial" w:cs="Arial" w:eastAsia="Arial" w:hAnsi="Arial"/>
                <w:sz w:val="19"/>
                <w:szCs w:val="19"/>
                <w:color w:val="auto"/>
              </w:rPr>
              <w:t>Accrued liabilities</w:t>
            </w: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(507,152)</w:t>
            </w:r>
          </w:p>
        </w:tc>
      </w:tr>
      <w:tr>
        <w:trPr>
          <w:trHeight w:val="358"/>
        </w:trPr>
        <w:tc>
          <w:tcPr>
            <w:tcW w:w="848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Net Cash Used in Operating Activities</w:t>
            </w:r>
          </w:p>
        </w:tc>
        <w:tc>
          <w:tcPr>
            <w:tcW w:w="9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(10,894,345)</w:t>
            </w:r>
          </w:p>
        </w:tc>
      </w:tr>
      <w:tr>
        <w:trPr>
          <w:trHeight w:val="349"/>
        </w:trPr>
        <w:tc>
          <w:tcPr>
            <w:tcW w:w="8480" w:type="dxa"/>
            <w:vAlign w:val="bottom"/>
          </w:tcPr>
          <w:p>
            <w:pPr>
              <w:spacing w:after="0"/>
              <w:rPr>
                <w:sz w:val="20"/>
                <w:szCs w:val="20"/>
                <w:color w:val="auto"/>
              </w:rPr>
            </w:pPr>
            <w:r>
              <w:rPr>
                <w:rFonts w:ascii="Arial" w:cs="Arial" w:eastAsia="Arial" w:hAnsi="Arial"/>
                <w:sz w:val="19"/>
                <w:szCs w:val="19"/>
                <w:b w:val="1"/>
                <w:bCs w:val="1"/>
                <w:color w:val="auto"/>
              </w:rPr>
              <w:t>Cash Flows from Investing Activities</w:t>
            </w:r>
          </w:p>
        </w:tc>
        <w:tc>
          <w:tcPr>
            <w:tcW w:w="9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30"/>
        </w:trPr>
        <w:tc>
          <w:tcPr>
            <w:tcW w:w="8480" w:type="dxa"/>
            <w:vAlign w:val="bottom"/>
          </w:tcPr>
          <w:p>
            <w:pPr>
              <w:ind w:left="260"/>
              <w:spacing w:after="0"/>
              <w:rPr>
                <w:sz w:val="20"/>
                <w:szCs w:val="20"/>
                <w:color w:val="auto"/>
              </w:rPr>
            </w:pPr>
            <w:r>
              <w:rPr>
                <w:rFonts w:ascii="Arial" w:cs="Arial" w:eastAsia="Arial" w:hAnsi="Arial"/>
                <w:sz w:val="19"/>
                <w:szCs w:val="19"/>
                <w:color w:val="auto"/>
              </w:rPr>
              <w:t>Payments for oil and natural gas properties and equipment</w:t>
            </w:r>
          </w:p>
        </w:tc>
        <w:tc>
          <w:tcPr>
            <w:tcW w:w="9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9"/>
                <w:szCs w:val="19"/>
                <w:color w:val="auto"/>
              </w:rPr>
              <w:t>(34,021,957)</w:t>
            </w:r>
          </w:p>
        </w:tc>
      </w:tr>
      <w:tr>
        <w:trPr>
          <w:trHeight w:val="229"/>
        </w:trPr>
        <w:tc>
          <w:tcPr>
            <w:tcW w:w="8480" w:type="dxa"/>
            <w:vAlign w:val="bottom"/>
          </w:tcPr>
          <w:p>
            <w:pPr>
              <w:ind w:left="260"/>
              <w:spacing w:after="0"/>
              <w:rPr>
                <w:sz w:val="20"/>
                <w:szCs w:val="20"/>
                <w:color w:val="auto"/>
              </w:rPr>
            </w:pPr>
            <w:r>
              <w:rPr>
                <w:rFonts w:ascii="Arial" w:cs="Arial" w:eastAsia="Arial" w:hAnsi="Arial"/>
                <w:sz w:val="19"/>
                <w:szCs w:val="19"/>
                <w:color w:val="auto"/>
              </w:rPr>
              <w:t>Proceeds from sales of oil and natural gas properties</w:t>
            </w:r>
          </w:p>
        </w:tc>
        <w:tc>
          <w:tcPr>
            <w:tcW w:w="940" w:type="dxa"/>
            <w:vAlign w:val="bottom"/>
          </w:tcPr>
          <w:p>
            <w:pPr>
              <w:spacing w:after="0"/>
              <w:rPr>
                <w:sz w:val="19"/>
                <w:szCs w:val="19"/>
                <w:color w:val="auto"/>
              </w:rPr>
            </w:pPr>
          </w:p>
        </w:tc>
        <w:tc>
          <w:tcPr>
            <w:tcW w:w="1820" w:type="dxa"/>
            <w:vAlign w:val="bottom"/>
          </w:tcPr>
          <w:p>
            <w:pPr>
              <w:jc w:val="right"/>
              <w:ind w:right="6"/>
              <w:spacing w:after="0"/>
              <w:rPr>
                <w:sz w:val="20"/>
                <w:szCs w:val="20"/>
                <w:color w:val="auto"/>
              </w:rPr>
            </w:pPr>
            <w:r>
              <w:rPr>
                <w:rFonts w:ascii="Arial" w:cs="Arial" w:eastAsia="Arial" w:hAnsi="Arial"/>
                <w:sz w:val="19"/>
                <w:szCs w:val="19"/>
                <w:color w:val="auto"/>
              </w:rPr>
              <w:t>75,000</w:t>
            </w:r>
          </w:p>
        </w:tc>
      </w:tr>
      <w:tr>
        <w:trPr>
          <w:trHeight w:val="238"/>
        </w:trPr>
        <w:tc>
          <w:tcPr>
            <w:tcW w:w="848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Payments for other property and equipment</w:t>
            </w: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(7,297)</w:t>
            </w:r>
          </w:p>
        </w:tc>
      </w:tr>
      <w:tr>
        <w:trPr>
          <w:trHeight w:val="358"/>
        </w:trPr>
        <w:tc>
          <w:tcPr>
            <w:tcW w:w="848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Net Cash Used in Investing Activities</w:t>
            </w:r>
          </w:p>
        </w:tc>
        <w:tc>
          <w:tcPr>
            <w:tcW w:w="9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(33,954,254)</w:t>
            </w:r>
          </w:p>
        </w:tc>
      </w:tr>
      <w:tr>
        <w:trPr>
          <w:trHeight w:val="349"/>
        </w:trPr>
        <w:tc>
          <w:tcPr>
            <w:tcW w:w="8480" w:type="dxa"/>
            <w:vAlign w:val="bottom"/>
          </w:tcPr>
          <w:p>
            <w:pPr>
              <w:spacing w:after="0"/>
              <w:rPr>
                <w:sz w:val="20"/>
                <w:szCs w:val="20"/>
                <w:color w:val="auto"/>
              </w:rPr>
            </w:pPr>
            <w:r>
              <w:rPr>
                <w:rFonts w:ascii="Arial" w:cs="Arial" w:eastAsia="Arial" w:hAnsi="Arial"/>
                <w:sz w:val="19"/>
                <w:szCs w:val="19"/>
                <w:b w:val="1"/>
                <w:bCs w:val="1"/>
                <w:color w:val="auto"/>
              </w:rPr>
              <w:t>Cash Flows from Financing Activities</w:t>
            </w:r>
          </w:p>
        </w:tc>
        <w:tc>
          <w:tcPr>
            <w:tcW w:w="9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30"/>
        </w:trPr>
        <w:tc>
          <w:tcPr>
            <w:tcW w:w="8480" w:type="dxa"/>
            <w:vAlign w:val="bottom"/>
          </w:tcPr>
          <w:p>
            <w:pPr>
              <w:ind w:left="260"/>
              <w:spacing w:after="0"/>
              <w:rPr>
                <w:sz w:val="20"/>
                <w:szCs w:val="20"/>
                <w:color w:val="auto"/>
              </w:rPr>
            </w:pPr>
            <w:r>
              <w:rPr>
                <w:rFonts w:ascii="Arial" w:cs="Arial" w:eastAsia="Arial" w:hAnsi="Arial"/>
                <w:sz w:val="19"/>
                <w:szCs w:val="19"/>
                <w:color w:val="auto"/>
              </w:rPr>
              <w:t>Proceeds from borrowings on long-term debt</w:t>
            </w:r>
          </w:p>
        </w:tc>
        <w:tc>
          <w:tcPr>
            <w:tcW w:w="940" w:type="dxa"/>
            <w:vAlign w:val="bottom"/>
          </w:tcPr>
          <w:p>
            <w:pPr>
              <w:spacing w:after="0"/>
              <w:rPr>
                <w:sz w:val="19"/>
                <w:szCs w:val="19"/>
                <w:color w:val="auto"/>
              </w:rPr>
            </w:pPr>
          </w:p>
        </w:tc>
        <w:tc>
          <w:tcPr>
            <w:tcW w:w="1820" w:type="dxa"/>
            <w:vAlign w:val="bottom"/>
          </w:tcPr>
          <w:p>
            <w:pPr>
              <w:jc w:val="right"/>
              <w:ind w:right="6"/>
              <w:spacing w:after="0"/>
              <w:rPr>
                <w:sz w:val="20"/>
                <w:szCs w:val="20"/>
                <w:color w:val="auto"/>
              </w:rPr>
            </w:pPr>
            <w:r>
              <w:rPr>
                <w:rFonts w:ascii="Arial" w:cs="Arial" w:eastAsia="Arial" w:hAnsi="Arial"/>
                <w:sz w:val="19"/>
                <w:szCs w:val="19"/>
                <w:color w:val="auto"/>
              </w:rPr>
              <w:t>81,801,000</w:t>
            </w:r>
          </w:p>
        </w:tc>
      </w:tr>
      <w:tr>
        <w:trPr>
          <w:trHeight w:val="230"/>
        </w:trPr>
        <w:tc>
          <w:tcPr>
            <w:tcW w:w="8480" w:type="dxa"/>
            <w:vAlign w:val="bottom"/>
          </w:tcPr>
          <w:p>
            <w:pPr>
              <w:ind w:left="260"/>
              <w:spacing w:after="0"/>
              <w:rPr>
                <w:sz w:val="20"/>
                <w:szCs w:val="20"/>
                <w:color w:val="auto"/>
              </w:rPr>
            </w:pPr>
            <w:r>
              <w:rPr>
                <w:rFonts w:ascii="Arial" w:cs="Arial" w:eastAsia="Arial" w:hAnsi="Arial"/>
                <w:sz w:val="19"/>
                <w:szCs w:val="19"/>
                <w:color w:val="auto"/>
              </w:rPr>
              <w:t>Payments on long-term debt</w:t>
            </w:r>
          </w:p>
        </w:tc>
        <w:tc>
          <w:tcPr>
            <w:tcW w:w="9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9"/>
                <w:szCs w:val="19"/>
                <w:color w:val="auto"/>
              </w:rPr>
              <w:t>(30,500,000)</w:t>
            </w:r>
          </w:p>
        </w:tc>
      </w:tr>
      <w:tr>
        <w:trPr>
          <w:trHeight w:val="238"/>
        </w:trPr>
        <w:tc>
          <w:tcPr>
            <w:tcW w:w="848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Deferred financing costs</w:t>
            </w: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(965,920)</w:t>
            </w:r>
          </w:p>
        </w:tc>
      </w:tr>
      <w:tr>
        <w:trPr>
          <w:trHeight w:val="358"/>
        </w:trPr>
        <w:tc>
          <w:tcPr>
            <w:tcW w:w="848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Net Cash Provided by Financing Activities</w:t>
            </w:r>
          </w:p>
        </w:tc>
        <w:tc>
          <w:tcPr>
            <w:tcW w:w="9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50,335,080</w:t>
            </w:r>
          </w:p>
        </w:tc>
      </w:tr>
      <w:tr>
        <w:trPr>
          <w:trHeight w:val="360"/>
        </w:trPr>
        <w:tc>
          <w:tcPr>
            <w:tcW w:w="8480" w:type="dxa"/>
            <w:vAlign w:val="bottom"/>
          </w:tcPr>
          <w:p>
            <w:pPr>
              <w:spacing w:after="0"/>
              <w:rPr>
                <w:sz w:val="20"/>
                <w:szCs w:val="20"/>
                <w:color w:val="auto"/>
              </w:rPr>
            </w:pPr>
            <w:r>
              <w:rPr>
                <w:rFonts w:ascii="Arial" w:cs="Arial" w:eastAsia="Arial" w:hAnsi="Arial"/>
                <w:sz w:val="19"/>
                <w:szCs w:val="19"/>
                <w:b w:val="1"/>
                <w:bCs w:val="1"/>
                <w:color w:val="auto"/>
              </w:rPr>
              <w:t>Net Increase in Cash, Cash Equivalents and Restricted Cash</w:t>
            </w:r>
          </w:p>
        </w:tc>
        <w:tc>
          <w:tcPr>
            <w:tcW w:w="940" w:type="dxa"/>
            <w:vAlign w:val="bottom"/>
          </w:tcPr>
          <w:p>
            <w:pPr>
              <w:spacing w:after="0"/>
              <w:rPr>
                <w:sz w:val="24"/>
                <w:szCs w:val="24"/>
                <w:color w:val="auto"/>
              </w:rPr>
            </w:pPr>
          </w:p>
        </w:tc>
        <w:tc>
          <w:tcPr>
            <w:tcW w:w="1820" w:type="dxa"/>
            <w:vAlign w:val="bottom"/>
          </w:tcPr>
          <w:p>
            <w:pPr>
              <w:jc w:val="right"/>
              <w:ind w:right="6"/>
              <w:spacing w:after="0"/>
              <w:rPr>
                <w:sz w:val="20"/>
                <w:szCs w:val="20"/>
                <w:color w:val="auto"/>
              </w:rPr>
            </w:pPr>
            <w:r>
              <w:rPr>
                <w:rFonts w:ascii="Arial" w:cs="Arial" w:eastAsia="Arial" w:hAnsi="Arial"/>
                <w:sz w:val="19"/>
                <w:szCs w:val="19"/>
                <w:color w:val="auto"/>
              </w:rPr>
              <w:t>5,486,481</w:t>
            </w:r>
          </w:p>
        </w:tc>
      </w:tr>
      <w:tr>
        <w:trPr>
          <w:trHeight w:val="363"/>
        </w:trPr>
        <w:tc>
          <w:tcPr>
            <w:tcW w:w="848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Cash, Cash Equivalents and Restricted Cash - Beginning of Year</w:t>
            </w:r>
          </w:p>
        </w:tc>
        <w:tc>
          <w:tcPr>
            <w:tcW w:w="9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3,925,189</w:t>
            </w:r>
          </w:p>
        </w:tc>
      </w:tr>
      <w:tr>
        <w:trPr>
          <w:trHeight w:val="365"/>
        </w:trPr>
        <w:tc>
          <w:tcPr>
            <w:tcW w:w="848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Cash, Cash Equivalents and Restricted Cash - End of Year</w:t>
            </w:r>
          </w:p>
        </w:tc>
        <w:tc>
          <w:tcPr>
            <w:tcW w:w="940" w:type="dxa"/>
            <w:vAlign w:val="bottom"/>
            <w:tcBorders>
              <w:bottom w:val="single" w:sz="8" w:color="auto"/>
            </w:tcBorders>
          </w:tcPr>
          <w:p>
            <w:pPr>
              <w:jc w:val="right"/>
              <w:ind w:right="306"/>
              <w:spacing w:after="0"/>
              <w:rPr>
                <w:sz w:val="20"/>
                <w:szCs w:val="20"/>
                <w:color w:val="auto"/>
              </w:rPr>
            </w:pPr>
            <w:r>
              <w:rPr>
                <w:rFonts w:ascii="Arial" w:cs="Arial" w:eastAsia="Arial" w:hAnsi="Arial"/>
                <w:sz w:val="19"/>
                <w:szCs w:val="19"/>
                <w:color w:val="auto"/>
              </w:rPr>
              <w:t>$</w:t>
            </w:r>
          </w:p>
        </w:tc>
        <w:tc>
          <w:tcPr>
            <w:tcW w:w="182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9,411,670</w:t>
            </w:r>
          </w:p>
        </w:tc>
      </w:tr>
      <w:tr>
        <w:trPr>
          <w:trHeight w:val="356"/>
        </w:trPr>
        <w:tc>
          <w:tcPr>
            <w:tcW w:w="8480" w:type="dxa"/>
            <w:vAlign w:val="bottom"/>
          </w:tcPr>
          <w:p>
            <w:pPr>
              <w:spacing w:after="0"/>
              <w:rPr>
                <w:sz w:val="20"/>
                <w:szCs w:val="20"/>
                <w:color w:val="auto"/>
              </w:rPr>
            </w:pPr>
            <w:r>
              <w:rPr>
                <w:rFonts w:ascii="Arial" w:cs="Arial" w:eastAsia="Arial" w:hAnsi="Arial"/>
                <w:sz w:val="19"/>
                <w:szCs w:val="19"/>
                <w:b w:val="1"/>
                <w:bCs w:val="1"/>
                <w:color w:val="auto"/>
              </w:rPr>
              <w:t>Supplemental Cash Flow Information</w:t>
            </w:r>
          </w:p>
        </w:tc>
        <w:tc>
          <w:tcPr>
            <w:tcW w:w="9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23"/>
        </w:trPr>
        <w:tc>
          <w:tcPr>
            <w:tcW w:w="8480" w:type="dxa"/>
            <w:vAlign w:val="bottom"/>
          </w:tcPr>
          <w:p>
            <w:pPr>
              <w:ind w:left="260"/>
              <w:spacing w:after="0"/>
              <w:rPr>
                <w:sz w:val="20"/>
                <w:szCs w:val="20"/>
                <w:color w:val="auto"/>
              </w:rPr>
            </w:pPr>
            <w:r>
              <w:rPr>
                <w:rFonts w:ascii="Arial" w:cs="Arial" w:eastAsia="Arial" w:hAnsi="Arial"/>
                <w:sz w:val="19"/>
                <w:szCs w:val="19"/>
                <w:color w:val="auto"/>
              </w:rPr>
              <w:t>Cash paid for interest</w:t>
            </w:r>
          </w:p>
        </w:tc>
        <w:tc>
          <w:tcPr>
            <w:tcW w:w="940" w:type="dxa"/>
            <w:vAlign w:val="bottom"/>
          </w:tcPr>
          <w:p>
            <w:pPr>
              <w:jc w:val="right"/>
              <w:ind w:right="306"/>
              <w:spacing w:after="0"/>
              <w:rPr>
                <w:sz w:val="20"/>
                <w:szCs w:val="20"/>
                <w:color w:val="auto"/>
              </w:rPr>
            </w:pPr>
            <w:r>
              <w:rPr>
                <w:rFonts w:ascii="Arial" w:cs="Arial" w:eastAsia="Arial" w:hAnsi="Arial"/>
                <w:sz w:val="19"/>
                <w:szCs w:val="19"/>
                <w:color w:val="auto"/>
              </w:rPr>
              <w:t>$</w:t>
            </w:r>
          </w:p>
        </w:tc>
        <w:tc>
          <w:tcPr>
            <w:tcW w:w="1820" w:type="dxa"/>
            <w:vAlign w:val="bottom"/>
          </w:tcPr>
          <w:p>
            <w:pPr>
              <w:jc w:val="right"/>
              <w:ind w:right="6"/>
              <w:spacing w:after="0"/>
              <w:rPr>
                <w:sz w:val="20"/>
                <w:szCs w:val="20"/>
                <w:color w:val="auto"/>
              </w:rPr>
            </w:pPr>
            <w:r>
              <w:rPr>
                <w:rFonts w:ascii="Arial" w:cs="Arial" w:eastAsia="Arial" w:hAnsi="Arial"/>
                <w:sz w:val="19"/>
                <w:szCs w:val="19"/>
                <w:color w:val="auto"/>
              </w:rPr>
              <w:t>2,301,546</w:t>
            </w:r>
          </w:p>
        </w:tc>
      </w:tr>
      <w:tr>
        <w:trPr>
          <w:trHeight w:val="236"/>
        </w:trPr>
        <w:tc>
          <w:tcPr>
            <w:tcW w:w="8480" w:type="dxa"/>
            <w:vAlign w:val="bottom"/>
          </w:tcPr>
          <w:p>
            <w:pPr>
              <w:spacing w:after="0"/>
              <w:rPr>
                <w:sz w:val="20"/>
                <w:szCs w:val="20"/>
                <w:color w:val="auto"/>
              </w:rPr>
            </w:pPr>
            <w:r>
              <w:rPr>
                <w:rFonts w:ascii="Arial" w:cs="Arial" w:eastAsia="Arial" w:hAnsi="Arial"/>
                <w:sz w:val="19"/>
                <w:szCs w:val="19"/>
                <w:b w:val="1"/>
                <w:bCs w:val="1"/>
                <w:color w:val="auto"/>
              </w:rPr>
              <w:t>Non-Cash Investing and Financing Activities</w:t>
            </w:r>
          </w:p>
        </w:tc>
        <w:tc>
          <w:tcPr>
            <w:tcW w:w="9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30"/>
        </w:trPr>
        <w:tc>
          <w:tcPr>
            <w:tcW w:w="8480" w:type="dxa"/>
            <w:vAlign w:val="bottom"/>
          </w:tcPr>
          <w:p>
            <w:pPr>
              <w:ind w:left="260"/>
              <w:spacing w:after="0"/>
              <w:rPr>
                <w:sz w:val="20"/>
                <w:szCs w:val="20"/>
                <w:color w:val="auto"/>
              </w:rPr>
            </w:pPr>
            <w:r>
              <w:rPr>
                <w:rFonts w:ascii="Arial" w:cs="Arial" w:eastAsia="Arial" w:hAnsi="Arial"/>
                <w:sz w:val="19"/>
                <w:szCs w:val="19"/>
                <w:color w:val="auto"/>
              </w:rPr>
              <w:t>Oil and natural gas properties accrued</w:t>
            </w:r>
          </w:p>
        </w:tc>
        <w:tc>
          <w:tcPr>
            <w:tcW w:w="940" w:type="dxa"/>
            <w:vAlign w:val="bottom"/>
          </w:tcPr>
          <w:p>
            <w:pPr>
              <w:jc w:val="right"/>
              <w:ind w:right="306"/>
              <w:spacing w:after="0"/>
              <w:rPr>
                <w:sz w:val="20"/>
                <w:szCs w:val="20"/>
                <w:color w:val="auto"/>
              </w:rPr>
            </w:pPr>
            <w:r>
              <w:rPr>
                <w:rFonts w:ascii="Arial" w:cs="Arial" w:eastAsia="Arial" w:hAnsi="Arial"/>
                <w:sz w:val="19"/>
                <w:szCs w:val="19"/>
                <w:color w:val="auto"/>
              </w:rPr>
              <w:t>$</w:t>
            </w:r>
          </w:p>
        </w:tc>
        <w:tc>
          <w:tcPr>
            <w:tcW w:w="1820" w:type="dxa"/>
            <w:vAlign w:val="bottom"/>
          </w:tcPr>
          <w:p>
            <w:pPr>
              <w:jc w:val="right"/>
              <w:ind w:right="6"/>
              <w:spacing w:after="0"/>
              <w:rPr>
                <w:sz w:val="20"/>
                <w:szCs w:val="20"/>
                <w:color w:val="auto"/>
              </w:rPr>
            </w:pPr>
            <w:r>
              <w:rPr>
                <w:rFonts w:ascii="Arial" w:cs="Arial" w:eastAsia="Arial" w:hAnsi="Arial"/>
                <w:sz w:val="19"/>
                <w:szCs w:val="19"/>
                <w:color w:val="auto"/>
              </w:rPr>
              <w:t>1,935,869</w:t>
            </w:r>
          </w:p>
        </w:tc>
      </w:tr>
      <w:tr>
        <w:trPr>
          <w:trHeight w:val="229"/>
        </w:trPr>
        <w:tc>
          <w:tcPr>
            <w:tcW w:w="8480" w:type="dxa"/>
            <w:vAlign w:val="bottom"/>
          </w:tcPr>
          <w:p>
            <w:pPr>
              <w:ind w:left="260"/>
              <w:spacing w:after="0"/>
              <w:rPr>
                <w:sz w:val="20"/>
                <w:szCs w:val="20"/>
                <w:color w:val="auto"/>
              </w:rPr>
            </w:pPr>
            <w:r>
              <w:rPr>
                <w:rFonts w:ascii="Arial" w:cs="Arial" w:eastAsia="Arial" w:hAnsi="Arial"/>
                <w:sz w:val="19"/>
                <w:szCs w:val="19"/>
                <w:color w:val="auto"/>
              </w:rPr>
              <w:t>Asset retirement obligations</w:t>
            </w:r>
          </w:p>
        </w:tc>
        <w:tc>
          <w:tcPr>
            <w:tcW w:w="940" w:type="dxa"/>
            <w:vAlign w:val="bottom"/>
          </w:tcPr>
          <w:p>
            <w:pPr>
              <w:jc w:val="right"/>
              <w:ind w:right="306"/>
              <w:spacing w:after="0"/>
              <w:rPr>
                <w:sz w:val="20"/>
                <w:szCs w:val="20"/>
                <w:color w:val="auto"/>
              </w:rPr>
            </w:pPr>
            <w:r>
              <w:rPr>
                <w:rFonts w:ascii="Arial" w:cs="Arial" w:eastAsia="Arial" w:hAnsi="Arial"/>
                <w:sz w:val="19"/>
                <w:szCs w:val="19"/>
                <w:color w:val="auto"/>
              </w:rPr>
              <w:t>$</w:t>
            </w:r>
          </w:p>
        </w:tc>
        <w:tc>
          <w:tcPr>
            <w:tcW w:w="1820" w:type="dxa"/>
            <w:vAlign w:val="bottom"/>
          </w:tcPr>
          <w:p>
            <w:pPr>
              <w:jc w:val="right"/>
              <w:ind w:right="6"/>
              <w:spacing w:after="0"/>
              <w:rPr>
                <w:sz w:val="20"/>
                <w:szCs w:val="20"/>
                <w:color w:val="auto"/>
              </w:rPr>
            </w:pPr>
            <w:r>
              <w:rPr>
                <w:rFonts w:ascii="Arial" w:cs="Arial" w:eastAsia="Arial" w:hAnsi="Arial"/>
                <w:sz w:val="19"/>
                <w:szCs w:val="19"/>
                <w:color w:val="auto"/>
              </w:rPr>
              <w:t>334,919</w:t>
            </w:r>
          </w:p>
        </w:tc>
      </w:tr>
      <w:tr>
        <w:trPr>
          <w:trHeight w:val="245"/>
        </w:trPr>
        <w:tc>
          <w:tcPr>
            <w:tcW w:w="848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Conversion of debt to equity</w:t>
            </w:r>
          </w:p>
        </w:tc>
        <w:tc>
          <w:tcPr>
            <w:tcW w:w="940" w:type="dxa"/>
            <w:vAlign w:val="bottom"/>
            <w:tcBorders>
              <w:bottom w:val="single" w:sz="8" w:color="auto"/>
            </w:tcBorders>
          </w:tcPr>
          <w:p>
            <w:pPr>
              <w:jc w:val="right"/>
              <w:ind w:right="306"/>
              <w:spacing w:after="0"/>
              <w:rPr>
                <w:sz w:val="20"/>
                <w:szCs w:val="20"/>
                <w:color w:val="auto"/>
              </w:rPr>
            </w:pPr>
            <w:r>
              <w:rPr>
                <w:rFonts w:ascii="Arial" w:cs="Arial" w:eastAsia="Arial" w:hAnsi="Arial"/>
                <w:sz w:val="19"/>
                <w:szCs w:val="19"/>
                <w:color w:val="auto"/>
              </w:rPr>
              <w:t>$</w:t>
            </w:r>
          </w:p>
        </w:tc>
        <w:tc>
          <w:tcPr>
            <w:tcW w:w="182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86,443,333</w:t>
            </w:r>
          </w:p>
        </w:tc>
      </w:tr>
    </w:tbl>
    <w:p>
      <w:pPr>
        <w:spacing w:after="0" w:line="221" w:lineRule="exact"/>
        <w:rPr>
          <w:sz w:val="20"/>
          <w:szCs w:val="20"/>
          <w:color w:val="auto"/>
        </w:rPr>
      </w:pPr>
    </w:p>
    <w:p>
      <w:pPr>
        <w:jc w:val="center"/>
        <w:ind w:right="80"/>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748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54" w:lineRule="exact"/>
        <w:rPr>
          <w:sz w:val="20"/>
          <w:szCs w:val="20"/>
          <w:color w:val="auto"/>
        </w:rPr>
      </w:pPr>
    </w:p>
    <w:p>
      <w:pPr>
        <w:ind w:left="440" w:hanging="432"/>
        <w:spacing w:after="0"/>
        <w:tabs>
          <w:tab w:leader="none" w:pos="440" w:val="left"/>
        </w:tabs>
        <w:numPr>
          <w:ilvl w:val="0"/>
          <w:numId w:val="139"/>
        </w:numPr>
        <w:rPr>
          <w:rFonts w:ascii="Arial" w:cs="Arial" w:eastAsia="Arial" w:hAnsi="Arial"/>
          <w:sz w:val="22"/>
          <w:szCs w:val="22"/>
          <w:b w:val="1"/>
          <w:bCs w:val="1"/>
          <w:color w:val="auto"/>
        </w:rPr>
      </w:pPr>
      <w:r>
        <w:rPr>
          <w:rFonts w:ascii="Arial" w:cs="Arial" w:eastAsia="Arial" w:hAnsi="Arial"/>
          <w:sz w:val="22"/>
          <w:szCs w:val="22"/>
          <w:b w:val="1"/>
          <w:bCs w:val="1"/>
          <w:color w:val="auto"/>
        </w:rPr>
        <w:t>Nature of Operations and Organization</w:t>
      </w:r>
    </w:p>
    <w:p>
      <w:pPr>
        <w:spacing w:after="0" w:line="103"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RAM Energy Holdings LLC (“Holdings”) is a Delaware limited liability company, wholly-owned by PennantPark Investment Corporation (“PennantPark”), and was formed in July 2014 as a holding company for interest ownership in RAM Energy LLC (“RAM”). RAM Fayette LLC (“Fayette”) was formed in September 2017 and Fayette Service Company LLC (“Service”) was formed in June 2018, both as wholly-owned subsidiaries of RAM. On October 1, 2019, RAM contributed its ownership in Service to Holdings and Service became wholly-owned by Holdings. Holdings, RAM, Fayette and Service are herein referred to as the “Company.”</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RAM was formed in April 2012 as a privately held, independent oil and natural gas company engaged in the acquisition, exploration, exploitation, development and production of oil and natural gas.</w:t>
      </w:r>
    </w:p>
    <w:p>
      <w:pPr>
        <w:spacing w:after="0" w:line="173"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In September 2017, Holdings issued PennantPark 61,606 common units in satisfaction of the $88 million of outstanding debt that RAM owed to PennantPark. Holdings then entered into a new $35 million term loan. In June 2018, the credit agreement was amended to add a $15 million revolving loan. The credit agreement was amended in January 2019 and May 2019 to increase the revolving loan to $40 million, and further amended in October 2019 to increase the revolving loan to $50 million. In January 2020, the debt was restructured and converted to equity, and Holdings issued PennantPark 96,058 common units in satisfaction of the $86 million in debt that Holdings owed to PennantPark. See Notes 7 and 8.</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In July 2018, the Company began a drilling program in the Austin Chalk formation. Fayette was formed to be an owner in the new wells drilled, and Service was formed to invest in gathering and facilities infrastructure.</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RAM operates exclusively in the upstream segment of the oil and gas industry with activities including the drilling, completion, and operation of oil and natural gas wells. RAM conducts the majority of its operations in the state of Texas, with minor operations in the states of Arkansas, New Mexico and Oklahoma.</w:t>
      </w:r>
    </w:p>
    <w:p>
      <w:pPr>
        <w:spacing w:after="0" w:line="179" w:lineRule="exact"/>
        <w:rPr>
          <w:sz w:val="20"/>
          <w:szCs w:val="20"/>
          <w:color w:val="auto"/>
        </w:rPr>
      </w:pPr>
    </w:p>
    <w:p>
      <w:pPr>
        <w:ind w:left="440" w:hanging="432"/>
        <w:spacing w:after="0"/>
        <w:tabs>
          <w:tab w:leader="none" w:pos="440" w:val="left"/>
        </w:tabs>
        <w:numPr>
          <w:ilvl w:val="0"/>
          <w:numId w:val="140"/>
        </w:numPr>
        <w:rPr>
          <w:rFonts w:ascii="Arial" w:cs="Arial" w:eastAsia="Arial" w:hAnsi="Arial"/>
          <w:sz w:val="22"/>
          <w:szCs w:val="22"/>
          <w:b w:val="1"/>
          <w:bCs w:val="1"/>
          <w:color w:val="auto"/>
        </w:rPr>
      </w:pPr>
      <w:r>
        <w:rPr>
          <w:rFonts w:ascii="Arial" w:cs="Arial" w:eastAsia="Arial" w:hAnsi="Arial"/>
          <w:sz w:val="22"/>
          <w:szCs w:val="22"/>
          <w:b w:val="1"/>
          <w:bCs w:val="1"/>
          <w:color w:val="auto"/>
        </w:rPr>
        <w:t>Liquidity and Recent Events</w:t>
      </w:r>
    </w:p>
    <w:p>
      <w:pPr>
        <w:spacing w:after="0" w:line="103"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A novel strain of coronavirus (“COVID-19”) was first identified in December 2019, and subsequently declared a global pandemic by the World Health Organization in March 2020. As a result of the outbreak, many companies have experienced disruptions in their operations and in markets served.</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9"/>
          <w:szCs w:val="19"/>
          <w:color w:val="auto"/>
        </w:rPr>
        <w:t>The adverse economic effects of the COVID-19 outbreak have materially decreased demand for crude oil based on the restrictions in place by governments trying to curb the outbreak and changes in consumer behavior. This has led to a significant global oversupply of oil and consequently a substantial decrease in crude oil prices. In response to the reduction in crude oil prices, the Company has instituted cost reduction measures that include negotiated cost reductions with vendors and elimination or deferral of certain discretionary capital spending. Further, as discussed in Note 1, the Company’s sole Member converted all of its outstanding debt to equity during the year, and as further discussed in Note 7, the Company also refinanced its debt with Macquarie with a loan from the Main Street Lending Program, which is part of the U.S. Federally enacted “CAREs Act”. As a result of these two transactions, the Company has no debt principal payments due until 2023 and no cash interest payments due until October 2021.</w:t>
      </w:r>
    </w:p>
    <w:p>
      <w:pPr>
        <w:spacing w:after="0" w:line="196" w:lineRule="exact"/>
        <w:rPr>
          <w:sz w:val="20"/>
          <w:szCs w:val="20"/>
          <w:color w:val="auto"/>
        </w:rPr>
      </w:pPr>
    </w:p>
    <w:p>
      <w:pPr>
        <w:jc w:val="both"/>
        <w:spacing w:after="0" w:line="320" w:lineRule="auto"/>
        <w:rPr>
          <w:sz w:val="20"/>
          <w:szCs w:val="20"/>
          <w:color w:val="auto"/>
        </w:rPr>
      </w:pPr>
      <w:r>
        <w:rPr>
          <w:rFonts w:ascii="Arial" w:cs="Arial" w:eastAsia="Arial" w:hAnsi="Arial"/>
          <w:sz w:val="17"/>
          <w:szCs w:val="17"/>
          <w:color w:val="auto"/>
        </w:rPr>
        <w:t>While management believes it has sufficient liquidity to fund its cash requirements through November 2021 based on current oil and gas pricing models and derivative instruments the Company has in place, the full impact of the COVID-19 pandemic continues to evolve, and as such,</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748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45"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full magnitude that the pandemic will have on the Company’s financial condition, liquidity, and future results of operations is uncertain. Management is actively monitoring the impact of the COVID-19 pandemic and oil and gas pricing volatility on the Company's financial position, liquidity, operations, suppliers, industry and workforce.</w:t>
      </w:r>
    </w:p>
    <w:p>
      <w:pPr>
        <w:spacing w:after="0" w:line="179" w:lineRule="exact"/>
        <w:rPr>
          <w:sz w:val="20"/>
          <w:szCs w:val="20"/>
          <w:color w:val="auto"/>
        </w:rPr>
      </w:pPr>
    </w:p>
    <w:p>
      <w:pPr>
        <w:ind w:left="440" w:hanging="432"/>
        <w:spacing w:after="0"/>
        <w:tabs>
          <w:tab w:leader="none" w:pos="440" w:val="left"/>
        </w:tabs>
        <w:numPr>
          <w:ilvl w:val="0"/>
          <w:numId w:val="141"/>
        </w:numPr>
        <w:rPr>
          <w:rFonts w:ascii="Arial" w:cs="Arial" w:eastAsia="Arial" w:hAnsi="Arial"/>
          <w:sz w:val="22"/>
          <w:szCs w:val="22"/>
          <w:b w:val="1"/>
          <w:bCs w:val="1"/>
          <w:color w:val="auto"/>
        </w:rPr>
      </w:pPr>
      <w:r>
        <w:rPr>
          <w:rFonts w:ascii="Arial" w:cs="Arial" w:eastAsia="Arial" w:hAnsi="Arial"/>
          <w:sz w:val="22"/>
          <w:szCs w:val="22"/>
          <w:b w:val="1"/>
          <w:bCs w:val="1"/>
          <w:color w:val="auto"/>
        </w:rPr>
        <w:t>Summary of Significant Accounting Policies</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Basis of Presentation</w:t>
      </w:r>
    </w:p>
    <w:p>
      <w:pPr>
        <w:spacing w:after="0" w:line="106"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The accompanying consolidated financial statements include the accounts of Holdings, its wholly-owned subsidiaries, RAM and Service, and RAM’s wholly-owned subsidiary, Fayette. All significant intercompany accounts and transactions have been eliminated in consolidation.</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Property and Equipment</w:t>
      </w:r>
    </w:p>
    <w:p>
      <w:pPr>
        <w:spacing w:after="0" w:line="10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follows the full cost method of accounting for oil and natural gas properties. Under this method, all productive and nonproductive costs incurred in connection with the acquisition, exploration, and development of oil and natural gas reserves are capitalized. No gains or losses are recognized upon the sale or other disposition of oil and natural gas properties except in transactions that would significantly alter the relationship between capitalized costs and proved reserves. The costs of unevaluated oil and natural gas properties are excluded from the amortizable base until the time that either proven reserves are found or it has been determined that such properties are impaired. As properties become evaluated, the related costs are transferred to proved oil and natural gas properties.</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Under the full cost method, the net book value of oil and natural gas properties may not exceed the estimated after-tax future net revenues from proved oil and natural gas properties, discounted at 10% (the “Ceiling Limitation”). In arriving at estimated future net revenues, estimated lease operating expenses, development costs, and certain production-related and ad valorem taxes are deducted.</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calculating future net revenues, prices and costs are held constant indefinitely, except for changes that are fixed and determinable by existing contracts. The net book value is compared to the Ceiling Limitation and the excess, if any, of the net book value above the Ceiling Limitation is charged to expense in the period in which it occurs and is not subsequently reinstated. During the first half of calendar 2020, crude oil prices declined significantly due to the Saudi-Russia conflict and decreased demand as a result of the COVID-19 pandemic. As a result, the Company recognized an impairment of $32.5 million during the year ended September 30, 2020.</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costs directly associated with unevaluated oil and natural gas properties are not initially included in the amortization base and relate to unproved leasehold acreage, seismic data, wells and production facilities in progress and wells pending determination. Unevaluated leasehold costs are transferred to the amortization base once determination has been made or upon expiration of a lease. Geological and geophysical costs and cumulative drilling costs to date associated with a specific unevaluated property are transferred to the amortization base with the associated leasehold costs on a specific project basis. Costs associated with wells in progress and wells pending determination are transferred to the amortization base once a determination is made whether or not proved reserves can be assigned to the property. All costs included in the Company’s unevaluated property balance are assessed on a periodic basis for possible impairment or reduction in value. The assessment includes consideration of numerous factors, including intent to drill, remaining lease term, geological and geophysical evaluations, drilling results and activity, assignment of proved reserves and economic viability of development if proved reserves are assigned. Any impairments of unevaluated properties are transferred to the amortization base.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748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6" w:name="page137"/>
    <w:bookmarkEnd w:id="136"/>
    <w:p>
      <w:pPr>
        <w:jc w:val="center"/>
        <w:ind w:right="20"/>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The Company did not have any impairment of its unproved oil and gas properties for the year ended September 30, 2020.</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Depreciation, Depletion and Amortization</w:t>
      </w:r>
    </w:p>
    <w:p>
      <w:pPr>
        <w:spacing w:after="0" w:line="106" w:lineRule="exact"/>
        <w:rPr>
          <w:sz w:val="20"/>
          <w:szCs w:val="20"/>
          <w:color w:val="auto"/>
        </w:rPr>
      </w:pPr>
    </w:p>
    <w:p>
      <w:pPr>
        <w:jc w:val="both"/>
        <w:ind w:right="20"/>
        <w:spacing w:after="0" w:line="283" w:lineRule="auto"/>
        <w:rPr>
          <w:sz w:val="20"/>
          <w:szCs w:val="20"/>
          <w:color w:val="auto"/>
        </w:rPr>
      </w:pPr>
      <w:r>
        <w:rPr>
          <w:rFonts w:ascii="Arial" w:cs="Arial" w:eastAsia="Arial" w:hAnsi="Arial"/>
          <w:sz w:val="17"/>
          <w:szCs w:val="17"/>
          <w:color w:val="auto"/>
        </w:rPr>
        <w:t>All capitalized costs of oil and natural gas properties and equipment, including the estimated future costs to develop proved reserves, are amortized using the unit-of-production method based on total proved reserves. Depreciation of gathering assets and related facilities, and other equipment is computed on the straight-line method over the estimated useful lives of the assets, generally ranging from 3 to 30 years. Amortization of leasehold improvements is computed based on the straight-line method over the term of the associated lease or estimated useful life, whichever is shorter.</w:t>
      </w:r>
    </w:p>
    <w:p>
      <w:pPr>
        <w:spacing w:after="0" w:line="15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Other property and equipment consists principally of furniture and equipment and leasehold improvements. Other property and equipment and related accumulated depreciation and amortization are relieved upon retirement or sale and the gain or loss is included in operations. Renewals and replacements that extend the useful life of property and equipment are treated as capital additions. Depreciation expense of other property and equipment for the year ended September 30, 2020 was approximately $463 thousand.</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and Cash Equivalents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All highly liquid unrestricted investments with a maturity of three months or less when purchased are considered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Restricted Cash</w:t>
      </w:r>
    </w:p>
    <w:p>
      <w:pPr>
        <w:spacing w:after="0" w:line="106" w:lineRule="exact"/>
        <w:rPr>
          <w:sz w:val="20"/>
          <w:szCs w:val="20"/>
          <w:color w:val="auto"/>
        </w:rPr>
      </w:pPr>
    </w:p>
    <w:p>
      <w:pPr>
        <w:jc w:val="both"/>
        <w:ind w:right="20"/>
        <w:spacing w:after="0" w:line="249" w:lineRule="auto"/>
        <w:rPr>
          <w:sz w:val="20"/>
          <w:szCs w:val="20"/>
          <w:color w:val="auto"/>
        </w:rPr>
      </w:pPr>
      <w:r>
        <w:rPr>
          <w:rFonts w:ascii="Arial" w:cs="Arial" w:eastAsia="Arial" w:hAnsi="Arial"/>
          <w:sz w:val="19"/>
          <w:szCs w:val="19"/>
          <w:color w:val="auto"/>
        </w:rPr>
        <w:t>At September 30, 2020, the Company had approximately $742 thousand in certificates of deposit held as collateral for letters of credit for the beneficiary of states for the purpose of plugging and abandonment costs of the wells in which the Company has an interest. Such amounts are classified as restricted cash in the accompanying consolidated balance sheet.</w:t>
      </w:r>
    </w:p>
    <w:p>
      <w:pPr>
        <w:spacing w:after="0" w:line="184" w:lineRule="exact"/>
        <w:rPr>
          <w:sz w:val="20"/>
          <w:szCs w:val="20"/>
          <w:color w:val="auto"/>
        </w:rPr>
      </w:pPr>
    </w:p>
    <w:p>
      <w:pPr>
        <w:jc w:val="both"/>
        <w:ind w:right="40"/>
        <w:spacing w:after="0" w:line="261" w:lineRule="auto"/>
        <w:rPr>
          <w:sz w:val="20"/>
          <w:szCs w:val="20"/>
          <w:color w:val="auto"/>
        </w:rPr>
      </w:pPr>
      <w:r>
        <w:rPr>
          <w:rFonts w:ascii="Arial" w:cs="Arial" w:eastAsia="Arial" w:hAnsi="Arial"/>
          <w:sz w:val="19"/>
          <w:szCs w:val="19"/>
          <w:color w:val="auto"/>
        </w:rPr>
        <w:t>The following table provides a reconciliation of cash, cash equivalents, and restricted cash reported within the statement of financial position that sum to the total of the same such amounts shown in the statement of cash flows: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40" w:type="dxa"/>
            <w:vAlign w:val="bottom"/>
          </w:tcPr>
          <w:p>
            <w:pPr>
              <w:spacing w:after="0"/>
              <w:rPr>
                <w:sz w:val="21"/>
                <w:szCs w:val="21"/>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i w:val="1"/>
                <w:iCs w:val="1"/>
                <w:color w:val="auto"/>
              </w:rPr>
              <w:t>September 30,</w:t>
            </w:r>
          </w:p>
        </w:tc>
        <w:tc>
          <w:tcPr>
            <w:tcW w:w="36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766"/>
              <w:spacing w:after="0"/>
              <w:rPr>
                <w:sz w:val="20"/>
                <w:szCs w:val="20"/>
                <w:color w:val="auto"/>
              </w:rPr>
            </w:pPr>
            <w:r>
              <w:rPr>
                <w:rFonts w:ascii="Arial" w:cs="Arial" w:eastAsia="Arial" w:hAnsi="Arial"/>
                <w:sz w:val="19"/>
                <w:szCs w:val="19"/>
                <w:b w:val="1"/>
                <w:bCs w:val="1"/>
                <w:color w:val="auto"/>
              </w:rPr>
              <w:t>2020</w:t>
            </w:r>
          </w:p>
        </w:tc>
        <w:tc>
          <w:tcPr>
            <w:tcW w:w="1160" w:type="dxa"/>
            <w:vAlign w:val="bottom"/>
          </w:tcPr>
          <w:p>
            <w:pPr>
              <w:spacing w:after="0"/>
              <w:rPr>
                <w:sz w:val="21"/>
                <w:szCs w:val="21"/>
                <w:color w:val="auto"/>
              </w:rPr>
            </w:pPr>
          </w:p>
        </w:tc>
      </w:tr>
      <w:tr>
        <w:trPr>
          <w:trHeight w:val="356"/>
        </w:trPr>
        <w:tc>
          <w:tcPr>
            <w:tcW w:w="440" w:type="dxa"/>
            <w:vAlign w:val="bottom"/>
          </w:tcPr>
          <w:p>
            <w:pPr>
              <w:spacing w:after="0"/>
              <w:rPr>
                <w:sz w:val="24"/>
                <w:szCs w:val="24"/>
                <w:color w:val="auto"/>
              </w:rPr>
            </w:pPr>
          </w:p>
        </w:tc>
        <w:tc>
          <w:tcPr>
            <w:tcW w:w="4420" w:type="dxa"/>
            <w:vAlign w:val="bottom"/>
          </w:tcPr>
          <w:p>
            <w:pPr>
              <w:spacing w:after="0"/>
              <w:rPr>
                <w:sz w:val="20"/>
                <w:szCs w:val="20"/>
                <w:color w:val="auto"/>
              </w:rPr>
            </w:pPr>
            <w:r>
              <w:rPr>
                <w:rFonts w:ascii="Arial" w:cs="Arial" w:eastAsia="Arial" w:hAnsi="Arial"/>
                <w:sz w:val="19"/>
                <w:szCs w:val="19"/>
                <w:color w:val="auto"/>
              </w:rPr>
              <w:t>Cash and cash equivalents</w:t>
            </w:r>
          </w:p>
        </w:tc>
        <w:tc>
          <w:tcPr>
            <w:tcW w:w="3680" w:type="dxa"/>
            <w:vAlign w:val="bottom"/>
          </w:tcPr>
          <w:p>
            <w:pPr>
              <w:jc w:val="right"/>
              <w:ind w:right="266"/>
              <w:spacing w:after="0"/>
              <w:rPr>
                <w:sz w:val="20"/>
                <w:szCs w:val="20"/>
                <w:color w:val="auto"/>
              </w:rPr>
            </w:pPr>
            <w:r>
              <w:rPr>
                <w:rFonts w:ascii="Arial" w:cs="Arial" w:eastAsia="Arial" w:hAnsi="Arial"/>
                <w:sz w:val="19"/>
                <w:szCs w:val="19"/>
                <w:color w:val="auto"/>
              </w:rPr>
              <w:t>$</w:t>
            </w:r>
          </w:p>
        </w:tc>
        <w:tc>
          <w:tcPr>
            <w:tcW w:w="1560" w:type="dxa"/>
            <w:vAlign w:val="bottom"/>
          </w:tcPr>
          <w:p>
            <w:pPr>
              <w:jc w:val="right"/>
              <w:spacing w:after="0"/>
              <w:rPr>
                <w:sz w:val="20"/>
                <w:szCs w:val="20"/>
                <w:color w:val="auto"/>
              </w:rPr>
            </w:pPr>
            <w:r>
              <w:rPr>
                <w:rFonts w:ascii="Arial" w:cs="Arial" w:eastAsia="Arial" w:hAnsi="Arial"/>
                <w:sz w:val="19"/>
                <w:szCs w:val="19"/>
                <w:color w:val="auto"/>
              </w:rPr>
              <w:t>8,670,146</w:t>
            </w:r>
          </w:p>
        </w:tc>
        <w:tc>
          <w:tcPr>
            <w:tcW w:w="1160" w:type="dxa"/>
            <w:vAlign w:val="bottom"/>
          </w:tcPr>
          <w:p>
            <w:pPr>
              <w:spacing w:after="0"/>
              <w:rPr>
                <w:sz w:val="24"/>
                <w:szCs w:val="24"/>
                <w:color w:val="auto"/>
              </w:rPr>
            </w:pPr>
          </w:p>
        </w:tc>
      </w:tr>
      <w:tr>
        <w:trPr>
          <w:trHeight w:val="238"/>
        </w:trPr>
        <w:tc>
          <w:tcPr>
            <w:tcW w:w="440" w:type="dxa"/>
            <w:vAlign w:val="bottom"/>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Restricted cash included in other long-term assets</w:t>
            </w:r>
          </w:p>
        </w:tc>
        <w:tc>
          <w:tcPr>
            <w:tcW w:w="36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741,524</w:t>
            </w:r>
          </w:p>
        </w:tc>
        <w:tc>
          <w:tcPr>
            <w:tcW w:w="1160" w:type="dxa"/>
            <w:vAlign w:val="bottom"/>
          </w:tcPr>
          <w:p>
            <w:pPr>
              <w:spacing w:after="0"/>
              <w:rPr>
                <w:sz w:val="20"/>
                <w:szCs w:val="20"/>
                <w:color w:val="auto"/>
              </w:rPr>
            </w:pPr>
          </w:p>
        </w:tc>
      </w:tr>
      <w:tr>
        <w:trPr>
          <w:trHeight w:val="336"/>
        </w:trPr>
        <w:tc>
          <w:tcPr>
            <w:tcW w:w="440" w:type="dxa"/>
            <w:vAlign w:val="bottom"/>
          </w:tcPr>
          <w:p>
            <w:pPr>
              <w:spacing w:after="0"/>
              <w:rPr>
                <w:sz w:val="24"/>
                <w:szCs w:val="24"/>
                <w:color w:val="auto"/>
              </w:rPr>
            </w:pPr>
          </w:p>
        </w:tc>
        <w:tc>
          <w:tcPr>
            <w:tcW w:w="4420" w:type="dxa"/>
            <w:vAlign w:val="bottom"/>
          </w:tcPr>
          <w:p>
            <w:pPr>
              <w:spacing w:after="0"/>
              <w:rPr>
                <w:sz w:val="20"/>
                <w:szCs w:val="20"/>
                <w:color w:val="auto"/>
              </w:rPr>
            </w:pPr>
            <w:r>
              <w:rPr>
                <w:rFonts w:ascii="Arial" w:cs="Arial" w:eastAsia="Arial" w:hAnsi="Arial"/>
                <w:sz w:val="19"/>
                <w:szCs w:val="19"/>
                <w:color w:val="auto"/>
              </w:rPr>
              <w:t>Total cash, cash equivalents, and restricted cash</w:t>
            </w:r>
          </w:p>
        </w:tc>
        <w:tc>
          <w:tcPr>
            <w:tcW w:w="3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5"/>
        </w:trPr>
        <w:tc>
          <w:tcPr>
            <w:tcW w:w="440" w:type="dxa"/>
            <w:vAlign w:val="bottom"/>
          </w:tcPr>
          <w:p>
            <w:pPr>
              <w:spacing w:after="0"/>
              <w:rPr>
                <w:sz w:val="21"/>
                <w:szCs w:val="21"/>
                <w:color w:val="auto"/>
              </w:rPr>
            </w:pPr>
          </w:p>
        </w:tc>
        <w:tc>
          <w:tcPr>
            <w:tcW w:w="4420" w:type="dxa"/>
            <w:vAlign w:val="bottom"/>
            <w:tcBorders>
              <w:bottom w:val="single" w:sz="8" w:color="auto"/>
            </w:tcBorders>
          </w:tcPr>
          <w:p>
            <w:pPr>
              <w:ind w:left="140"/>
              <w:spacing w:after="0"/>
              <w:rPr>
                <w:sz w:val="20"/>
                <w:szCs w:val="20"/>
                <w:color w:val="auto"/>
              </w:rPr>
            </w:pPr>
            <w:r>
              <w:rPr>
                <w:rFonts w:ascii="Arial" w:cs="Arial" w:eastAsia="Arial" w:hAnsi="Arial"/>
                <w:sz w:val="19"/>
                <w:szCs w:val="19"/>
                <w:color w:val="auto"/>
              </w:rPr>
              <w:t>shown in the statement of cash flows</w:t>
            </w:r>
          </w:p>
        </w:tc>
        <w:tc>
          <w:tcPr>
            <w:tcW w:w="3680" w:type="dxa"/>
            <w:vAlign w:val="bottom"/>
            <w:tcBorders>
              <w:bottom w:val="single" w:sz="8" w:color="auto"/>
            </w:tcBorders>
          </w:tcPr>
          <w:p>
            <w:pPr>
              <w:jc w:val="right"/>
              <w:ind w:right="266"/>
              <w:spacing w:after="0"/>
              <w:rPr>
                <w:sz w:val="20"/>
                <w:szCs w:val="20"/>
                <w:color w:val="auto"/>
              </w:rPr>
            </w:pPr>
            <w:r>
              <w:rPr>
                <w:rFonts w:ascii="Arial" w:cs="Arial" w:eastAsia="Arial" w:hAnsi="Arial"/>
                <w:sz w:val="19"/>
                <w:szCs w:val="19"/>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9,411,670</w:t>
            </w:r>
          </w:p>
        </w:tc>
        <w:tc>
          <w:tcPr>
            <w:tcW w:w="1160" w:type="dxa"/>
            <w:vAlign w:val="bottom"/>
          </w:tcPr>
          <w:p>
            <w:pPr>
              <w:spacing w:after="0"/>
              <w:rPr>
                <w:sz w:val="21"/>
                <w:szCs w:val="21"/>
                <w:color w:val="auto"/>
              </w:rPr>
            </w:pPr>
          </w:p>
        </w:tc>
      </w:tr>
      <w:tr>
        <w:trPr>
          <w:trHeight w:val="879"/>
        </w:trPr>
        <w:tc>
          <w:tcPr>
            <w:tcW w:w="4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680" w:type="dxa"/>
            <w:vAlign w:val="bottom"/>
          </w:tcPr>
          <w:p>
            <w:pPr>
              <w:jc w:val="right"/>
              <w:ind w:right="2726"/>
              <w:spacing w:after="0"/>
              <w:rPr>
                <w:sz w:val="20"/>
                <w:szCs w:val="20"/>
                <w:color w:val="auto"/>
              </w:rPr>
            </w:pPr>
            <w:r>
              <w:rPr>
                <w:rFonts w:ascii="Arial" w:cs="Arial" w:eastAsia="Arial" w:hAnsi="Arial"/>
                <w:sz w:val="19"/>
                <w:szCs w:val="19"/>
                <w:b w:val="1"/>
                <w:bCs w:val="1"/>
                <w:color w:val="auto"/>
              </w:rPr>
              <w:t>11</w:t>
            </w: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27"/>
        </w:trPr>
        <w:tc>
          <w:tcPr>
            <w:tcW w:w="440" w:type="dxa"/>
            <w:vAlign w:val="bottom"/>
            <w:tcBorders>
              <w:bottom w:val="single" w:sz="8" w:color="9A9A9A"/>
            </w:tcBorders>
          </w:tcPr>
          <w:p>
            <w:pPr>
              <w:spacing w:after="0"/>
              <w:rPr>
                <w:sz w:val="11"/>
                <w:szCs w:val="11"/>
                <w:color w:val="auto"/>
              </w:rPr>
            </w:pPr>
          </w:p>
        </w:tc>
        <w:tc>
          <w:tcPr>
            <w:tcW w:w="4420" w:type="dxa"/>
            <w:vAlign w:val="bottom"/>
            <w:tcBorders>
              <w:bottom w:val="single" w:sz="8" w:color="9A9A9A"/>
            </w:tcBorders>
          </w:tcPr>
          <w:p>
            <w:pPr>
              <w:spacing w:after="0"/>
              <w:rPr>
                <w:sz w:val="11"/>
                <w:szCs w:val="11"/>
                <w:color w:val="auto"/>
              </w:rPr>
            </w:pPr>
          </w:p>
        </w:tc>
        <w:tc>
          <w:tcPr>
            <w:tcW w:w="3680" w:type="dxa"/>
            <w:vAlign w:val="bottom"/>
            <w:tcBorders>
              <w:bottom w:val="single" w:sz="8" w:color="9A9A9A"/>
            </w:tcBorders>
          </w:tcPr>
          <w:p>
            <w:pPr>
              <w:spacing w:after="0"/>
              <w:rPr>
                <w:sz w:val="11"/>
                <w:szCs w:val="11"/>
                <w:color w:val="auto"/>
              </w:rPr>
            </w:pPr>
          </w:p>
        </w:tc>
        <w:tc>
          <w:tcPr>
            <w:tcW w:w="156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37" w:name="page138"/>
    <w:bookmarkEnd w:id="137"/>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Concentrations of Credit Risk</w:t>
      </w:r>
    </w:p>
    <w:p>
      <w:pPr>
        <w:spacing w:after="0" w:line="1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Company sells oil and natural gas to various customers and participates with other parties in the drilling, completion and operation of oil and natural gas wells. Joint interest and oil and natural gas sales receivables related to these operations are generally unsecured. For the year ended September 30, 2020, over 87% of total revenues and total receivables were from two customers. The Company provides an allowance for doubtful accounts for certain purchasers and certain joint interest owners’ receivable balances when the Company believes the receivable balance may not be collected. Accounts receivable are presented net of the related allowance for doubtful accounts. At September 30, 2020, the allowance for doubtful accounts was $8 thousand.</w:t>
      </w:r>
    </w:p>
    <w:p>
      <w:pPr>
        <w:spacing w:after="0" w:line="190"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In 2020, the Company had cash deposits in certain banks that at times exceeded the maximum insured by the Federal Deposit Insurance Corporation. The Company monitors the financial condition of the banks and has experienced no losses on these accounts.</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 and Administrative Expenses</w:t>
      </w:r>
    </w:p>
    <w:p>
      <w:pPr>
        <w:spacing w:after="0" w:line="106"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The Company receives fees for the operation of jointly owned oil and natural gas properties and records such reimbursements as reductions of general and administrative expenses. Such fees totaled approximately $0.5 million for the year ended September 30, 2020.</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Use of Estimates</w:t>
      </w:r>
    </w:p>
    <w:p>
      <w:pPr>
        <w:spacing w:after="0" w:line="10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Estimates and assumptions that, in the opinion of management are significant, include oil and natural gas reserves, depreciation, depletion and amortization related to oil and natural gas properties, asset retirement obligations and derivative instrument valuations. The Company evaluates its estimates and assumptions on a regular basis. Estimates are based on historical experience and various other assumptions that are believed to be reasonable under the circumstances. Actual results may differ from these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Oil and Natural Gas Reserves Estimates</w:t>
      </w:r>
    </w:p>
    <w:p>
      <w:pPr>
        <w:spacing w:after="0" w:line="10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Independent petroleum and geological engineers prepare estimates of the Company’s oil and natural gas reserves. Proved reserves and the estimated future net revenues are estimated based upon a combination of historical data and estimates of future activity. Consistent with Topic 932 of the Codification, at September 30, 2020, the Company calculated its estimate of proved reserves using a twelve month average price, calculated as the unweighted arithmetic average of the first-day-of-the-month price for each period within the twelve-month period prior to the end of the reporting period. The reserve estimates are used in the assessment of the Company’s ceiling limitation and in calculating depreciation, depletion and amortization. Significant assumptions are required in the valuation of proved oil and natural gas reserves which, as described herein, may affect the amount at which oil and natural gas properties are recorded. Actual results could differ materially from these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Asset Retirement Obligations</w:t>
      </w:r>
    </w:p>
    <w:p>
      <w:pPr>
        <w:spacing w:after="0" w:line="10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fair value of a liability for an asset retirement obligation is recognized in the period in which it is incurred if a reasonable estimate of fair value can be made, and the associated asset retirement costs are capitalized as part of the carrying amount of the long-lived asset. The Company determines its asset retirement obligations on its oil and natural gas properties by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748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8" w:name="page139"/>
    <w:bookmarkEnd w:id="138"/>
    <w:p>
      <w:pPr>
        <w:jc w:val="center"/>
        <w:ind w:right="-19"/>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137"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calculating the present value of the estimated cash flows related to the estimated liability. Periodic accretion of the discount of the estimated liability associated with the Company’s oil and natural gas properties is recorded in the consolidated statement of operations.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340" w:type="dxa"/>
            <w:vAlign w:val="bottom"/>
            <w:gridSpan w:val="2"/>
          </w:tcPr>
          <w:p>
            <w:pPr>
              <w:spacing w:after="0"/>
              <w:rPr>
                <w:sz w:val="20"/>
                <w:szCs w:val="20"/>
                <w:color w:val="auto"/>
              </w:rPr>
            </w:pPr>
            <w:r>
              <w:rPr>
                <w:rFonts w:ascii="Arial" w:cs="Arial" w:eastAsia="Arial" w:hAnsi="Arial"/>
                <w:sz w:val="19"/>
                <w:szCs w:val="19"/>
                <w:color w:val="auto"/>
                <w:w w:val="99"/>
              </w:rPr>
              <w:t>The Company recorded the following activity related to the asset retirement obligations:</w:t>
            </w:r>
          </w:p>
        </w:tc>
        <w:tc>
          <w:tcPr>
            <w:tcW w:w="1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50"/>
        </w:trPr>
        <w:tc>
          <w:tcPr>
            <w:tcW w:w="440" w:type="dxa"/>
            <w:vAlign w:val="bottom"/>
          </w:tcPr>
          <w:p>
            <w:pPr>
              <w:spacing w:after="0"/>
              <w:rPr>
                <w:sz w:val="24"/>
                <w:szCs w:val="24"/>
                <w:color w:val="auto"/>
              </w:rPr>
            </w:pPr>
          </w:p>
        </w:tc>
        <w:tc>
          <w:tcPr>
            <w:tcW w:w="69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i w:val="1"/>
                <w:iCs w:val="1"/>
                <w:color w:val="auto"/>
              </w:rPr>
              <w:t>Year Ended September 30,</w:t>
            </w:r>
          </w:p>
        </w:tc>
        <w:tc>
          <w:tcPr>
            <w:tcW w:w="1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826"/>
              <w:spacing w:after="0"/>
              <w:rPr>
                <w:sz w:val="20"/>
                <w:szCs w:val="20"/>
                <w:color w:val="auto"/>
              </w:rPr>
            </w:pPr>
            <w:r>
              <w:rPr>
                <w:rFonts w:ascii="Arial" w:cs="Arial" w:eastAsia="Arial" w:hAnsi="Arial"/>
                <w:sz w:val="19"/>
                <w:szCs w:val="19"/>
                <w:b w:val="1"/>
                <w:bCs w:val="1"/>
                <w:color w:val="auto"/>
              </w:rPr>
              <w:t>2020</w:t>
            </w:r>
          </w:p>
        </w:tc>
      </w:tr>
      <w:tr>
        <w:trPr>
          <w:trHeight w:val="350"/>
        </w:trPr>
        <w:tc>
          <w:tcPr>
            <w:tcW w:w="440" w:type="dxa"/>
            <w:vAlign w:val="bottom"/>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9"/>
                <w:szCs w:val="19"/>
                <w:b w:val="1"/>
                <w:bCs w:val="1"/>
                <w:color w:val="auto"/>
              </w:rPr>
              <w:t>Liability for Asset Retirement Obligations,</w:t>
            </w: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35"/>
        </w:trPr>
        <w:tc>
          <w:tcPr>
            <w:tcW w:w="440" w:type="dxa"/>
            <w:vAlign w:val="bottom"/>
          </w:tcPr>
          <w:p>
            <w:pPr>
              <w:spacing w:after="0"/>
              <w:rPr>
                <w:sz w:val="20"/>
                <w:szCs w:val="20"/>
                <w:color w:val="auto"/>
              </w:rPr>
            </w:pPr>
          </w:p>
        </w:tc>
        <w:tc>
          <w:tcPr>
            <w:tcW w:w="6900" w:type="dxa"/>
            <w:vAlign w:val="bottom"/>
          </w:tcPr>
          <w:p>
            <w:pPr>
              <w:ind w:left="240"/>
              <w:spacing w:after="0"/>
              <w:rPr>
                <w:sz w:val="20"/>
                <w:szCs w:val="20"/>
                <w:color w:val="auto"/>
              </w:rPr>
            </w:pPr>
            <w:r>
              <w:rPr>
                <w:rFonts w:ascii="Arial" w:cs="Arial" w:eastAsia="Arial" w:hAnsi="Arial"/>
                <w:sz w:val="19"/>
                <w:szCs w:val="19"/>
                <w:b w:val="1"/>
                <w:bCs w:val="1"/>
                <w:color w:val="auto"/>
              </w:rPr>
              <w:t>Beginning of Year</w:t>
            </w:r>
          </w:p>
        </w:tc>
        <w:tc>
          <w:tcPr>
            <w:tcW w:w="1120" w:type="dxa"/>
            <w:vAlign w:val="bottom"/>
          </w:tcPr>
          <w:p>
            <w:pPr>
              <w:jc w:val="right"/>
              <w:ind w:right="266"/>
              <w:spacing w:after="0"/>
              <w:rPr>
                <w:sz w:val="20"/>
                <w:szCs w:val="20"/>
                <w:color w:val="auto"/>
              </w:rPr>
            </w:pPr>
            <w:r>
              <w:rPr>
                <w:rFonts w:ascii="Arial" w:cs="Arial" w:eastAsia="Arial" w:hAnsi="Arial"/>
                <w:sz w:val="19"/>
                <w:szCs w:val="19"/>
                <w:color w:val="auto"/>
              </w:rPr>
              <w:t>$</w:t>
            </w:r>
          </w:p>
        </w:tc>
        <w:tc>
          <w:tcPr>
            <w:tcW w:w="1640" w:type="dxa"/>
            <w:vAlign w:val="bottom"/>
          </w:tcPr>
          <w:p>
            <w:pPr>
              <w:jc w:val="right"/>
              <w:ind w:right="26"/>
              <w:spacing w:after="0"/>
              <w:rPr>
                <w:sz w:val="20"/>
                <w:szCs w:val="20"/>
                <w:color w:val="auto"/>
              </w:rPr>
            </w:pPr>
            <w:r>
              <w:rPr>
                <w:rFonts w:ascii="Arial" w:cs="Arial" w:eastAsia="Arial" w:hAnsi="Arial"/>
                <w:sz w:val="19"/>
                <w:szCs w:val="19"/>
                <w:color w:val="auto"/>
              </w:rPr>
              <w:t>5,483,910</w:t>
            </w:r>
          </w:p>
        </w:tc>
      </w:tr>
      <w:tr>
        <w:trPr>
          <w:trHeight w:val="230"/>
        </w:trPr>
        <w:tc>
          <w:tcPr>
            <w:tcW w:w="440" w:type="dxa"/>
            <w:vAlign w:val="bottom"/>
          </w:tcPr>
          <w:p>
            <w:pPr>
              <w:spacing w:after="0"/>
              <w:rPr>
                <w:sz w:val="19"/>
                <w:szCs w:val="19"/>
                <w:color w:val="auto"/>
              </w:rPr>
            </w:pPr>
          </w:p>
        </w:tc>
        <w:tc>
          <w:tcPr>
            <w:tcW w:w="6900" w:type="dxa"/>
            <w:vAlign w:val="bottom"/>
          </w:tcPr>
          <w:p>
            <w:pPr>
              <w:ind w:left="500"/>
              <w:spacing w:after="0"/>
              <w:rPr>
                <w:sz w:val="20"/>
                <w:szCs w:val="20"/>
                <w:color w:val="auto"/>
              </w:rPr>
            </w:pPr>
            <w:r>
              <w:rPr>
                <w:rFonts w:ascii="Arial" w:cs="Arial" w:eastAsia="Arial" w:hAnsi="Arial"/>
                <w:sz w:val="19"/>
                <w:szCs w:val="19"/>
                <w:color w:val="auto"/>
              </w:rPr>
              <w:t>Accretion expense</w:t>
            </w:r>
          </w:p>
        </w:tc>
        <w:tc>
          <w:tcPr>
            <w:tcW w:w="1120" w:type="dxa"/>
            <w:vAlign w:val="bottom"/>
          </w:tcPr>
          <w:p>
            <w:pPr>
              <w:spacing w:after="0"/>
              <w:rPr>
                <w:sz w:val="19"/>
                <w:szCs w:val="19"/>
                <w:color w:val="auto"/>
              </w:rPr>
            </w:pPr>
          </w:p>
        </w:tc>
        <w:tc>
          <w:tcPr>
            <w:tcW w:w="1640" w:type="dxa"/>
            <w:vAlign w:val="bottom"/>
          </w:tcPr>
          <w:p>
            <w:pPr>
              <w:jc w:val="right"/>
              <w:ind w:right="26"/>
              <w:spacing w:after="0"/>
              <w:rPr>
                <w:sz w:val="20"/>
                <w:szCs w:val="20"/>
                <w:color w:val="auto"/>
              </w:rPr>
            </w:pPr>
            <w:r>
              <w:rPr>
                <w:rFonts w:ascii="Arial" w:cs="Arial" w:eastAsia="Arial" w:hAnsi="Arial"/>
                <w:sz w:val="19"/>
                <w:szCs w:val="19"/>
                <w:color w:val="auto"/>
              </w:rPr>
              <w:t>576,665</w:t>
            </w:r>
          </w:p>
        </w:tc>
      </w:tr>
      <w:tr>
        <w:trPr>
          <w:trHeight w:val="229"/>
        </w:trPr>
        <w:tc>
          <w:tcPr>
            <w:tcW w:w="440" w:type="dxa"/>
            <w:vAlign w:val="bottom"/>
          </w:tcPr>
          <w:p>
            <w:pPr>
              <w:spacing w:after="0"/>
              <w:rPr>
                <w:sz w:val="19"/>
                <w:szCs w:val="19"/>
                <w:color w:val="auto"/>
              </w:rPr>
            </w:pPr>
          </w:p>
        </w:tc>
        <w:tc>
          <w:tcPr>
            <w:tcW w:w="6900" w:type="dxa"/>
            <w:vAlign w:val="bottom"/>
          </w:tcPr>
          <w:p>
            <w:pPr>
              <w:ind w:left="500"/>
              <w:spacing w:after="0"/>
              <w:rPr>
                <w:sz w:val="20"/>
                <w:szCs w:val="20"/>
                <w:color w:val="auto"/>
              </w:rPr>
            </w:pPr>
            <w:r>
              <w:rPr>
                <w:rFonts w:ascii="Arial" w:cs="Arial" w:eastAsia="Arial" w:hAnsi="Arial"/>
                <w:sz w:val="19"/>
                <w:szCs w:val="19"/>
                <w:color w:val="auto"/>
              </w:rPr>
              <w:t>Additions</w:t>
            </w:r>
          </w:p>
        </w:tc>
        <w:tc>
          <w:tcPr>
            <w:tcW w:w="1120" w:type="dxa"/>
            <w:vAlign w:val="bottom"/>
          </w:tcPr>
          <w:p>
            <w:pPr>
              <w:spacing w:after="0"/>
              <w:rPr>
                <w:sz w:val="19"/>
                <w:szCs w:val="19"/>
                <w:color w:val="auto"/>
              </w:rPr>
            </w:pPr>
          </w:p>
        </w:tc>
        <w:tc>
          <w:tcPr>
            <w:tcW w:w="1640" w:type="dxa"/>
            <w:vAlign w:val="bottom"/>
          </w:tcPr>
          <w:p>
            <w:pPr>
              <w:jc w:val="right"/>
              <w:ind w:right="26"/>
              <w:spacing w:after="0"/>
              <w:rPr>
                <w:sz w:val="20"/>
                <w:szCs w:val="20"/>
                <w:color w:val="auto"/>
              </w:rPr>
            </w:pPr>
            <w:r>
              <w:rPr>
                <w:rFonts w:ascii="Arial" w:cs="Arial" w:eastAsia="Arial" w:hAnsi="Arial"/>
                <w:sz w:val="19"/>
                <w:szCs w:val="19"/>
                <w:color w:val="auto"/>
              </w:rPr>
              <w:t>124,960</w:t>
            </w:r>
          </w:p>
        </w:tc>
      </w:tr>
      <w:tr>
        <w:trPr>
          <w:trHeight w:val="229"/>
        </w:trPr>
        <w:tc>
          <w:tcPr>
            <w:tcW w:w="440" w:type="dxa"/>
            <w:vAlign w:val="bottom"/>
          </w:tcPr>
          <w:p>
            <w:pPr>
              <w:spacing w:after="0"/>
              <w:rPr>
                <w:sz w:val="19"/>
                <w:szCs w:val="19"/>
                <w:color w:val="auto"/>
              </w:rPr>
            </w:pPr>
          </w:p>
        </w:tc>
        <w:tc>
          <w:tcPr>
            <w:tcW w:w="6900" w:type="dxa"/>
            <w:vAlign w:val="bottom"/>
          </w:tcPr>
          <w:p>
            <w:pPr>
              <w:ind w:left="500"/>
              <w:spacing w:after="0"/>
              <w:rPr>
                <w:sz w:val="20"/>
                <w:szCs w:val="20"/>
                <w:color w:val="auto"/>
              </w:rPr>
            </w:pPr>
            <w:r>
              <w:rPr>
                <w:rFonts w:ascii="Arial" w:cs="Arial" w:eastAsia="Arial" w:hAnsi="Arial"/>
                <w:sz w:val="19"/>
                <w:szCs w:val="19"/>
                <w:color w:val="auto"/>
              </w:rPr>
              <w:t>Obligations for wells sold</w:t>
            </w:r>
          </w:p>
        </w:tc>
        <w:tc>
          <w:tcPr>
            <w:tcW w:w="1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9"/>
                <w:szCs w:val="19"/>
                <w:color w:val="auto"/>
              </w:rPr>
              <w:t>(432,932)</w:t>
            </w:r>
          </w:p>
        </w:tc>
      </w:tr>
      <w:tr>
        <w:trPr>
          <w:trHeight w:val="230"/>
        </w:trPr>
        <w:tc>
          <w:tcPr>
            <w:tcW w:w="440" w:type="dxa"/>
            <w:vAlign w:val="bottom"/>
          </w:tcPr>
          <w:p>
            <w:pPr>
              <w:spacing w:after="0"/>
              <w:rPr>
                <w:sz w:val="19"/>
                <w:szCs w:val="19"/>
                <w:color w:val="auto"/>
              </w:rPr>
            </w:pPr>
          </w:p>
        </w:tc>
        <w:tc>
          <w:tcPr>
            <w:tcW w:w="6900" w:type="dxa"/>
            <w:vAlign w:val="bottom"/>
          </w:tcPr>
          <w:p>
            <w:pPr>
              <w:ind w:left="500"/>
              <w:spacing w:after="0"/>
              <w:rPr>
                <w:sz w:val="20"/>
                <w:szCs w:val="20"/>
                <w:color w:val="auto"/>
              </w:rPr>
            </w:pPr>
            <w:r>
              <w:rPr>
                <w:rFonts w:ascii="Arial" w:cs="Arial" w:eastAsia="Arial" w:hAnsi="Arial"/>
                <w:sz w:val="19"/>
                <w:szCs w:val="19"/>
                <w:color w:val="auto"/>
              </w:rPr>
              <w:t>Settlements</w:t>
            </w:r>
          </w:p>
        </w:tc>
        <w:tc>
          <w:tcPr>
            <w:tcW w:w="1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9"/>
                <w:szCs w:val="19"/>
                <w:color w:val="auto"/>
              </w:rPr>
              <w:t>(664,473)</w:t>
            </w:r>
          </w:p>
        </w:tc>
      </w:tr>
      <w:tr>
        <w:trPr>
          <w:trHeight w:val="238"/>
        </w:trPr>
        <w:tc>
          <w:tcPr>
            <w:tcW w:w="440" w:type="dxa"/>
            <w:vAlign w:val="bottom"/>
          </w:tcPr>
          <w:p>
            <w:pPr>
              <w:spacing w:after="0"/>
              <w:rPr>
                <w:sz w:val="20"/>
                <w:szCs w:val="20"/>
                <w:color w:val="auto"/>
              </w:rPr>
            </w:pPr>
          </w:p>
        </w:tc>
        <w:tc>
          <w:tcPr>
            <w:tcW w:w="6900" w:type="dxa"/>
            <w:vAlign w:val="bottom"/>
            <w:tcBorders>
              <w:bottom w:val="single" w:sz="8" w:color="auto"/>
            </w:tcBorders>
          </w:tcPr>
          <w:p>
            <w:pPr>
              <w:ind w:left="500"/>
              <w:spacing w:after="0"/>
              <w:rPr>
                <w:sz w:val="20"/>
                <w:szCs w:val="20"/>
                <w:color w:val="auto"/>
              </w:rPr>
            </w:pPr>
            <w:r>
              <w:rPr>
                <w:rFonts w:ascii="Arial" w:cs="Arial" w:eastAsia="Arial" w:hAnsi="Arial"/>
                <w:sz w:val="19"/>
                <w:szCs w:val="19"/>
                <w:color w:val="auto"/>
              </w:rPr>
              <w:t>Changes in estimates</w:t>
            </w:r>
          </w:p>
        </w:tc>
        <w:tc>
          <w:tcPr>
            <w:tcW w:w="1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642,891</w:t>
            </w:r>
          </w:p>
        </w:tc>
      </w:tr>
      <w:tr>
        <w:trPr>
          <w:trHeight w:val="330"/>
        </w:trPr>
        <w:tc>
          <w:tcPr>
            <w:tcW w:w="440" w:type="dxa"/>
            <w:vAlign w:val="bottom"/>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9"/>
                <w:szCs w:val="19"/>
                <w:b w:val="1"/>
                <w:bCs w:val="1"/>
                <w:color w:val="auto"/>
              </w:rPr>
              <w:t>Liability for Asset Retirement Obligations,</w:t>
            </w: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46"/>
        </w:trPr>
        <w:tc>
          <w:tcPr>
            <w:tcW w:w="440" w:type="dxa"/>
            <w:vAlign w:val="bottom"/>
          </w:tcPr>
          <w:p>
            <w:pPr>
              <w:spacing w:after="0"/>
              <w:rPr>
                <w:sz w:val="21"/>
                <w:szCs w:val="21"/>
                <w:color w:val="auto"/>
              </w:rPr>
            </w:pPr>
          </w:p>
        </w:tc>
        <w:tc>
          <w:tcPr>
            <w:tcW w:w="6900" w:type="dxa"/>
            <w:vAlign w:val="bottom"/>
          </w:tcPr>
          <w:p>
            <w:pPr>
              <w:ind w:left="140"/>
              <w:spacing w:after="0"/>
              <w:rPr>
                <w:sz w:val="20"/>
                <w:szCs w:val="20"/>
                <w:color w:val="auto"/>
              </w:rPr>
            </w:pPr>
            <w:r>
              <w:rPr>
                <w:rFonts w:ascii="Arial" w:cs="Arial" w:eastAsia="Arial" w:hAnsi="Arial"/>
                <w:sz w:val="19"/>
                <w:szCs w:val="19"/>
                <w:b w:val="1"/>
                <w:bCs w:val="1"/>
                <w:color w:val="auto"/>
              </w:rPr>
              <w:t>End of Year</w:t>
            </w:r>
          </w:p>
        </w:tc>
        <w:tc>
          <w:tcPr>
            <w:tcW w:w="1120" w:type="dxa"/>
            <w:vAlign w:val="bottom"/>
          </w:tcPr>
          <w:p>
            <w:pPr>
              <w:spacing w:after="0"/>
              <w:rPr>
                <w:sz w:val="21"/>
                <w:szCs w:val="21"/>
                <w:color w:val="auto"/>
              </w:rPr>
            </w:pPr>
          </w:p>
        </w:tc>
        <w:tc>
          <w:tcPr>
            <w:tcW w:w="1640" w:type="dxa"/>
            <w:vAlign w:val="bottom"/>
          </w:tcPr>
          <w:p>
            <w:pPr>
              <w:jc w:val="right"/>
              <w:ind w:right="26"/>
              <w:spacing w:after="0"/>
              <w:rPr>
                <w:sz w:val="20"/>
                <w:szCs w:val="20"/>
                <w:color w:val="auto"/>
              </w:rPr>
            </w:pPr>
            <w:r>
              <w:rPr>
                <w:rFonts w:ascii="Arial" w:cs="Arial" w:eastAsia="Arial" w:hAnsi="Arial"/>
                <w:sz w:val="19"/>
                <w:szCs w:val="19"/>
                <w:color w:val="auto"/>
              </w:rPr>
              <w:t>5,731,021</w:t>
            </w:r>
          </w:p>
        </w:tc>
      </w:tr>
      <w:tr>
        <w:trPr>
          <w:trHeight w:val="363"/>
        </w:trPr>
        <w:tc>
          <w:tcPr>
            <w:tcW w:w="440" w:type="dxa"/>
            <w:vAlign w:val="bottom"/>
          </w:tcPr>
          <w:p>
            <w:pPr>
              <w:spacing w:after="0"/>
              <w:rPr>
                <w:sz w:val="24"/>
                <w:szCs w:val="24"/>
                <w:color w:val="auto"/>
              </w:rPr>
            </w:pPr>
          </w:p>
        </w:tc>
        <w:tc>
          <w:tcPr>
            <w:tcW w:w="690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Less: Current asset retirement obligations</w:t>
            </w:r>
          </w:p>
        </w:tc>
        <w:tc>
          <w:tcPr>
            <w:tcW w:w="1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903,228</w:t>
            </w:r>
          </w:p>
        </w:tc>
      </w:tr>
      <w:tr>
        <w:trPr>
          <w:trHeight w:val="365"/>
        </w:trPr>
        <w:tc>
          <w:tcPr>
            <w:tcW w:w="440" w:type="dxa"/>
            <w:vAlign w:val="bottom"/>
          </w:tcPr>
          <w:p>
            <w:pPr>
              <w:spacing w:after="0"/>
              <w:rPr>
                <w:sz w:val="24"/>
                <w:szCs w:val="24"/>
                <w:color w:val="auto"/>
              </w:rPr>
            </w:pPr>
          </w:p>
        </w:tc>
        <w:tc>
          <w:tcPr>
            <w:tcW w:w="69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Long-Term Asset Retirement Obligations</w:t>
            </w:r>
          </w:p>
        </w:tc>
        <w:tc>
          <w:tcPr>
            <w:tcW w:w="1120" w:type="dxa"/>
            <w:vAlign w:val="bottom"/>
            <w:tcBorders>
              <w:bottom w:val="single" w:sz="8" w:color="auto"/>
            </w:tcBorders>
          </w:tcPr>
          <w:p>
            <w:pPr>
              <w:jc w:val="right"/>
              <w:ind w:right="266"/>
              <w:spacing w:after="0"/>
              <w:rPr>
                <w:sz w:val="20"/>
                <w:szCs w:val="20"/>
                <w:color w:val="auto"/>
              </w:rPr>
            </w:pPr>
            <w:r>
              <w:rPr>
                <w:rFonts w:ascii="Arial" w:cs="Arial" w:eastAsia="Arial" w:hAnsi="Arial"/>
                <w:sz w:val="19"/>
                <w:szCs w:val="19"/>
                <w:color w:val="auto"/>
              </w:rPr>
              <w:t>$</w:t>
            </w:r>
          </w:p>
        </w:tc>
        <w:tc>
          <w:tcPr>
            <w:tcW w:w="164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4,827,793</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Revenue Recognition</w:t>
      </w:r>
    </w:p>
    <w:p>
      <w:pPr>
        <w:spacing w:after="0" w:line="10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Oil and natural gas sales are recognized when production is sold to a purchaser at a fixed or determinable price, delivery has occurred, title has transferred, and collectability of the revenue is probable. Delivery occurs and title is transferred when production has been delivered to a pipeline, railcar or truck. The sales method of accounting is used for oil and natural gas sales such that revenues are recognized based on the Company’s share of actual proceeds from the oil and natural gas sold to purchasers. Oil and natural gas imbalances are generated on properties for which two or more owners have the right to take production “in-kind” and, in doing so take more or less than their respective entitled percentage. As of September 30, 2020, there were no significant oil and natural gas imbalances.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Income Taxes</w:t>
      </w:r>
    </w:p>
    <w:p>
      <w:pPr>
        <w:spacing w:after="0" w:line="106"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RAM, Fayette and Service are disregarded subsidiaries of Holdings. As Holdings has elected to be classified as a corporation, a tax provision has been calculated for the year ended September 30, 2020.</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benefit for income taxes differs from the amount computed by applying the statutory federal income tax rate to loss before provision for income taxes. For the year ended September 30, 2020, the Company had a benefit for income taxes of $12.5 million, which was completely offset by a valuation allowance. The significant differences between pre-tax book income and taxable book income relate to non-deductible expenses, state income taxes, change in valuation allowance, and other adjustments to deferred tax balances.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748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080" w:type="dxa"/>
            <w:vAlign w:val="bottom"/>
            <w:gridSpan w:val="2"/>
          </w:tcPr>
          <w:p>
            <w:pPr>
              <w:spacing w:after="0"/>
              <w:rPr>
                <w:sz w:val="20"/>
                <w:szCs w:val="20"/>
                <w:color w:val="auto"/>
              </w:rPr>
            </w:pPr>
            <w:r>
              <w:rPr>
                <w:rFonts w:ascii="Arial" w:cs="Arial" w:eastAsia="Arial" w:hAnsi="Arial"/>
                <w:sz w:val="19"/>
                <w:szCs w:val="19"/>
                <w:color w:val="auto"/>
              </w:rPr>
              <w:t>The sources and tax effects of the differences are as follows:</w:t>
            </w:r>
          </w:p>
        </w:tc>
        <w:tc>
          <w:tcPr>
            <w:tcW w:w="19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50"/>
        </w:trPr>
        <w:tc>
          <w:tcPr>
            <w:tcW w:w="440" w:type="dxa"/>
            <w:vAlign w:val="bottom"/>
          </w:tcPr>
          <w:p>
            <w:pPr>
              <w:spacing w:after="0"/>
              <w:rPr>
                <w:sz w:val="24"/>
                <w:szCs w:val="24"/>
                <w:color w:val="auto"/>
              </w:rPr>
            </w:pPr>
          </w:p>
        </w:tc>
        <w:tc>
          <w:tcPr>
            <w:tcW w:w="56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i w:val="1"/>
                <w:iCs w:val="1"/>
                <w:color w:val="auto"/>
              </w:rPr>
              <w:t>Year Ended September 30,</w:t>
            </w:r>
          </w:p>
        </w:tc>
        <w:tc>
          <w:tcPr>
            <w:tcW w:w="19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766"/>
              <w:spacing w:after="0"/>
              <w:rPr>
                <w:sz w:val="20"/>
                <w:szCs w:val="20"/>
                <w:color w:val="auto"/>
              </w:rPr>
            </w:pPr>
            <w:r>
              <w:rPr>
                <w:rFonts w:ascii="Arial" w:cs="Arial" w:eastAsia="Arial" w:hAnsi="Arial"/>
                <w:sz w:val="19"/>
                <w:szCs w:val="19"/>
                <w:b w:val="1"/>
                <w:bCs w:val="1"/>
                <w:color w:val="auto"/>
              </w:rPr>
              <w:t>2020</w:t>
            </w:r>
          </w:p>
        </w:tc>
      </w:tr>
      <w:tr>
        <w:trPr>
          <w:trHeight w:val="356"/>
        </w:trPr>
        <w:tc>
          <w:tcPr>
            <w:tcW w:w="440" w:type="dxa"/>
            <w:vAlign w:val="bottom"/>
          </w:tcPr>
          <w:p>
            <w:pPr>
              <w:spacing w:after="0"/>
              <w:rPr>
                <w:sz w:val="24"/>
                <w:szCs w:val="24"/>
                <w:color w:val="auto"/>
              </w:rPr>
            </w:pPr>
          </w:p>
        </w:tc>
        <w:tc>
          <w:tcPr>
            <w:tcW w:w="5640" w:type="dxa"/>
            <w:vAlign w:val="bottom"/>
          </w:tcPr>
          <w:p>
            <w:pPr>
              <w:spacing w:after="0"/>
              <w:rPr>
                <w:sz w:val="20"/>
                <w:szCs w:val="20"/>
                <w:color w:val="auto"/>
              </w:rPr>
            </w:pPr>
            <w:r>
              <w:rPr>
                <w:rFonts w:ascii="Arial" w:cs="Arial" w:eastAsia="Arial" w:hAnsi="Arial"/>
                <w:sz w:val="19"/>
                <w:szCs w:val="19"/>
                <w:color w:val="auto"/>
              </w:rPr>
              <w:t>Income tax benefit at the federal statutory rate (21%)</w:t>
            </w:r>
          </w:p>
        </w:tc>
        <w:tc>
          <w:tcPr>
            <w:tcW w:w="1920" w:type="dxa"/>
            <w:vAlign w:val="bottom"/>
          </w:tcPr>
          <w:p>
            <w:pPr>
              <w:jc w:val="right"/>
              <w:ind w:right="246"/>
              <w:spacing w:after="0"/>
              <w:rPr>
                <w:sz w:val="20"/>
                <w:szCs w:val="20"/>
                <w:color w:val="auto"/>
              </w:rPr>
            </w:pPr>
            <w:r>
              <w:rPr>
                <w:rFonts w:ascii="Arial" w:cs="Arial" w:eastAsia="Arial" w:hAnsi="Arial"/>
                <w:sz w:val="19"/>
                <w:szCs w:val="19"/>
                <w:color w:val="auto"/>
              </w:rPr>
              <w:t>$</w:t>
            </w:r>
          </w:p>
        </w:tc>
        <w:tc>
          <w:tcPr>
            <w:tcW w:w="1560" w:type="dxa"/>
            <w:vAlign w:val="bottom"/>
          </w:tcPr>
          <w:p>
            <w:pPr>
              <w:jc w:val="right"/>
              <w:spacing w:after="0"/>
              <w:rPr>
                <w:sz w:val="20"/>
                <w:szCs w:val="20"/>
                <w:color w:val="auto"/>
              </w:rPr>
            </w:pPr>
            <w:r>
              <w:rPr>
                <w:rFonts w:ascii="Arial" w:cs="Arial" w:eastAsia="Arial" w:hAnsi="Arial"/>
                <w:sz w:val="19"/>
                <w:szCs w:val="19"/>
                <w:color w:val="auto"/>
              </w:rPr>
              <w:t>(9,519,026)</w:t>
            </w:r>
          </w:p>
        </w:tc>
      </w:tr>
      <w:tr>
        <w:trPr>
          <w:trHeight w:val="229"/>
        </w:trPr>
        <w:tc>
          <w:tcPr>
            <w:tcW w:w="44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9"/>
                <w:szCs w:val="19"/>
                <w:color w:val="auto"/>
              </w:rPr>
              <w:t>Return to provision adjustments</w:t>
            </w:r>
          </w:p>
        </w:tc>
        <w:tc>
          <w:tcPr>
            <w:tcW w:w="19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(1,213,195)</w:t>
            </w:r>
          </w:p>
        </w:tc>
      </w:tr>
      <w:tr>
        <w:trPr>
          <w:trHeight w:val="230"/>
        </w:trPr>
        <w:tc>
          <w:tcPr>
            <w:tcW w:w="44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9"/>
                <w:szCs w:val="19"/>
                <w:color w:val="auto"/>
              </w:rPr>
              <w:t>State income tax expense, net of federal benefit</w:t>
            </w:r>
          </w:p>
        </w:tc>
        <w:tc>
          <w:tcPr>
            <w:tcW w:w="19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(1,793,866)</w:t>
            </w:r>
          </w:p>
        </w:tc>
      </w:tr>
      <w:tr>
        <w:trPr>
          <w:trHeight w:val="229"/>
        </w:trPr>
        <w:tc>
          <w:tcPr>
            <w:tcW w:w="44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9"/>
                <w:szCs w:val="19"/>
                <w:color w:val="auto"/>
              </w:rPr>
              <w:t>Other</w:t>
            </w:r>
          </w:p>
        </w:tc>
        <w:tc>
          <w:tcPr>
            <w:tcW w:w="192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12,671</w:t>
            </w:r>
          </w:p>
        </w:tc>
      </w:tr>
      <w:tr>
        <w:trPr>
          <w:trHeight w:val="245"/>
        </w:trPr>
        <w:tc>
          <w:tcPr>
            <w:tcW w:w="440" w:type="dxa"/>
            <w:vAlign w:val="bottom"/>
          </w:tcPr>
          <w:p>
            <w:pPr>
              <w:spacing w:after="0"/>
              <w:rPr>
                <w:sz w:val="21"/>
                <w:szCs w:val="21"/>
                <w:color w:val="auto"/>
              </w:rPr>
            </w:pPr>
          </w:p>
        </w:tc>
        <w:tc>
          <w:tcPr>
            <w:tcW w:w="56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Change in valuation allowance</w:t>
            </w:r>
          </w:p>
        </w:tc>
        <w:tc>
          <w:tcPr>
            <w:tcW w:w="19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12,513,416</w:t>
            </w:r>
          </w:p>
        </w:tc>
      </w:tr>
      <w:tr>
        <w:trPr>
          <w:trHeight w:val="371"/>
        </w:trPr>
        <w:tc>
          <w:tcPr>
            <w:tcW w:w="440" w:type="dxa"/>
            <w:vAlign w:val="bottom"/>
          </w:tcPr>
          <w:p>
            <w:pPr>
              <w:spacing w:after="0"/>
              <w:rPr>
                <w:sz w:val="24"/>
                <w:szCs w:val="24"/>
                <w:color w:val="auto"/>
              </w:rPr>
            </w:pPr>
          </w:p>
        </w:tc>
        <w:tc>
          <w:tcPr>
            <w:tcW w:w="56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Income tax benefit</w:t>
            </w:r>
          </w:p>
        </w:tc>
        <w:tc>
          <w:tcPr>
            <w:tcW w:w="1920" w:type="dxa"/>
            <w:vAlign w:val="bottom"/>
            <w:tcBorders>
              <w:bottom w:val="single" w:sz="8" w:color="auto"/>
            </w:tcBorders>
          </w:tcPr>
          <w:p>
            <w:pPr>
              <w:jc w:val="right"/>
              <w:ind w:right="246"/>
              <w:spacing w:after="0"/>
              <w:rPr>
                <w:sz w:val="20"/>
                <w:szCs w:val="20"/>
                <w:color w:val="auto"/>
              </w:rPr>
            </w:pPr>
            <w:r>
              <w:rPr>
                <w:rFonts w:ascii="Arial" w:cs="Arial" w:eastAsia="Arial" w:hAnsi="Arial"/>
                <w:sz w:val="19"/>
                <w:szCs w:val="19"/>
                <w:color w:val="auto"/>
              </w:rPr>
              <w:t>$</w:t>
            </w: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w:t>
            </w:r>
          </w:p>
        </w:tc>
      </w:tr>
    </w:tbl>
    <w:p>
      <w:pPr>
        <w:spacing w:after="0" w:line="19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Company’s income tax provision was computed based on the federal statutory rate and the average state statutory rates, net of the related federal benefit. Deferred income taxes reflect the net tax effects of temporary differences between the carrying amounts of assets and liabilities for financial reporting purposes and the amounts used for income tax purposes.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220" w:type="dxa"/>
            <w:vAlign w:val="bottom"/>
            <w:gridSpan w:val="2"/>
          </w:tcPr>
          <w:p>
            <w:pPr>
              <w:spacing w:after="0"/>
              <w:rPr>
                <w:sz w:val="20"/>
                <w:szCs w:val="20"/>
                <w:color w:val="auto"/>
              </w:rPr>
            </w:pPr>
            <w:r>
              <w:rPr>
                <w:rFonts w:ascii="Arial" w:cs="Arial" w:eastAsia="Arial" w:hAnsi="Arial"/>
                <w:sz w:val="19"/>
                <w:szCs w:val="19"/>
                <w:color w:val="auto"/>
                <w:w w:val="95"/>
              </w:rPr>
              <w:t>Significant components of the Company’s deferred tax assets and liabilities are as follows:</w:t>
            </w:r>
          </w:p>
        </w:tc>
        <w:tc>
          <w:tcPr>
            <w:tcW w:w="7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50"/>
        </w:trPr>
        <w:tc>
          <w:tcPr>
            <w:tcW w:w="440" w:type="dxa"/>
            <w:vAlign w:val="bottom"/>
          </w:tcPr>
          <w:p>
            <w:pPr>
              <w:spacing w:after="0"/>
              <w:rPr>
                <w:sz w:val="24"/>
                <w:szCs w:val="24"/>
                <w:color w:val="auto"/>
              </w:rPr>
            </w:pPr>
          </w:p>
        </w:tc>
        <w:tc>
          <w:tcPr>
            <w:tcW w:w="678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i w:val="1"/>
                <w:iCs w:val="1"/>
                <w:color w:val="auto"/>
              </w:rPr>
              <w:t>September 30,</w:t>
            </w:r>
          </w:p>
        </w:tc>
        <w:tc>
          <w:tcPr>
            <w:tcW w:w="7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766"/>
              <w:spacing w:after="0"/>
              <w:rPr>
                <w:sz w:val="20"/>
                <w:szCs w:val="20"/>
                <w:color w:val="auto"/>
              </w:rPr>
            </w:pPr>
            <w:r>
              <w:rPr>
                <w:rFonts w:ascii="Arial" w:cs="Arial" w:eastAsia="Arial" w:hAnsi="Arial"/>
                <w:sz w:val="19"/>
                <w:szCs w:val="19"/>
                <w:b w:val="1"/>
                <w:bCs w:val="1"/>
                <w:color w:val="auto"/>
              </w:rPr>
              <w:t>2020</w:t>
            </w:r>
          </w:p>
        </w:tc>
      </w:tr>
      <w:tr>
        <w:trPr>
          <w:trHeight w:val="356"/>
        </w:trPr>
        <w:tc>
          <w:tcPr>
            <w:tcW w:w="44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19"/>
                <w:szCs w:val="19"/>
                <w:color w:val="auto"/>
              </w:rPr>
              <w:t>Depreciable/depletable property, plant and equipment</w:t>
            </w:r>
          </w:p>
        </w:tc>
        <w:tc>
          <w:tcPr>
            <w:tcW w:w="780" w:type="dxa"/>
            <w:vAlign w:val="bottom"/>
          </w:tcPr>
          <w:p>
            <w:pPr>
              <w:jc w:val="right"/>
              <w:ind w:right="226"/>
              <w:spacing w:after="0"/>
              <w:rPr>
                <w:sz w:val="20"/>
                <w:szCs w:val="20"/>
                <w:color w:val="auto"/>
              </w:rPr>
            </w:pPr>
            <w:r>
              <w:rPr>
                <w:rFonts w:ascii="Arial" w:cs="Arial" w:eastAsia="Arial" w:hAnsi="Arial"/>
                <w:sz w:val="19"/>
                <w:szCs w:val="19"/>
                <w:color w:val="auto"/>
              </w:rPr>
              <w:t>$</w:t>
            </w: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15,471,467</w:t>
            </w:r>
          </w:p>
        </w:tc>
      </w:tr>
      <w:tr>
        <w:trPr>
          <w:trHeight w:val="229"/>
        </w:trPr>
        <w:tc>
          <w:tcPr>
            <w:tcW w:w="44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9"/>
                <w:szCs w:val="19"/>
                <w:color w:val="auto"/>
              </w:rPr>
              <w:t>Asset retirement obligation</w:t>
            </w:r>
          </w:p>
        </w:tc>
        <w:tc>
          <w:tcPr>
            <w:tcW w:w="78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1,181,556</w:t>
            </w:r>
          </w:p>
        </w:tc>
      </w:tr>
      <w:tr>
        <w:trPr>
          <w:trHeight w:val="230"/>
        </w:trPr>
        <w:tc>
          <w:tcPr>
            <w:tcW w:w="44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9"/>
                <w:szCs w:val="19"/>
                <w:color w:val="auto"/>
              </w:rPr>
              <w:t>Derivative assets</w:t>
            </w:r>
          </w:p>
        </w:tc>
        <w:tc>
          <w:tcPr>
            <w:tcW w:w="78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606,481</w:t>
            </w:r>
          </w:p>
        </w:tc>
      </w:tr>
      <w:tr>
        <w:trPr>
          <w:trHeight w:val="229"/>
        </w:trPr>
        <w:tc>
          <w:tcPr>
            <w:tcW w:w="44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9"/>
                <w:szCs w:val="19"/>
                <w:color w:val="auto"/>
              </w:rPr>
              <w:t>Reserves and other</w:t>
            </w:r>
          </w:p>
        </w:tc>
        <w:tc>
          <w:tcPr>
            <w:tcW w:w="78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22,473</w:t>
            </w:r>
          </w:p>
        </w:tc>
      </w:tr>
      <w:tr>
        <w:trPr>
          <w:trHeight w:val="238"/>
        </w:trPr>
        <w:tc>
          <w:tcPr>
            <w:tcW w:w="440" w:type="dxa"/>
            <w:vAlign w:val="bottom"/>
          </w:tcPr>
          <w:p>
            <w:pPr>
              <w:spacing w:after="0"/>
              <w:rPr>
                <w:sz w:val="20"/>
                <w:szCs w:val="20"/>
                <w:color w:val="auto"/>
              </w:rPr>
            </w:pPr>
          </w:p>
        </w:tc>
        <w:tc>
          <w:tcPr>
            <w:tcW w:w="67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Net operating loss carryforward</w:t>
            </w:r>
          </w:p>
        </w:tc>
        <w:tc>
          <w:tcPr>
            <w:tcW w:w="7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18,072,194</w:t>
            </w:r>
          </w:p>
        </w:tc>
      </w:tr>
      <w:tr>
        <w:trPr>
          <w:trHeight w:val="214"/>
        </w:trPr>
        <w:tc>
          <w:tcPr>
            <w:tcW w:w="440" w:type="dxa"/>
            <w:vAlign w:val="bottom"/>
          </w:tcPr>
          <w:p>
            <w:pPr>
              <w:spacing w:after="0"/>
              <w:rPr>
                <w:sz w:val="18"/>
                <w:szCs w:val="18"/>
                <w:color w:val="auto"/>
              </w:rPr>
            </w:pPr>
          </w:p>
        </w:tc>
        <w:tc>
          <w:tcPr>
            <w:tcW w:w="6780" w:type="dxa"/>
            <w:vAlign w:val="bottom"/>
          </w:tcPr>
          <w:p>
            <w:pPr>
              <w:spacing w:after="0" w:line="214" w:lineRule="exact"/>
              <w:rPr>
                <w:sz w:val="20"/>
                <w:szCs w:val="20"/>
                <w:color w:val="auto"/>
              </w:rPr>
            </w:pPr>
            <w:r>
              <w:rPr>
                <w:rFonts w:ascii="Arial" w:cs="Arial" w:eastAsia="Arial" w:hAnsi="Arial"/>
                <w:sz w:val="19"/>
                <w:szCs w:val="19"/>
                <w:color w:val="auto"/>
              </w:rPr>
              <w:t>Total noncurrent deferred tax assets</w:t>
            </w:r>
          </w:p>
        </w:tc>
        <w:tc>
          <w:tcPr>
            <w:tcW w:w="780" w:type="dxa"/>
            <w:vAlign w:val="bottom"/>
          </w:tcPr>
          <w:p>
            <w:pPr>
              <w:spacing w:after="0"/>
              <w:rPr>
                <w:sz w:val="18"/>
                <w:szCs w:val="18"/>
                <w:color w:val="auto"/>
              </w:rPr>
            </w:pPr>
          </w:p>
        </w:tc>
        <w:tc>
          <w:tcPr>
            <w:tcW w:w="1560" w:type="dxa"/>
            <w:vAlign w:val="bottom"/>
          </w:tcPr>
          <w:p>
            <w:pPr>
              <w:jc w:val="right"/>
              <w:ind w:right="26"/>
              <w:spacing w:after="0" w:line="214" w:lineRule="exact"/>
              <w:rPr>
                <w:sz w:val="20"/>
                <w:szCs w:val="20"/>
                <w:color w:val="auto"/>
              </w:rPr>
            </w:pPr>
            <w:r>
              <w:rPr>
                <w:rFonts w:ascii="Arial" w:cs="Arial" w:eastAsia="Arial" w:hAnsi="Arial"/>
                <w:sz w:val="19"/>
                <w:szCs w:val="19"/>
                <w:color w:val="auto"/>
              </w:rPr>
              <w:t>35,354,171</w:t>
            </w:r>
          </w:p>
        </w:tc>
      </w:tr>
      <w:tr>
        <w:trPr>
          <w:trHeight w:val="238"/>
        </w:trPr>
        <w:tc>
          <w:tcPr>
            <w:tcW w:w="440" w:type="dxa"/>
            <w:vAlign w:val="bottom"/>
          </w:tcPr>
          <w:p>
            <w:pPr>
              <w:spacing w:after="0"/>
              <w:rPr>
                <w:sz w:val="20"/>
                <w:szCs w:val="20"/>
                <w:color w:val="auto"/>
              </w:rPr>
            </w:pPr>
          </w:p>
        </w:tc>
        <w:tc>
          <w:tcPr>
            <w:tcW w:w="67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Valuation allowance</w:t>
            </w:r>
          </w:p>
        </w:tc>
        <w:tc>
          <w:tcPr>
            <w:tcW w:w="7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(35,354,171)</w:t>
            </w:r>
          </w:p>
        </w:tc>
      </w:tr>
      <w:tr>
        <w:trPr>
          <w:trHeight w:val="365"/>
        </w:trPr>
        <w:tc>
          <w:tcPr>
            <w:tcW w:w="440" w:type="dxa"/>
            <w:vAlign w:val="bottom"/>
          </w:tcPr>
          <w:p>
            <w:pPr>
              <w:spacing w:after="0"/>
              <w:rPr>
                <w:sz w:val="24"/>
                <w:szCs w:val="24"/>
                <w:color w:val="auto"/>
              </w:rPr>
            </w:pPr>
          </w:p>
        </w:tc>
        <w:tc>
          <w:tcPr>
            <w:tcW w:w="678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Net noncurrent deferred tax assets</w:t>
            </w:r>
          </w:p>
        </w:tc>
        <w:tc>
          <w:tcPr>
            <w:tcW w:w="780" w:type="dxa"/>
            <w:vAlign w:val="bottom"/>
            <w:tcBorders>
              <w:bottom w:val="single" w:sz="8" w:color="auto"/>
            </w:tcBorders>
          </w:tcPr>
          <w:p>
            <w:pPr>
              <w:jc w:val="right"/>
              <w:ind w:right="226"/>
              <w:spacing w:after="0"/>
              <w:rPr>
                <w:sz w:val="20"/>
                <w:szCs w:val="20"/>
                <w:color w:val="auto"/>
              </w:rPr>
            </w:pPr>
            <w:r>
              <w:rPr>
                <w:rFonts w:ascii="Arial" w:cs="Arial" w:eastAsia="Arial" w:hAnsi="Arial"/>
                <w:sz w:val="19"/>
                <w:szCs w:val="19"/>
                <w:color w:val="auto"/>
              </w:rPr>
              <w:t>$</w:t>
            </w: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w:t>
            </w:r>
          </w:p>
        </w:tc>
      </w:tr>
    </w:tbl>
    <w:p>
      <w:pPr>
        <w:spacing w:after="0" w:line="1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September 30, 2020, the Company has a net operating loss carryforward of approximately $79 million for federal income tax reporting purposes. Of this amount, $31.4 million will begin to expire in 2034 and $47.6 million has an indefinite carryforward period. The 2018 Tax Cuts and Jobs Act changed the rules related to uses and limitations of net operating loss carryforwards created in tax years beginning after December 31, 2017. Based on the history of losses of the predecessor entity and the continued depression of oil and gas prices, the Company concluded it was not more likely than not that the net operating losses would be utilized; accordingly, a valuation allowance was recorded. In addition, the Company has generated a net operating loss carryforward for state income tax purposes, which the Company believes is not more likely than not to be realized during the relevant carryforward periods; however, such amounts have not been separately disclosed in the consolidated financial statements as the Company does not believe that these net operating losses are material to the amounts presented herein.</w:t>
      </w:r>
    </w:p>
    <w:p>
      <w:pPr>
        <w:spacing w:after="0" w:line="165"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A valuation allowance has been established with respect to the portion of the deferred tax asset associated with tax basis in excess of carrying value of the Company’s assets for which the Company currently does not reasonably believe under the deferred tax asset realization criteria set forth in Topic 740 that it will more likely than not realize a benefit in future periods. As of September 30, 2020, the Company recorded a valuation allowance of $35.4 million.</w:t>
      </w:r>
    </w:p>
    <w:p>
      <w:pPr>
        <w:spacing w:after="0" w:line="188" w:lineRule="exact"/>
        <w:rPr>
          <w:sz w:val="20"/>
          <w:szCs w:val="20"/>
          <w:color w:val="auto"/>
        </w:rPr>
      </w:pPr>
    </w:p>
    <w:p>
      <w:pPr>
        <w:jc w:val="both"/>
        <w:ind w:right="20"/>
        <w:spacing w:after="0" w:line="289" w:lineRule="auto"/>
        <w:rPr>
          <w:sz w:val="20"/>
          <w:szCs w:val="20"/>
          <w:color w:val="auto"/>
        </w:rPr>
      </w:pPr>
      <w:r>
        <w:rPr>
          <w:rFonts w:ascii="Arial" w:cs="Arial" w:eastAsia="Arial" w:hAnsi="Arial"/>
          <w:sz w:val="18"/>
          <w:szCs w:val="18"/>
          <w:color w:val="auto"/>
        </w:rPr>
        <w:t>Each income tax position is assessed using a two-step process. A determination is first made as to whether it is more likely than not that the income tax position will be sustained, based upon technical merits, upon examination by the taxing authorities. If the income tax position is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748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45" w:lineRule="exact"/>
        <w:rPr>
          <w:sz w:val="20"/>
          <w:szCs w:val="20"/>
          <w:color w:val="auto"/>
        </w:rPr>
      </w:pPr>
    </w:p>
    <w:p>
      <w:pPr>
        <w:spacing w:after="0" w:line="320" w:lineRule="auto"/>
        <w:rPr>
          <w:sz w:val="20"/>
          <w:szCs w:val="20"/>
          <w:color w:val="auto"/>
        </w:rPr>
      </w:pPr>
      <w:r>
        <w:rPr>
          <w:rFonts w:ascii="Arial" w:cs="Arial" w:eastAsia="Arial" w:hAnsi="Arial"/>
          <w:sz w:val="17"/>
          <w:szCs w:val="17"/>
          <w:color w:val="auto"/>
        </w:rPr>
        <w:t>expected to meet the more likely than not criteria, the benefit recorded in the consolidated financial statements equals the largest amount that is greater than 50 percent likely to be realized upon its ultimate settlement. The Company had no uncertain tax positions as of September 30, 2020.</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color w:val="auto"/>
        </w:rPr>
        <w:t>The Company’s federal and state tax returns from its inception remain subject to examination by the applicable tax authorities.</w:t>
      </w:r>
    </w:p>
    <w:p>
      <w:pPr>
        <w:spacing w:after="0" w:line="208" w:lineRule="exact"/>
        <w:rPr>
          <w:sz w:val="20"/>
          <w:szCs w:val="20"/>
          <w:color w:val="auto"/>
        </w:rPr>
      </w:pPr>
    </w:p>
    <w:p>
      <w:pPr>
        <w:ind w:left="440" w:hanging="432"/>
        <w:spacing w:after="0"/>
        <w:tabs>
          <w:tab w:leader="none" w:pos="440" w:val="left"/>
        </w:tabs>
        <w:numPr>
          <w:ilvl w:val="0"/>
          <w:numId w:val="142"/>
        </w:numPr>
        <w:rPr>
          <w:rFonts w:ascii="Arial" w:cs="Arial" w:eastAsia="Arial" w:hAnsi="Arial"/>
          <w:sz w:val="22"/>
          <w:szCs w:val="22"/>
          <w:b w:val="1"/>
          <w:bCs w:val="1"/>
          <w:color w:val="auto"/>
        </w:rPr>
      </w:pPr>
      <w:r>
        <w:rPr>
          <w:rFonts w:ascii="Arial" w:cs="Arial" w:eastAsia="Arial" w:hAnsi="Arial"/>
          <w:sz w:val="22"/>
          <w:szCs w:val="22"/>
          <w:b w:val="1"/>
          <w:bCs w:val="1"/>
          <w:color w:val="auto"/>
        </w:rPr>
        <w:t>Fair Value Measurements</w:t>
      </w:r>
    </w:p>
    <w:p>
      <w:pPr>
        <w:spacing w:after="0" w:line="103"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There is a three-level valuation hierarchy for disclosure of fair value measurements. The valuation hierarchy categorizes assets and liabilities measured at fair value into one of three different levels depending on the observability of the inputs employed in the measurement. The three levels are defined as follows:</w:t>
      </w:r>
    </w:p>
    <w:p>
      <w:pPr>
        <w:spacing w:after="0" w:line="7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inputs to the valuation methodology are quoted prices (unadjusted) for identical  assets or liabilities in active markets.</w:t>
      </w:r>
    </w:p>
    <w:p>
      <w:pPr>
        <w:spacing w:after="0" w:line="117" w:lineRule="exact"/>
        <w:rPr>
          <w:sz w:val="20"/>
          <w:szCs w:val="20"/>
          <w:color w:val="auto"/>
        </w:rPr>
      </w:pPr>
    </w:p>
    <w:p>
      <w:pPr>
        <w:jc w:val="both"/>
        <w:ind w:left="640" w:right="440"/>
        <w:spacing w:after="0" w:line="252" w:lineRule="auto"/>
        <w:rPr>
          <w:sz w:val="20"/>
          <w:szCs w:val="20"/>
          <w:color w:val="auto"/>
        </w:rPr>
      </w:pPr>
      <w:r>
        <w:rPr>
          <w:rFonts w:ascii="Arial" w:cs="Arial" w:eastAsia="Arial" w:hAnsi="Arial"/>
          <w:sz w:val="19"/>
          <w:szCs w:val="19"/>
          <w:b w:val="1"/>
          <w:bCs w:val="1"/>
          <w:color w:val="auto"/>
        </w:rPr>
        <w:t xml:space="preserve">Level 2 </w:t>
      </w:r>
      <w:r>
        <w:rPr>
          <w:rFonts w:ascii="Arial" w:cs="Arial" w:eastAsia="Arial" w:hAnsi="Arial"/>
          <w:sz w:val="19"/>
          <w:szCs w:val="19"/>
          <w:color w:val="auto"/>
        </w:rPr>
        <w:t>- inputs to the valuation methodology include quoted prices for similar assets and liabilities in active markets, and</w:t>
      </w:r>
      <w:r>
        <w:rPr>
          <w:rFonts w:ascii="Arial" w:cs="Arial" w:eastAsia="Arial" w:hAnsi="Arial"/>
          <w:sz w:val="19"/>
          <w:szCs w:val="19"/>
          <w:b w:val="1"/>
          <w:bCs w:val="1"/>
          <w:color w:val="auto"/>
        </w:rPr>
        <w:t xml:space="preserve"> </w:t>
      </w:r>
      <w:r>
        <w:rPr>
          <w:rFonts w:ascii="Arial" w:cs="Arial" w:eastAsia="Arial" w:hAnsi="Arial"/>
          <w:sz w:val="19"/>
          <w:szCs w:val="19"/>
          <w:color w:val="auto"/>
        </w:rPr>
        <w:t>inputs that are observable for the asset or liability, either directly or indirectly, for substantially the full term of the financial instrument.</w:t>
      </w:r>
    </w:p>
    <w:p>
      <w:pPr>
        <w:spacing w:after="0" w:line="68"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auto"/>
        </w:rPr>
        <w:t xml:space="preserve">Level 3 </w:t>
      </w:r>
      <w:r>
        <w:rPr>
          <w:rFonts w:ascii="Arial" w:cs="Arial" w:eastAsia="Arial" w:hAnsi="Arial"/>
          <w:sz w:val="19"/>
          <w:szCs w:val="19"/>
          <w:color w:val="auto"/>
        </w:rPr>
        <w:t>- inputs to the valuation methodology are unobservable and significant to the fair  value measurement.</w:t>
      </w: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A financial instrument’s categorization within the valuation hierarchy is based upon the lowest level of input that is significant to the fair value measurement. The Company’s assessment of the significance of a particular input to the fair value measurement in its entirety requires judgment and considers factors specific to the asset or liability.</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sets forth the assets and liabilities measured at fair value on a recurring basis, by level, as of September 30, 2020:</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2"/>
          </w:tcPr>
          <w:p>
            <w:pPr>
              <w:jc w:val="right"/>
              <w:ind w:right="66"/>
              <w:spacing w:after="0"/>
              <w:rPr>
                <w:sz w:val="20"/>
                <w:szCs w:val="20"/>
                <w:color w:val="auto"/>
              </w:rPr>
            </w:pPr>
            <w:r>
              <w:rPr>
                <w:rFonts w:ascii="Arial" w:cs="Arial" w:eastAsia="Arial" w:hAnsi="Arial"/>
                <w:sz w:val="19"/>
                <w:szCs w:val="19"/>
                <w:b w:val="1"/>
                <w:bCs w:val="1"/>
                <w:i w:val="1"/>
                <w:iCs w:val="1"/>
                <w:color w:val="auto"/>
                <w:w w:val="92"/>
              </w:rPr>
              <w:t>As of September 30, 2020</w:t>
            </w:r>
          </w:p>
        </w:tc>
        <w:tc>
          <w:tcPr>
            <w:tcW w:w="3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30"/>
        </w:trPr>
        <w:tc>
          <w:tcPr>
            <w:tcW w:w="5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b w:val="1"/>
                <w:bCs w:val="1"/>
                <w:color w:val="auto"/>
              </w:rPr>
              <w:t>Level 1</w:t>
            </w:r>
          </w:p>
        </w:tc>
        <w:tc>
          <w:tcPr>
            <w:tcW w:w="3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66"/>
              <w:spacing w:after="0"/>
              <w:rPr>
                <w:sz w:val="20"/>
                <w:szCs w:val="20"/>
                <w:color w:val="auto"/>
              </w:rPr>
            </w:pPr>
            <w:r>
              <w:rPr>
                <w:rFonts w:ascii="Arial" w:cs="Arial" w:eastAsia="Arial" w:hAnsi="Arial"/>
                <w:sz w:val="19"/>
                <w:szCs w:val="19"/>
                <w:b w:val="1"/>
                <w:bCs w:val="1"/>
                <w:color w:val="auto"/>
              </w:rPr>
              <w:t>Level 2</w:t>
            </w:r>
          </w:p>
        </w:tc>
        <w:tc>
          <w:tcPr>
            <w:tcW w:w="11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b w:val="1"/>
                <w:bCs w:val="1"/>
                <w:color w:val="auto"/>
              </w:rPr>
              <w:t>Level 3</w:t>
            </w:r>
          </w:p>
        </w:tc>
        <w:tc>
          <w:tcPr>
            <w:tcW w:w="3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06"/>
              <w:spacing w:after="0"/>
              <w:rPr>
                <w:sz w:val="20"/>
                <w:szCs w:val="20"/>
                <w:color w:val="auto"/>
              </w:rPr>
            </w:pPr>
            <w:r>
              <w:rPr>
                <w:rFonts w:ascii="Arial" w:cs="Arial" w:eastAsia="Arial" w:hAnsi="Arial"/>
                <w:sz w:val="19"/>
                <w:szCs w:val="19"/>
                <w:b w:val="1"/>
                <w:bCs w:val="1"/>
                <w:color w:val="auto"/>
              </w:rPr>
              <w:t>Total</w:t>
            </w:r>
          </w:p>
        </w:tc>
      </w:tr>
      <w:tr>
        <w:trPr>
          <w:trHeight w:val="466"/>
        </w:trPr>
        <w:tc>
          <w:tcPr>
            <w:tcW w:w="54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Derivative Liability (Commodity Contracts)</w:t>
            </w:r>
          </w:p>
        </w:tc>
        <w:tc>
          <w:tcPr>
            <w:tcW w:w="1000" w:type="dxa"/>
            <w:vAlign w:val="bottom"/>
            <w:tcBorders>
              <w:bottom w:val="single" w:sz="8" w:color="auto"/>
            </w:tcBorders>
          </w:tcPr>
          <w:p>
            <w:pPr>
              <w:jc w:val="right"/>
              <w:ind w:right="806"/>
              <w:spacing w:after="0"/>
              <w:rPr>
                <w:sz w:val="20"/>
                <w:szCs w:val="20"/>
                <w:color w:val="auto"/>
              </w:rPr>
            </w:pPr>
            <w:r>
              <w:rPr>
                <w:rFonts w:ascii="Arial" w:cs="Arial" w:eastAsia="Arial" w:hAnsi="Arial"/>
                <w:sz w:val="19"/>
                <w:szCs w:val="19"/>
                <w:color w:val="auto"/>
                <w:w w:val="75"/>
              </w:rPr>
              <w:t>$</w:t>
            </w:r>
          </w:p>
        </w:tc>
        <w:tc>
          <w:tcPr>
            <w:tcW w:w="340" w:type="dxa"/>
            <w:vAlign w:val="bottom"/>
            <w:tcBorders>
              <w:bottom w:val="single" w:sz="8" w:color="auto"/>
            </w:tcBorders>
          </w:tcPr>
          <w:p>
            <w:pPr>
              <w:jc w:val="right"/>
              <w:ind w:right="66"/>
              <w:spacing w:after="0"/>
              <w:rPr>
                <w:sz w:val="20"/>
                <w:szCs w:val="20"/>
                <w:color w:val="auto"/>
              </w:rPr>
            </w:pPr>
            <w:r>
              <w:rPr>
                <w:rFonts w:ascii="Arial" w:cs="Arial" w:eastAsia="Arial" w:hAnsi="Arial"/>
                <w:sz w:val="19"/>
                <w:szCs w:val="19"/>
                <w:color w:val="auto"/>
              </w:rPr>
              <w:t>-</w:t>
            </w:r>
          </w:p>
        </w:tc>
        <w:tc>
          <w:tcPr>
            <w:tcW w:w="34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w:t>
            </w:r>
          </w:p>
        </w:tc>
        <w:tc>
          <w:tcPr>
            <w:tcW w:w="1140" w:type="dxa"/>
            <w:vAlign w:val="bottom"/>
            <w:tcBorders>
              <w:bottom w:val="single" w:sz="8" w:color="auto"/>
            </w:tcBorders>
          </w:tcPr>
          <w:p>
            <w:pPr>
              <w:jc w:val="right"/>
              <w:ind w:right="66"/>
              <w:spacing w:after="0"/>
              <w:rPr>
                <w:sz w:val="20"/>
                <w:szCs w:val="20"/>
                <w:color w:val="auto"/>
              </w:rPr>
            </w:pPr>
            <w:r>
              <w:rPr>
                <w:rFonts w:ascii="Arial" w:cs="Arial" w:eastAsia="Arial" w:hAnsi="Arial"/>
                <w:sz w:val="19"/>
                <w:szCs w:val="19"/>
                <w:color w:val="auto"/>
              </w:rPr>
              <w:t>537,157</w:t>
            </w:r>
          </w:p>
        </w:tc>
        <w:tc>
          <w:tcPr>
            <w:tcW w:w="1160" w:type="dxa"/>
            <w:vAlign w:val="bottom"/>
            <w:tcBorders>
              <w:bottom w:val="single" w:sz="8" w:color="auto"/>
            </w:tcBorders>
          </w:tcPr>
          <w:p>
            <w:pPr>
              <w:jc w:val="right"/>
              <w:ind w:right="826"/>
              <w:spacing w:after="0"/>
              <w:rPr>
                <w:sz w:val="20"/>
                <w:szCs w:val="20"/>
                <w:color w:val="auto"/>
              </w:rPr>
            </w:pPr>
            <w:r>
              <w:rPr>
                <w:rFonts w:ascii="Arial" w:cs="Arial" w:eastAsia="Arial" w:hAnsi="Arial"/>
                <w:sz w:val="19"/>
                <w:szCs w:val="19"/>
                <w:color w:val="auto"/>
              </w:rPr>
              <w:t>$</w:t>
            </w:r>
          </w:p>
        </w:tc>
        <w:tc>
          <w:tcPr>
            <w:tcW w:w="32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w:t>
            </w:r>
          </w:p>
        </w:tc>
        <w:tc>
          <w:tcPr>
            <w:tcW w:w="400" w:type="dxa"/>
            <w:vAlign w:val="bottom"/>
            <w:tcBorders>
              <w:bottom w:val="single" w:sz="8" w:color="auto"/>
            </w:tcBorders>
          </w:tcPr>
          <w:p>
            <w:pPr>
              <w:jc w:val="right"/>
              <w:ind w:right="66"/>
              <w:spacing w:after="0"/>
              <w:rPr>
                <w:sz w:val="20"/>
                <w:szCs w:val="20"/>
                <w:color w:val="auto"/>
              </w:rPr>
            </w:pPr>
            <w:r>
              <w:rPr>
                <w:rFonts w:ascii="Arial" w:cs="Arial" w:eastAsia="Arial" w:hAnsi="Arial"/>
                <w:sz w:val="19"/>
                <w:szCs w:val="19"/>
                <w:color w:val="auto"/>
              </w:rPr>
              <w:t>$</w:t>
            </w:r>
          </w:p>
        </w:tc>
        <w:tc>
          <w:tcPr>
            <w:tcW w:w="10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537,157</w:t>
            </w:r>
          </w:p>
        </w:tc>
      </w:tr>
    </w:tbl>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estimates the fair value of its derivative instruments based on published forward commodity price curves as of the date of the estimate, less discounts to recognize present values. The Company estimated the fair value of its derivatives using a pricing model which also considered market volatility, counterparty credit risk and additional criteria in determining discount rates. The discount rate used in the discounted cash flow projections was based on published LIBOR rates, Eurodollar futures rates and interest swap rates. The counterparty credit risk was determined by calculating the difference between the derivative counterparty’s bond rate and published bond rates. A credit valuation adjustment (“CVA”) for the Company is incorporated into the derivative valuation when the overall derivative position with a counterparty is in a liability position. A CVA is calculated based on the spread between the Company’s credit curve and a risk-free rate.</w:t>
      </w:r>
    </w:p>
    <w:p>
      <w:pPr>
        <w:spacing w:after="0" w:line="183" w:lineRule="exact"/>
        <w:rPr>
          <w:sz w:val="20"/>
          <w:szCs w:val="20"/>
          <w:color w:val="auto"/>
        </w:rPr>
      </w:pPr>
    </w:p>
    <w:p>
      <w:pPr>
        <w:jc w:val="both"/>
        <w:spacing w:after="0" w:line="320" w:lineRule="auto"/>
        <w:rPr>
          <w:sz w:val="20"/>
          <w:szCs w:val="20"/>
          <w:color w:val="auto"/>
        </w:rPr>
      </w:pPr>
      <w:r>
        <w:rPr>
          <w:rFonts w:ascii="Arial" w:cs="Arial" w:eastAsia="Arial" w:hAnsi="Arial"/>
          <w:sz w:val="17"/>
          <w:szCs w:val="17"/>
          <w:color w:val="auto"/>
        </w:rPr>
        <w:t>At September 30, 2020, the carrying value of cash, restricted cash, receivables and payables reflected in the Company’s consolidated financial statements approximates fair value due to their short-term nature. The fair value of the Main Street Lending Program Loan approximates fair value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748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due to the interest rate being reflective of market rates and the Paycheck Protection Program Loan is not material.</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non-financial assets and liabilities, which are initially measured at fair value, are comprised primarily of asset retirement obligations. These liabilities are recorded at fair value when acquired/incurred, but not re-measured at fair value in subsequent periods. The Company classifies such initial measurements as Level 3, since certain significant unobservable inputs are utilized in their determination. The fair value of additions to the asset retirement obligations and certain changes in the estimated fair value of the liabilities are measured using valuation techniques consistent with the income approach, converting future cash flows to a single discounted amount. Inputs to the valuation include: (1) estimated plug and abandonment cost based on a third-party study; (2) estimated remaining life of each field; (3) the Company’s credit-adjusted risk-free interest rate of 3.24%; and (4) the average inflation factor of 1.80%. These inputs require significant judgments and estimates by the Company’s management at the time of the valuation, and are the most sensitive and subject to change.</w:t>
      </w:r>
    </w:p>
    <w:p>
      <w:pPr>
        <w:spacing w:after="0" w:line="180" w:lineRule="exact"/>
        <w:rPr>
          <w:sz w:val="20"/>
          <w:szCs w:val="20"/>
          <w:color w:val="auto"/>
        </w:rPr>
      </w:pPr>
    </w:p>
    <w:p>
      <w:pPr>
        <w:ind w:left="440" w:hanging="432"/>
        <w:spacing w:after="0"/>
        <w:tabs>
          <w:tab w:leader="none" w:pos="440" w:val="left"/>
        </w:tabs>
        <w:numPr>
          <w:ilvl w:val="0"/>
          <w:numId w:val="143"/>
        </w:numPr>
        <w:rPr>
          <w:rFonts w:ascii="Arial" w:cs="Arial" w:eastAsia="Arial" w:hAnsi="Arial"/>
          <w:sz w:val="22"/>
          <w:szCs w:val="22"/>
          <w:b w:val="1"/>
          <w:bCs w:val="1"/>
          <w:color w:val="auto"/>
        </w:rPr>
      </w:pPr>
      <w:r>
        <w:rPr>
          <w:rFonts w:ascii="Arial" w:cs="Arial" w:eastAsia="Arial" w:hAnsi="Arial"/>
          <w:sz w:val="22"/>
          <w:szCs w:val="22"/>
          <w:b w:val="1"/>
          <w:bCs w:val="1"/>
          <w:color w:val="auto"/>
        </w:rPr>
        <w:t>Derivative Contracts</w:t>
      </w:r>
    </w:p>
    <w:p>
      <w:pPr>
        <w:spacing w:after="0" w:line="103" w:lineRule="exact"/>
        <w:rPr>
          <w:sz w:val="20"/>
          <w:szCs w:val="20"/>
          <w:color w:val="auto"/>
        </w:rPr>
      </w:pPr>
    </w:p>
    <w:p>
      <w:pPr>
        <w:jc w:val="both"/>
        <w:ind w:right="20"/>
        <w:spacing w:after="0" w:line="261" w:lineRule="auto"/>
        <w:rPr>
          <w:sz w:val="20"/>
          <w:szCs w:val="20"/>
          <w:color w:val="auto"/>
        </w:rPr>
      </w:pPr>
      <w:r>
        <w:rPr>
          <w:rFonts w:ascii="Arial" w:cs="Arial" w:eastAsia="Arial" w:hAnsi="Arial"/>
          <w:sz w:val="19"/>
          <w:szCs w:val="19"/>
          <w:color w:val="auto"/>
        </w:rPr>
        <w:t>The Company periodically utilizes various hedging strategies to manage the price received for a portion of its future oil and natural gas production to reduce exposure to fluctuations in oil and natural gas prices and to achieve a more predictable cash flow.</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During 2020, the Company entered into certain derivative contracts to manage the impact of oil and natural gas price fluctuations and as required by the terms of its credit facility. The Company did not designate these transactions as hedges. Accordingly, all gains and losses on the derivative instruments during 2020 have been recorded in the consolidated statement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The Company’s derivative position at September 30, 2020, consisting of swaps, is shown in the following table: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4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ind w:left="380"/>
              <w:spacing w:after="0" w:line="214" w:lineRule="exact"/>
              <w:rPr>
                <w:sz w:val="20"/>
                <w:szCs w:val="20"/>
                <w:color w:val="auto"/>
              </w:rPr>
            </w:pPr>
            <w:r>
              <w:rPr>
                <w:rFonts w:ascii="Arial" w:cs="Arial" w:eastAsia="Arial" w:hAnsi="Arial"/>
                <w:sz w:val="19"/>
                <w:szCs w:val="19"/>
                <w:b w:val="1"/>
                <w:bCs w:val="1"/>
                <w:color w:val="auto"/>
              </w:rPr>
              <w:t>Notional</w:t>
            </w:r>
          </w:p>
        </w:tc>
        <w:tc>
          <w:tcPr>
            <w:tcW w:w="12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center"/>
              <w:ind w:right="226"/>
              <w:spacing w:after="0" w:line="214" w:lineRule="exact"/>
              <w:rPr>
                <w:sz w:val="20"/>
                <w:szCs w:val="20"/>
                <w:color w:val="auto"/>
              </w:rPr>
            </w:pPr>
            <w:r>
              <w:rPr>
                <w:rFonts w:ascii="Arial" w:cs="Arial" w:eastAsia="Arial" w:hAnsi="Arial"/>
                <w:sz w:val="19"/>
                <w:szCs w:val="19"/>
                <w:b w:val="1"/>
                <w:bCs w:val="1"/>
                <w:color w:val="auto"/>
                <w:w w:val="87"/>
              </w:rPr>
              <w:t>Average</w:t>
            </w:r>
          </w:p>
        </w:tc>
      </w:tr>
      <w:tr>
        <w:trPr>
          <w:trHeight w:val="251"/>
        </w:trPr>
        <w:tc>
          <w:tcPr>
            <w:tcW w:w="144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506"/>
              <w:spacing w:after="0"/>
              <w:rPr>
                <w:sz w:val="20"/>
                <w:szCs w:val="20"/>
                <w:color w:val="auto"/>
              </w:rPr>
            </w:pPr>
            <w:r>
              <w:rPr>
                <w:rFonts w:ascii="Arial" w:cs="Arial" w:eastAsia="Arial" w:hAnsi="Arial"/>
                <w:sz w:val="19"/>
                <w:szCs w:val="19"/>
                <w:b w:val="1"/>
                <w:bCs w:val="1"/>
                <w:color w:val="auto"/>
              </w:rPr>
              <w:t>Start Date</w:t>
            </w:r>
          </w:p>
        </w:tc>
        <w:tc>
          <w:tcPr>
            <w:tcW w:w="1440" w:type="dxa"/>
            <w:vAlign w:val="bottom"/>
            <w:tcBorders>
              <w:bottom w:val="single" w:sz="8" w:color="auto"/>
            </w:tcBorders>
          </w:tcPr>
          <w:p>
            <w:pPr>
              <w:jc w:val="right"/>
              <w:ind w:right="366"/>
              <w:spacing w:after="0"/>
              <w:rPr>
                <w:sz w:val="20"/>
                <w:szCs w:val="20"/>
                <w:color w:val="auto"/>
              </w:rPr>
            </w:pPr>
            <w:r>
              <w:rPr>
                <w:rFonts w:ascii="Arial" w:cs="Arial" w:eastAsia="Arial" w:hAnsi="Arial"/>
                <w:sz w:val="19"/>
                <w:szCs w:val="19"/>
                <w:b w:val="1"/>
                <w:bCs w:val="1"/>
                <w:color w:val="auto"/>
              </w:rPr>
              <w:t>End Date</w:t>
            </w:r>
          </w:p>
        </w:tc>
        <w:tc>
          <w:tcPr>
            <w:tcW w:w="1580" w:type="dxa"/>
            <w:vAlign w:val="bottom"/>
            <w:tcBorders>
              <w:bottom w:val="single" w:sz="8" w:color="auto"/>
            </w:tcBorders>
          </w:tcPr>
          <w:p>
            <w:pPr>
              <w:ind w:left="280"/>
              <w:spacing w:after="0"/>
              <w:rPr>
                <w:sz w:val="20"/>
                <w:szCs w:val="20"/>
                <w:color w:val="auto"/>
              </w:rPr>
            </w:pPr>
            <w:r>
              <w:rPr>
                <w:rFonts w:ascii="Arial" w:cs="Arial" w:eastAsia="Arial" w:hAnsi="Arial"/>
                <w:sz w:val="19"/>
                <w:szCs w:val="19"/>
                <w:b w:val="1"/>
                <w:bCs w:val="1"/>
                <w:color w:val="auto"/>
              </w:rPr>
              <w:t>Commodity</w:t>
            </w:r>
          </w:p>
        </w:tc>
        <w:tc>
          <w:tcPr>
            <w:tcW w:w="1740" w:type="dxa"/>
            <w:vAlign w:val="bottom"/>
            <w:tcBorders>
              <w:bottom w:val="single" w:sz="8" w:color="auto"/>
            </w:tcBorders>
          </w:tcPr>
          <w:p>
            <w:pPr>
              <w:ind w:left="360"/>
              <w:spacing w:after="0"/>
              <w:rPr>
                <w:sz w:val="20"/>
                <w:szCs w:val="20"/>
                <w:color w:val="auto"/>
              </w:rPr>
            </w:pPr>
            <w:r>
              <w:rPr>
                <w:rFonts w:ascii="Arial" w:cs="Arial" w:eastAsia="Arial" w:hAnsi="Arial"/>
                <w:sz w:val="19"/>
                <w:szCs w:val="19"/>
                <w:b w:val="1"/>
                <w:bCs w:val="1"/>
                <w:color w:val="auto"/>
              </w:rPr>
              <w:t>Quantity</w:t>
            </w:r>
          </w:p>
        </w:tc>
        <w:tc>
          <w:tcPr>
            <w:tcW w:w="12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206"/>
              <w:spacing w:after="0"/>
              <w:rPr>
                <w:sz w:val="20"/>
                <w:szCs w:val="20"/>
                <w:color w:val="auto"/>
              </w:rPr>
            </w:pPr>
            <w:r>
              <w:rPr>
                <w:rFonts w:ascii="Arial" w:cs="Arial" w:eastAsia="Arial" w:hAnsi="Arial"/>
                <w:sz w:val="19"/>
                <w:szCs w:val="19"/>
                <w:b w:val="1"/>
                <w:bCs w:val="1"/>
                <w:color w:val="auto"/>
                <w:w w:val="91"/>
              </w:rPr>
              <w:t>Strike Price</w:t>
            </w:r>
          </w:p>
        </w:tc>
      </w:tr>
      <w:tr>
        <w:trPr>
          <w:trHeight w:val="372"/>
        </w:trPr>
        <w:tc>
          <w:tcPr>
            <w:tcW w:w="14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Contract 1</w:t>
            </w:r>
          </w:p>
        </w:tc>
        <w:tc>
          <w:tcPr>
            <w:tcW w:w="1980" w:type="dxa"/>
            <w:vAlign w:val="bottom"/>
            <w:tcBorders>
              <w:bottom w:val="single" w:sz="8" w:color="auto"/>
            </w:tcBorders>
          </w:tcPr>
          <w:p>
            <w:pPr>
              <w:jc w:val="right"/>
              <w:ind w:right="126"/>
              <w:spacing w:after="0"/>
              <w:rPr>
                <w:sz w:val="20"/>
                <w:szCs w:val="20"/>
                <w:color w:val="auto"/>
              </w:rPr>
            </w:pPr>
            <w:r>
              <w:rPr>
                <w:rFonts w:ascii="Arial" w:cs="Arial" w:eastAsia="Arial" w:hAnsi="Arial"/>
                <w:sz w:val="19"/>
                <w:szCs w:val="19"/>
                <w:color w:val="auto"/>
              </w:rPr>
              <w:t>11/1/2020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3/31/2021</w:t>
            </w:r>
          </w:p>
        </w:tc>
        <w:tc>
          <w:tcPr>
            <w:tcW w:w="158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Natural Gas</w:t>
            </w:r>
          </w:p>
        </w:tc>
        <w:tc>
          <w:tcPr>
            <w:tcW w:w="1740" w:type="dxa"/>
            <w:vAlign w:val="bottom"/>
            <w:tcBorders>
              <w:bottom w:val="single" w:sz="8" w:color="auto"/>
            </w:tcBorders>
          </w:tcPr>
          <w:p>
            <w:pPr>
              <w:jc w:val="right"/>
              <w:ind w:right="186"/>
              <w:spacing w:after="0"/>
              <w:rPr>
                <w:sz w:val="20"/>
                <w:szCs w:val="20"/>
                <w:color w:val="auto"/>
              </w:rPr>
            </w:pPr>
            <w:r>
              <w:rPr>
                <w:rFonts w:ascii="Arial" w:cs="Arial" w:eastAsia="Arial" w:hAnsi="Arial"/>
                <w:sz w:val="19"/>
                <w:szCs w:val="19"/>
                <w:color w:val="auto"/>
              </w:rPr>
              <w:t>1,208,000</w:t>
            </w: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9"/>
                <w:szCs w:val="19"/>
                <w:color w:val="auto"/>
              </w:rPr>
              <w:t>MMBTU</w:t>
            </w:r>
          </w:p>
        </w:tc>
        <w:tc>
          <w:tcPr>
            <w:tcW w:w="42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w:t>
            </w:r>
          </w:p>
        </w:tc>
        <w:tc>
          <w:tcPr>
            <w:tcW w:w="14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2.601</w:t>
            </w:r>
          </w:p>
        </w:tc>
      </w:tr>
    </w:tbl>
    <w:p>
      <w:pPr>
        <w:spacing w:after="0" w:line="194" w:lineRule="exact"/>
        <w:rPr>
          <w:sz w:val="20"/>
          <w:szCs w:val="20"/>
          <w:color w:val="auto"/>
        </w:rPr>
      </w:pPr>
    </w:p>
    <w:p>
      <w:pPr>
        <w:jc w:val="both"/>
        <w:ind w:right="100"/>
        <w:spacing w:after="0" w:line="261" w:lineRule="auto"/>
        <w:rPr>
          <w:sz w:val="20"/>
          <w:szCs w:val="20"/>
          <w:color w:val="auto"/>
        </w:rPr>
      </w:pPr>
      <w:r>
        <w:rPr>
          <w:rFonts w:ascii="Arial" w:cs="Arial" w:eastAsia="Arial" w:hAnsi="Arial"/>
          <w:sz w:val="19"/>
          <w:szCs w:val="19"/>
          <w:color w:val="auto"/>
        </w:rPr>
        <w:t>Gross fair values of the Company’s derivative instruments, prior to netting of assets and liabilities subject to a master netting arrangement,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200" w:type="dxa"/>
            <w:vAlign w:val="bottom"/>
          </w:tcPr>
          <w:p>
            <w:pPr>
              <w:jc w:val="center"/>
              <w:ind w:right="106"/>
              <w:spacing w:after="0"/>
              <w:rPr>
                <w:sz w:val="20"/>
                <w:szCs w:val="20"/>
                <w:color w:val="auto"/>
              </w:rPr>
            </w:pPr>
            <w:r>
              <w:rPr>
                <w:rFonts w:ascii="Arial" w:cs="Arial" w:eastAsia="Arial" w:hAnsi="Arial"/>
                <w:sz w:val="19"/>
                <w:szCs w:val="19"/>
                <w:b w:val="1"/>
                <w:bCs w:val="1"/>
                <w:color w:val="auto"/>
                <w:w w:val="92"/>
              </w:rPr>
              <w:t>Derivative</w:t>
            </w:r>
          </w:p>
        </w:tc>
        <w:tc>
          <w:tcPr>
            <w:tcW w:w="4740" w:type="dxa"/>
            <w:vAlign w:val="bottom"/>
          </w:tcPr>
          <w:p>
            <w:pPr>
              <w:spacing w:after="0"/>
              <w:rPr>
                <w:sz w:val="19"/>
                <w:szCs w:val="19"/>
                <w:color w:val="auto"/>
              </w:rPr>
            </w:pPr>
          </w:p>
        </w:tc>
        <w:tc>
          <w:tcPr>
            <w:tcW w:w="2500" w:type="dxa"/>
            <w:vAlign w:val="bottom"/>
          </w:tcPr>
          <w:p>
            <w:pPr>
              <w:jc w:val="right"/>
              <w:ind w:right="106"/>
              <w:spacing w:after="0"/>
              <w:rPr>
                <w:sz w:val="20"/>
                <w:szCs w:val="20"/>
                <w:color w:val="auto"/>
              </w:rPr>
            </w:pPr>
            <w:r>
              <w:rPr>
                <w:rFonts w:ascii="Arial" w:cs="Arial" w:eastAsia="Arial" w:hAnsi="Arial"/>
                <w:sz w:val="19"/>
                <w:szCs w:val="19"/>
                <w:b w:val="1"/>
                <w:bCs w:val="1"/>
                <w:color w:val="auto"/>
              </w:rPr>
              <w:t>Fair Value as of</w:t>
            </w:r>
          </w:p>
        </w:tc>
        <w:tc>
          <w:tcPr>
            <w:tcW w:w="800" w:type="dxa"/>
            <w:vAlign w:val="bottom"/>
          </w:tcPr>
          <w:p>
            <w:pPr>
              <w:spacing w:after="0"/>
              <w:rPr>
                <w:sz w:val="19"/>
                <w:szCs w:val="19"/>
                <w:color w:val="auto"/>
              </w:rPr>
            </w:pPr>
          </w:p>
        </w:tc>
      </w:tr>
      <w:tr>
        <w:trPr>
          <w:trHeight w:val="251"/>
        </w:trPr>
        <w:tc>
          <w:tcPr>
            <w:tcW w:w="3200" w:type="dxa"/>
            <w:vAlign w:val="bottom"/>
            <w:tcBorders>
              <w:bottom w:val="single" w:sz="8" w:color="auto"/>
            </w:tcBorders>
          </w:tcPr>
          <w:p>
            <w:pPr>
              <w:jc w:val="center"/>
              <w:ind w:right="106"/>
              <w:spacing w:after="0"/>
              <w:rPr>
                <w:sz w:val="20"/>
                <w:szCs w:val="20"/>
                <w:color w:val="auto"/>
              </w:rPr>
            </w:pPr>
            <w:r>
              <w:rPr>
                <w:rFonts w:ascii="Arial" w:cs="Arial" w:eastAsia="Arial" w:hAnsi="Arial"/>
                <w:sz w:val="19"/>
                <w:szCs w:val="19"/>
                <w:b w:val="1"/>
                <w:bCs w:val="1"/>
                <w:color w:val="auto"/>
                <w:w w:val="91"/>
              </w:rPr>
              <w:t>Financial Instruments</w:t>
            </w:r>
          </w:p>
        </w:tc>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87"/>
              </w:rPr>
              <w:t>Balance Sheet Location</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September 30, 2020</w:t>
            </w:r>
          </w:p>
        </w:tc>
        <w:tc>
          <w:tcPr>
            <w:tcW w:w="800" w:type="dxa"/>
            <w:vAlign w:val="bottom"/>
            <w:tcBorders>
              <w:bottom w:val="single" w:sz="8" w:color="auto"/>
            </w:tcBorders>
          </w:tcPr>
          <w:p>
            <w:pPr>
              <w:spacing w:after="0"/>
              <w:rPr>
                <w:sz w:val="21"/>
                <w:szCs w:val="21"/>
                <w:color w:val="auto"/>
              </w:rPr>
            </w:pPr>
          </w:p>
        </w:tc>
      </w:tr>
      <w:tr>
        <w:trPr>
          <w:trHeight w:val="367"/>
        </w:trPr>
        <w:tc>
          <w:tcPr>
            <w:tcW w:w="3200" w:type="dxa"/>
            <w:vAlign w:val="bottom"/>
          </w:tcPr>
          <w:p>
            <w:pPr>
              <w:spacing w:after="0"/>
              <w:rPr>
                <w:sz w:val="20"/>
                <w:szCs w:val="20"/>
                <w:color w:val="auto"/>
              </w:rPr>
            </w:pPr>
            <w:r>
              <w:rPr>
                <w:rFonts w:ascii="Arial" w:cs="Arial" w:eastAsia="Arial" w:hAnsi="Arial"/>
                <w:sz w:val="19"/>
                <w:szCs w:val="19"/>
                <w:color w:val="auto"/>
              </w:rPr>
              <w:t>Commodity Contracts</w:t>
            </w:r>
          </w:p>
        </w:tc>
        <w:tc>
          <w:tcPr>
            <w:tcW w:w="4740" w:type="dxa"/>
            <w:vAlign w:val="bottom"/>
          </w:tcPr>
          <w:p>
            <w:pPr>
              <w:jc w:val="center"/>
              <w:spacing w:after="0"/>
              <w:rPr>
                <w:sz w:val="20"/>
                <w:szCs w:val="20"/>
                <w:color w:val="auto"/>
              </w:rPr>
            </w:pPr>
            <w:r>
              <w:rPr>
                <w:rFonts w:ascii="Arial" w:cs="Arial" w:eastAsia="Arial" w:hAnsi="Arial"/>
                <w:sz w:val="19"/>
                <w:szCs w:val="19"/>
                <w:color w:val="auto"/>
                <w:w w:val="95"/>
              </w:rPr>
              <w:t>Current Liabilities-Derivative Liabilities</w:t>
            </w:r>
          </w:p>
        </w:tc>
        <w:tc>
          <w:tcPr>
            <w:tcW w:w="2500" w:type="dxa"/>
            <w:vAlign w:val="bottom"/>
          </w:tcPr>
          <w:p>
            <w:pPr>
              <w:jc w:val="right"/>
              <w:ind w:right="586"/>
              <w:spacing w:after="0"/>
              <w:rPr>
                <w:sz w:val="20"/>
                <w:szCs w:val="20"/>
                <w:color w:val="auto"/>
              </w:rPr>
            </w:pPr>
            <w:r>
              <w:rPr>
                <w:rFonts w:ascii="Arial" w:cs="Arial" w:eastAsia="Arial" w:hAnsi="Arial"/>
                <w:sz w:val="19"/>
                <w:szCs w:val="19"/>
                <w:color w:val="auto"/>
              </w:rPr>
              <w:t>$</w:t>
            </w:r>
          </w:p>
        </w:tc>
        <w:tc>
          <w:tcPr>
            <w:tcW w:w="800" w:type="dxa"/>
            <w:vAlign w:val="bottom"/>
          </w:tcPr>
          <w:p>
            <w:pPr>
              <w:jc w:val="right"/>
              <w:ind w:right="26"/>
              <w:spacing w:after="0"/>
              <w:rPr>
                <w:sz w:val="20"/>
                <w:szCs w:val="20"/>
                <w:color w:val="auto"/>
              </w:rPr>
            </w:pPr>
            <w:r>
              <w:rPr>
                <w:rFonts w:ascii="Arial" w:cs="Arial" w:eastAsia="Arial" w:hAnsi="Arial"/>
                <w:sz w:val="19"/>
                <w:szCs w:val="19"/>
                <w:color w:val="auto"/>
                <w:w w:val="96"/>
              </w:rPr>
              <w:t>537,157</w:t>
            </w:r>
          </w:p>
        </w:tc>
      </w:tr>
      <w:tr>
        <w:trPr>
          <w:trHeight w:val="133"/>
        </w:trPr>
        <w:tc>
          <w:tcPr>
            <w:tcW w:w="3200" w:type="dxa"/>
            <w:vAlign w:val="bottom"/>
            <w:tcBorders>
              <w:bottom w:val="single" w:sz="8" w:color="auto"/>
            </w:tcBorders>
          </w:tcPr>
          <w:p>
            <w:pPr>
              <w:spacing w:after="0"/>
              <w:rPr>
                <w:sz w:val="11"/>
                <w:szCs w:val="11"/>
                <w:color w:val="auto"/>
              </w:rPr>
            </w:pPr>
          </w:p>
        </w:tc>
        <w:tc>
          <w:tcPr>
            <w:tcW w:w="474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r>
      <w:tr>
        <w:trPr>
          <w:trHeight w:val="230"/>
        </w:trPr>
        <w:tc>
          <w:tcPr>
            <w:tcW w:w="320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jc w:val="right"/>
              <w:ind w:right="586"/>
              <w:spacing w:after="0"/>
              <w:rPr>
                <w:sz w:val="20"/>
                <w:szCs w:val="20"/>
                <w:color w:val="auto"/>
              </w:rPr>
            </w:pPr>
            <w:r>
              <w:rPr>
                <w:rFonts w:ascii="Arial" w:cs="Arial" w:eastAsia="Arial" w:hAnsi="Arial"/>
                <w:sz w:val="19"/>
                <w:szCs w:val="19"/>
                <w:color w:val="auto"/>
              </w:rPr>
              <w:t>$</w:t>
            </w:r>
          </w:p>
        </w:tc>
        <w:tc>
          <w:tcPr>
            <w:tcW w:w="80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w w:val="96"/>
              </w:rPr>
              <w:t>537,157</w:t>
            </w:r>
          </w:p>
        </w:tc>
      </w:tr>
    </w:tbl>
    <w:p>
      <w:pPr>
        <w:spacing w:after="0" w:line="19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During 2020, the Company entered into certain derivative contracts with Macquarie Investments US Inc. (“Macquarie”). The Company unwound and terminated the derivative contracts in connection with the extinguishment of the debt with Macquarie, after obtaining financing from the Main Street Lending Program. See Note 7.</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All of the gains and losses related to derivative contracts are recorded through the “Gain on derivative instruments” account in the consolidated statement of operations.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748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2" w:name="page143"/>
    <w:bookmarkEnd w:id="142"/>
    <w:p>
      <w:pPr>
        <w:jc w:val="center"/>
        <w:ind w:right="20"/>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40" w:lineRule="exact"/>
        <w:rPr>
          <w:sz w:val="20"/>
          <w:szCs w:val="20"/>
          <w:color w:val="auto"/>
        </w:rPr>
      </w:pPr>
    </w:p>
    <w:p>
      <w:pPr>
        <w:ind w:left="440" w:hanging="432"/>
        <w:spacing w:after="0"/>
        <w:tabs>
          <w:tab w:leader="none" w:pos="440" w:val="left"/>
        </w:tabs>
        <w:numPr>
          <w:ilvl w:val="0"/>
          <w:numId w:val="144"/>
        </w:numPr>
        <w:rPr>
          <w:rFonts w:ascii="Arial" w:cs="Arial" w:eastAsia="Arial" w:hAnsi="Arial"/>
          <w:sz w:val="22"/>
          <w:szCs w:val="22"/>
          <w:b w:val="1"/>
          <w:bCs w:val="1"/>
          <w:color w:val="auto"/>
        </w:rPr>
      </w:pPr>
      <w:r>
        <w:rPr>
          <w:rFonts w:ascii="Arial" w:cs="Arial" w:eastAsia="Arial" w:hAnsi="Arial"/>
          <w:sz w:val="22"/>
          <w:szCs w:val="22"/>
          <w:b w:val="1"/>
          <w:bCs w:val="1"/>
          <w:color w:val="auto"/>
        </w:rPr>
        <w:t>Acquisitions and Divestitures</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Leon County Disposition</w:t>
      </w:r>
    </w:p>
    <w:p>
      <w:pPr>
        <w:spacing w:after="0" w:line="106" w:lineRule="exact"/>
        <w:rPr>
          <w:sz w:val="20"/>
          <w:szCs w:val="20"/>
          <w:color w:val="auto"/>
        </w:rPr>
      </w:pPr>
    </w:p>
    <w:p>
      <w:pPr>
        <w:ind w:right="40"/>
        <w:spacing w:after="0" w:line="261" w:lineRule="auto"/>
        <w:rPr>
          <w:sz w:val="20"/>
          <w:szCs w:val="20"/>
          <w:color w:val="auto"/>
        </w:rPr>
      </w:pPr>
      <w:r>
        <w:rPr>
          <w:rFonts w:ascii="Arial" w:cs="Arial" w:eastAsia="Arial" w:hAnsi="Arial"/>
          <w:sz w:val="19"/>
          <w:szCs w:val="19"/>
          <w:color w:val="auto"/>
        </w:rPr>
        <w:t>In February 2020, the Company closed on the sale of certain oil and natural gas properties located in Leon County, Texas for $75 thousand in proceeds, and was relieved of $288 thousand of plugging liability. The full cost pool was reduced by the net proceeds.</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Brazos County Disposition</w:t>
      </w:r>
    </w:p>
    <w:p>
      <w:pPr>
        <w:spacing w:after="0" w:line="106" w:lineRule="exact"/>
        <w:rPr>
          <w:sz w:val="20"/>
          <w:szCs w:val="20"/>
          <w:color w:val="auto"/>
        </w:rPr>
      </w:pPr>
    </w:p>
    <w:p>
      <w:pPr>
        <w:ind w:right="20"/>
        <w:spacing w:after="0" w:line="261" w:lineRule="auto"/>
        <w:rPr>
          <w:sz w:val="20"/>
          <w:szCs w:val="20"/>
          <w:color w:val="auto"/>
        </w:rPr>
      </w:pPr>
      <w:r>
        <w:rPr>
          <w:rFonts w:ascii="Arial" w:cs="Arial" w:eastAsia="Arial" w:hAnsi="Arial"/>
          <w:sz w:val="19"/>
          <w:szCs w:val="19"/>
          <w:color w:val="auto"/>
        </w:rPr>
        <w:t>In April 2020, the Company closed on the sale of certain oil and natural gas properties located in Brazos County, Texas. The Company received no proceeds but was relieved of $102 thousand of plugging liability.</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Dewitt County Disposition</w:t>
      </w:r>
    </w:p>
    <w:p>
      <w:pPr>
        <w:spacing w:after="0" w:line="106" w:lineRule="exact"/>
        <w:rPr>
          <w:sz w:val="20"/>
          <w:szCs w:val="20"/>
          <w:color w:val="auto"/>
        </w:rPr>
      </w:pPr>
    </w:p>
    <w:p>
      <w:pPr>
        <w:ind w:right="20"/>
        <w:spacing w:after="0" w:line="261" w:lineRule="auto"/>
        <w:rPr>
          <w:sz w:val="20"/>
          <w:szCs w:val="20"/>
          <w:color w:val="auto"/>
        </w:rPr>
      </w:pPr>
      <w:r>
        <w:rPr>
          <w:rFonts w:ascii="Arial" w:cs="Arial" w:eastAsia="Arial" w:hAnsi="Arial"/>
          <w:sz w:val="19"/>
          <w:szCs w:val="19"/>
          <w:color w:val="auto"/>
        </w:rPr>
        <w:t>In July 2020, the Company closed on the sale of certain oil and natural gas properties located in Dewitt County, Texas. The Company received no proceeds but was relieved of $42 thousand of plugging liability.</w:t>
      </w:r>
    </w:p>
    <w:p>
      <w:pPr>
        <w:spacing w:after="0" w:line="168" w:lineRule="exact"/>
        <w:rPr>
          <w:sz w:val="20"/>
          <w:szCs w:val="20"/>
          <w:color w:val="auto"/>
        </w:rPr>
      </w:pPr>
    </w:p>
    <w:p>
      <w:pPr>
        <w:ind w:left="440" w:hanging="432"/>
        <w:spacing w:after="0"/>
        <w:tabs>
          <w:tab w:leader="none" w:pos="440" w:val="left"/>
        </w:tabs>
        <w:numPr>
          <w:ilvl w:val="0"/>
          <w:numId w:val="145"/>
        </w:numPr>
        <w:rPr>
          <w:rFonts w:ascii="Arial" w:cs="Arial" w:eastAsia="Arial" w:hAnsi="Arial"/>
          <w:sz w:val="22"/>
          <w:szCs w:val="22"/>
          <w:b w:val="1"/>
          <w:bCs w:val="1"/>
          <w:color w:val="auto"/>
        </w:rPr>
      </w:pPr>
      <w:r>
        <w:rPr>
          <w:rFonts w:ascii="Arial" w:cs="Arial" w:eastAsia="Arial" w:hAnsi="Arial"/>
          <w:sz w:val="22"/>
          <w:szCs w:val="22"/>
          <w:b w:val="1"/>
          <w:bCs w:val="1"/>
          <w:color w:val="auto"/>
        </w:rPr>
        <w:t>Long-Term Debt</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color w:val="auto"/>
        </w:rPr>
        <w:t>Long-term debt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40" w:type="dxa"/>
            <w:vAlign w:val="bottom"/>
          </w:tcPr>
          <w:p>
            <w:pPr>
              <w:spacing w:after="0"/>
              <w:rPr>
                <w:sz w:val="21"/>
                <w:szCs w:val="21"/>
                <w:color w:val="auto"/>
              </w:rPr>
            </w:pPr>
          </w:p>
        </w:tc>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9"/>
                <w:szCs w:val="19"/>
                <w:b w:val="1"/>
                <w:bCs w:val="1"/>
                <w:i w:val="1"/>
                <w:iCs w:val="1"/>
                <w:color w:val="auto"/>
              </w:rPr>
              <w:t>September 30,</w:t>
            </w:r>
          </w:p>
        </w:tc>
        <w:tc>
          <w:tcPr>
            <w:tcW w:w="34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766"/>
              <w:spacing w:after="0"/>
              <w:rPr>
                <w:sz w:val="20"/>
                <w:szCs w:val="20"/>
                <w:color w:val="auto"/>
              </w:rPr>
            </w:pPr>
            <w:r>
              <w:rPr>
                <w:rFonts w:ascii="Arial" w:cs="Arial" w:eastAsia="Arial" w:hAnsi="Arial"/>
                <w:sz w:val="19"/>
                <w:szCs w:val="19"/>
                <w:b w:val="1"/>
                <w:bCs w:val="1"/>
                <w:color w:val="auto"/>
              </w:rPr>
              <w:t>2020</w:t>
            </w:r>
          </w:p>
        </w:tc>
        <w:tc>
          <w:tcPr>
            <w:tcW w:w="1700" w:type="dxa"/>
            <w:vAlign w:val="bottom"/>
          </w:tcPr>
          <w:p>
            <w:pPr>
              <w:spacing w:after="0"/>
              <w:rPr>
                <w:sz w:val="21"/>
                <w:szCs w:val="21"/>
                <w:color w:val="auto"/>
              </w:rPr>
            </w:pPr>
          </w:p>
        </w:tc>
      </w:tr>
      <w:tr>
        <w:trPr>
          <w:trHeight w:val="356"/>
        </w:trPr>
        <w:tc>
          <w:tcPr>
            <w:tcW w:w="44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9"/>
                <w:szCs w:val="19"/>
                <w:color w:val="auto"/>
                <w:w w:val="89"/>
              </w:rPr>
              <w:t>2020</w:t>
            </w:r>
          </w:p>
        </w:tc>
        <w:tc>
          <w:tcPr>
            <w:tcW w:w="3700" w:type="dxa"/>
            <w:vAlign w:val="bottom"/>
          </w:tcPr>
          <w:p>
            <w:pPr>
              <w:ind w:left="20"/>
              <w:spacing w:after="0"/>
              <w:rPr>
                <w:sz w:val="20"/>
                <w:szCs w:val="20"/>
                <w:color w:val="auto"/>
              </w:rPr>
            </w:pPr>
            <w:r>
              <w:rPr>
                <w:rFonts w:ascii="Arial" w:cs="Arial" w:eastAsia="Arial" w:hAnsi="Arial"/>
                <w:sz w:val="19"/>
                <w:szCs w:val="19"/>
                <w:color w:val="auto"/>
              </w:rPr>
              <w:t>Main Street Lending Program Loan</w:t>
            </w:r>
          </w:p>
        </w:tc>
        <w:tc>
          <w:tcPr>
            <w:tcW w:w="3460" w:type="dxa"/>
            <w:vAlign w:val="bottom"/>
          </w:tcPr>
          <w:p>
            <w:pPr>
              <w:jc w:val="right"/>
              <w:ind w:right="226"/>
              <w:spacing w:after="0"/>
              <w:rPr>
                <w:sz w:val="20"/>
                <w:szCs w:val="20"/>
                <w:color w:val="auto"/>
              </w:rPr>
            </w:pPr>
            <w:r>
              <w:rPr>
                <w:rFonts w:ascii="Arial" w:cs="Arial" w:eastAsia="Arial" w:hAnsi="Arial"/>
                <w:sz w:val="19"/>
                <w:szCs w:val="19"/>
                <w:color w:val="auto"/>
              </w:rPr>
              <w:t>$</w:t>
            </w: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40,800,000</w:t>
            </w:r>
          </w:p>
        </w:tc>
        <w:tc>
          <w:tcPr>
            <w:tcW w:w="1700" w:type="dxa"/>
            <w:vAlign w:val="bottom"/>
          </w:tcPr>
          <w:p>
            <w:pPr>
              <w:spacing w:after="0"/>
              <w:rPr>
                <w:sz w:val="24"/>
                <w:szCs w:val="24"/>
                <w:color w:val="auto"/>
              </w:rPr>
            </w:pPr>
          </w:p>
        </w:tc>
      </w:tr>
      <w:tr>
        <w:trPr>
          <w:trHeight w:val="238"/>
        </w:trPr>
        <w:tc>
          <w:tcPr>
            <w:tcW w:w="4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9"/>
                <w:szCs w:val="19"/>
                <w:color w:val="auto"/>
                <w:w w:val="89"/>
              </w:rPr>
              <w:t>2020</w:t>
            </w:r>
          </w:p>
        </w:tc>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Paycheck Protection Program Loan</w:t>
            </w:r>
          </w:p>
        </w:tc>
        <w:tc>
          <w:tcPr>
            <w:tcW w:w="34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501,000</w:t>
            </w:r>
          </w:p>
        </w:tc>
        <w:tc>
          <w:tcPr>
            <w:tcW w:w="1700" w:type="dxa"/>
            <w:vAlign w:val="bottom"/>
          </w:tcPr>
          <w:p>
            <w:pPr>
              <w:spacing w:after="0"/>
              <w:rPr>
                <w:sz w:val="20"/>
                <w:szCs w:val="20"/>
                <w:color w:val="auto"/>
              </w:rPr>
            </w:pPr>
          </w:p>
        </w:tc>
      </w:tr>
      <w:tr>
        <w:trPr>
          <w:trHeight w:val="349"/>
        </w:trPr>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460" w:type="dxa"/>
            <w:vAlign w:val="bottom"/>
          </w:tcPr>
          <w:p>
            <w:pPr>
              <w:jc w:val="right"/>
              <w:ind w:right="226"/>
              <w:spacing w:after="0"/>
              <w:rPr>
                <w:sz w:val="20"/>
                <w:szCs w:val="20"/>
                <w:color w:val="auto"/>
              </w:rPr>
            </w:pPr>
            <w:r>
              <w:rPr>
                <w:rFonts w:ascii="Arial" w:cs="Arial" w:eastAsia="Arial" w:hAnsi="Arial"/>
                <w:sz w:val="19"/>
                <w:szCs w:val="19"/>
                <w:color w:val="auto"/>
              </w:rPr>
              <w:t>$</w:t>
            </w: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41,301,000</w:t>
            </w:r>
          </w:p>
        </w:tc>
        <w:tc>
          <w:tcPr>
            <w:tcW w:w="1700" w:type="dxa"/>
            <w:vAlign w:val="bottom"/>
          </w:tcPr>
          <w:p>
            <w:pPr>
              <w:spacing w:after="0"/>
              <w:rPr>
                <w:sz w:val="24"/>
                <w:szCs w:val="24"/>
                <w:color w:val="auto"/>
              </w:rPr>
            </w:pPr>
          </w:p>
        </w:tc>
      </w:tr>
      <w:tr>
        <w:trPr>
          <w:trHeight w:val="238"/>
        </w:trPr>
        <w:tc>
          <w:tcPr>
            <w:tcW w:w="440" w:type="dxa"/>
            <w:vAlign w:val="bottom"/>
          </w:tcPr>
          <w:p>
            <w:pPr>
              <w:spacing w:after="0"/>
              <w:rPr>
                <w:sz w:val="20"/>
                <w:szCs w:val="20"/>
                <w:color w:val="auto"/>
              </w:rPr>
            </w:pPr>
          </w:p>
        </w:tc>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rPr>
              <w:t>Less: Deferred Financing Costs</w:t>
            </w:r>
          </w:p>
        </w:tc>
        <w:tc>
          <w:tcPr>
            <w:tcW w:w="3460" w:type="dxa"/>
            <w:vAlign w:val="bottom"/>
            <w:tcBorders>
              <w:bottom w:val="single" w:sz="8" w:color="auto"/>
            </w:tcBorders>
          </w:tcPr>
          <w:p>
            <w:pPr>
              <w:jc w:val="right"/>
              <w:ind w:right="226"/>
              <w:spacing w:after="0"/>
              <w:rPr>
                <w:sz w:val="20"/>
                <w:szCs w:val="20"/>
                <w:color w:val="auto"/>
              </w:rPr>
            </w:pPr>
            <w:r>
              <w:rPr>
                <w:rFonts w:ascii="Arial" w:cs="Arial" w:eastAsia="Arial" w:hAnsi="Arial"/>
                <w:sz w:val="19"/>
                <w:szCs w:val="19"/>
                <w:color w:val="auto"/>
              </w:rPr>
              <w:t>$</w:t>
            </w: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1,007,454</w:t>
            </w:r>
          </w:p>
        </w:tc>
        <w:tc>
          <w:tcPr>
            <w:tcW w:w="1700" w:type="dxa"/>
            <w:vAlign w:val="bottom"/>
          </w:tcPr>
          <w:p>
            <w:pPr>
              <w:spacing w:after="0"/>
              <w:rPr>
                <w:sz w:val="20"/>
                <w:szCs w:val="20"/>
                <w:color w:val="auto"/>
              </w:rPr>
            </w:pPr>
          </w:p>
        </w:tc>
      </w:tr>
      <w:tr>
        <w:trPr>
          <w:trHeight w:val="365"/>
        </w:trPr>
        <w:tc>
          <w:tcPr>
            <w:tcW w:w="440" w:type="dxa"/>
            <w:vAlign w:val="bottom"/>
          </w:tcPr>
          <w:p>
            <w:pPr>
              <w:spacing w:after="0"/>
              <w:rPr>
                <w:sz w:val="24"/>
                <w:szCs w:val="24"/>
                <w:color w:val="auto"/>
              </w:rPr>
            </w:pPr>
          </w:p>
        </w:tc>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rPr>
              <w:t>Long-Term Debt, net</w:t>
            </w:r>
          </w:p>
        </w:tc>
        <w:tc>
          <w:tcPr>
            <w:tcW w:w="3460" w:type="dxa"/>
            <w:vAlign w:val="bottom"/>
            <w:tcBorders>
              <w:bottom w:val="single" w:sz="8" w:color="auto"/>
            </w:tcBorders>
          </w:tcPr>
          <w:p>
            <w:pPr>
              <w:jc w:val="right"/>
              <w:ind w:right="226"/>
              <w:spacing w:after="0"/>
              <w:rPr>
                <w:sz w:val="20"/>
                <w:szCs w:val="20"/>
                <w:color w:val="auto"/>
              </w:rPr>
            </w:pPr>
            <w:r>
              <w:rPr>
                <w:rFonts w:ascii="Arial" w:cs="Arial" w:eastAsia="Arial" w:hAnsi="Arial"/>
                <w:sz w:val="19"/>
                <w:szCs w:val="19"/>
                <w:color w:val="auto"/>
              </w:rPr>
              <w:t>$</w:t>
            </w: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40,293,546</w:t>
            </w:r>
          </w:p>
        </w:tc>
        <w:tc>
          <w:tcPr>
            <w:tcW w:w="1700" w:type="dxa"/>
            <w:vAlign w:val="bottom"/>
          </w:tcPr>
          <w:p>
            <w:pPr>
              <w:spacing w:after="0"/>
              <w:rPr>
                <w:sz w:val="24"/>
                <w:szCs w:val="24"/>
                <w:color w:val="auto"/>
              </w:rPr>
            </w:pPr>
          </w:p>
        </w:tc>
      </w:tr>
      <w:tr>
        <w:trPr>
          <w:trHeight w:val="650"/>
        </w:trPr>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460" w:type="dxa"/>
            <w:vAlign w:val="bottom"/>
          </w:tcPr>
          <w:p>
            <w:pPr>
              <w:jc w:val="right"/>
              <w:ind w:right="2186"/>
              <w:spacing w:after="0"/>
              <w:rPr>
                <w:sz w:val="20"/>
                <w:szCs w:val="20"/>
                <w:color w:val="auto"/>
              </w:rPr>
            </w:pPr>
            <w:r>
              <w:rPr>
                <w:rFonts w:ascii="Arial" w:cs="Arial" w:eastAsia="Arial" w:hAnsi="Arial"/>
                <w:sz w:val="19"/>
                <w:szCs w:val="19"/>
                <w:b w:val="1"/>
                <w:bCs w:val="1"/>
                <w:color w:val="auto"/>
              </w:rPr>
              <w:t>17</w:t>
            </w:r>
          </w:p>
        </w:tc>
        <w:tc>
          <w:tcPr>
            <w:tcW w:w="15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27"/>
        </w:trPr>
        <w:tc>
          <w:tcPr>
            <w:tcW w:w="44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3700" w:type="dxa"/>
            <w:vAlign w:val="bottom"/>
            <w:tcBorders>
              <w:bottom w:val="single" w:sz="8" w:color="9A9A9A"/>
            </w:tcBorders>
          </w:tcPr>
          <w:p>
            <w:pPr>
              <w:spacing w:after="0"/>
              <w:rPr>
                <w:sz w:val="11"/>
                <w:szCs w:val="11"/>
                <w:color w:val="auto"/>
              </w:rPr>
            </w:pPr>
          </w:p>
        </w:tc>
        <w:tc>
          <w:tcPr>
            <w:tcW w:w="3460" w:type="dxa"/>
            <w:vAlign w:val="bottom"/>
            <w:tcBorders>
              <w:bottom w:val="single" w:sz="8" w:color="9A9A9A"/>
            </w:tcBorders>
          </w:tcPr>
          <w:p>
            <w:pPr>
              <w:spacing w:after="0"/>
              <w:rPr>
                <w:sz w:val="11"/>
                <w:szCs w:val="11"/>
                <w:color w:val="auto"/>
              </w:rPr>
            </w:pPr>
          </w:p>
        </w:tc>
        <w:tc>
          <w:tcPr>
            <w:tcW w:w="1560" w:type="dxa"/>
            <w:vAlign w:val="bottom"/>
            <w:tcBorders>
              <w:bottom w:val="single" w:sz="8" w:color="9A9A9A"/>
            </w:tcBorders>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43" w:name="page144"/>
    <w:bookmarkEnd w:id="143"/>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PennantPark Credit Facility</w:t>
      </w:r>
    </w:p>
    <w:p>
      <w:pPr>
        <w:spacing w:after="0" w:line="1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30, 2019, the Company had a 2017 term loan of $35 million and a 2018 revolving loan of $40 million under a loan agreement with PennantPark. The loan agreement was to mature on July 2, 2022. In October 2019, the loan agreement was amended to increase the revolving loan commitment to $50 million. Both the term loan and revolving loan carried an interest rate of 8% with a 50% paid-in-kind interest option. In December 2019 and January 2020, the loans with PennantPark were restructured and converted to equity, and Holdings issued PennantPark 96,058 common units in satisfaction of the $86 million in debt that Holdings owed to PennantPark.</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Macquarie Credit Facility</w:t>
      </w:r>
    </w:p>
    <w:p>
      <w:pPr>
        <w:spacing w:after="0" w:line="10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October 16, 2019, RAM, Fayette and Service, as co-borrowers, entered into a $70 million credit facility with Macquarie Investments US Inc. (“Macquarie”) as Administrative Agent for itself. The amount funded at closing was $30.5 million, net of deferred loan costs. The facility included a $30.5 million Tranche A term loan, a $16 million Tranche B term loan and a $23.5 million Tranche C term loan. Wells that were currently drilling were identified as Tranche A wells. Tranche B and Tranche C wells are identified in RAM’s future development plan. Tranche A was funded at closing, and was used to pay a working capital deficit and other development and operating costs of Tranche A wells. Tranches B and C were to be available when certain wells satisfied production targets and other conditions were met.</w:t>
      </w:r>
    </w:p>
    <w:p>
      <w:pPr>
        <w:spacing w:after="0" w:line="17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Tranche A term loan provided for monthly payments of interest and principal during its term. Interest was charged at LIBOR plus the Applicable Margin of 8.0%. The Tranche A monthly amortization payments varied based on production of the new Fayette wells. The first principal repayment was due November 30, 2019.</w:t>
      </w:r>
    </w:p>
    <w:p>
      <w:pPr>
        <w:spacing w:after="0" w:line="184"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The facility was secured by liens on substantially all properties and assets of the borrowers. The loan agreement contained representations, warranties and covenants customary in transactions of this nature, including financial covenants relating to a current ratio, a maximum leverage ratio and a PDP coverage ratio. The facility further provided for certain hedging requirements, and the Company entered into certain hedging agreements during October 2019.</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The Company repaid the credit facility on September 15, 2020 with proceeds from the Main Street Loan as further discussed below. The agreement was terminated at that time.</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Paycheck Protection Program Loan</w:t>
      </w:r>
    </w:p>
    <w:p>
      <w:pPr>
        <w:spacing w:after="0" w:line="1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29, 2020, the Company entered into a $501 thousand loan with the Paycheck Protection Program through the United States Small Business Administration. The loan has a term of two years and carries an interest rate of 1%. The loan amount is based on approximately 2.5 months’ of payroll, rent and utilities expense and is forgivable upon showing support for applicable expenditures and proof of eligibility requirements. The Company submitted a forgiveness application in September 2020. The Company has elected to use ASC 470 to account for this loan and will record a gain on forgiveness of debt in the period in which the debt is legally forgiven. The application for these funds requires the Company to, in good faith, certify that the current economic uncertainty made the loan request necessary to support the ongoing operations of the Company. The receipt of these funds, and the forgiveness of the loan attendant to these funds, is dependent on the Company having initially qualified for the loan and qualifying for the forgiveness of such loan based on its future adherence to the forgiveness criteria.</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748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Main Street Lending Program Loan Facility</w:t>
      </w:r>
    </w:p>
    <w:p>
      <w:pPr>
        <w:spacing w:after="0" w:line="10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On September 4, 2020, RAM, with Holdings, Fayette and Service, as guarantors, entered into a $40.8 million loan facility with the Main Street Lending Program and Vast Bank (the “Main Street Loan”). The Company used $26.5 million of the proceeds to repay the debt with Macquarie and deferred loan costs.</w:t>
      </w:r>
    </w:p>
    <w:p>
      <w:pPr>
        <w:spacing w:after="0" w:line="18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Main Street Loan matures in 2025 and carries an interest rate of LIBOR plus 3%. The first interest payment is due October 4, 2021 and each month thereafter. Principal is due as follows: 15% on September 4, 2023, 15% on September 4, 2024, and the remaining 70% on September 4, 2025.</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Main Street Loan is secured by liens on substantially all properties and assets of the borrowers. The loan agreement contains representations, warranties and covenants customary in transactions of this nature, including a financial covenant relating to a minimum debt service coverage ratio, calculated semi-annually. As of September 30, 2020, the Company was in compliance with its financial covenants.</w:t>
      </w:r>
    </w:p>
    <w:p>
      <w:pPr>
        <w:spacing w:after="0" w:line="163" w:lineRule="exact"/>
        <w:rPr>
          <w:sz w:val="20"/>
          <w:szCs w:val="20"/>
          <w:color w:val="auto"/>
        </w:rPr>
      </w:pPr>
    </w:p>
    <w:p>
      <w:pPr>
        <w:ind w:left="440" w:hanging="432"/>
        <w:spacing w:after="0"/>
        <w:tabs>
          <w:tab w:leader="none" w:pos="440" w:val="left"/>
        </w:tabs>
        <w:numPr>
          <w:ilvl w:val="0"/>
          <w:numId w:val="146"/>
        </w:numPr>
        <w:rPr>
          <w:rFonts w:ascii="Arial" w:cs="Arial" w:eastAsia="Arial" w:hAnsi="Arial"/>
          <w:sz w:val="22"/>
          <w:szCs w:val="22"/>
          <w:b w:val="1"/>
          <w:bCs w:val="1"/>
          <w:color w:val="auto"/>
        </w:rPr>
      </w:pPr>
      <w:r>
        <w:rPr>
          <w:rFonts w:ascii="Arial" w:cs="Arial" w:eastAsia="Arial" w:hAnsi="Arial"/>
          <w:sz w:val="22"/>
          <w:szCs w:val="22"/>
          <w:b w:val="1"/>
          <w:bCs w:val="1"/>
          <w:color w:val="auto"/>
        </w:rPr>
        <w:t>Member’s Equity</w:t>
      </w:r>
    </w:p>
    <w:p>
      <w:pPr>
        <w:spacing w:after="0" w:line="103"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PennantPark holds all units in Holdings. Debt restructuring in December 2019 and January 2020 included PennantPark contributing the then outstanding 2017 $35 million term loan plus the 2018 $50 million revolving loan to Holdings, effectively extinguishing the debt. In exchange, Holdings issued PennantPark 96,058 common units. As PennantPark is the sole owner of Holdings, the debt restructuring was deemed a capital transaction at cost basis with no gain or loss recorded. The cost basis of the debt plus interest paid-in-kind immediately prior to the extinguishment and the resulting equity contribution was $86 million on conversion of the debt.</w:t>
      </w:r>
    </w:p>
    <w:p>
      <w:pPr>
        <w:spacing w:after="0" w:line="185" w:lineRule="exact"/>
        <w:rPr>
          <w:sz w:val="20"/>
          <w:szCs w:val="20"/>
          <w:color w:val="auto"/>
        </w:rPr>
      </w:pPr>
    </w:p>
    <w:p>
      <w:pPr>
        <w:ind w:left="440" w:hanging="432"/>
        <w:spacing w:after="0"/>
        <w:tabs>
          <w:tab w:leader="none" w:pos="440" w:val="left"/>
        </w:tabs>
        <w:numPr>
          <w:ilvl w:val="0"/>
          <w:numId w:val="147"/>
        </w:numPr>
        <w:rPr>
          <w:rFonts w:ascii="Arial" w:cs="Arial" w:eastAsia="Arial" w:hAnsi="Arial"/>
          <w:sz w:val="22"/>
          <w:szCs w:val="22"/>
          <w:b w:val="1"/>
          <w:bCs w:val="1"/>
          <w:color w:val="auto"/>
        </w:rPr>
      </w:pPr>
      <w:r>
        <w:rPr>
          <w:rFonts w:ascii="Arial" w:cs="Arial" w:eastAsia="Arial" w:hAnsi="Arial"/>
          <w:sz w:val="22"/>
          <w:szCs w:val="22"/>
          <w:b w:val="1"/>
          <w:bCs w:val="1"/>
          <w:color w:val="auto"/>
        </w:rPr>
        <w:t>Commitments and Contingencies</w:t>
      </w:r>
    </w:p>
    <w:p>
      <w:pPr>
        <w:spacing w:after="0" w:line="103" w:lineRule="exact"/>
        <w:rPr>
          <w:sz w:val="20"/>
          <w:szCs w:val="20"/>
          <w:color w:val="auto"/>
        </w:rPr>
      </w:pPr>
    </w:p>
    <w:p>
      <w:pPr>
        <w:spacing w:after="0" w:line="320" w:lineRule="auto"/>
        <w:rPr>
          <w:sz w:val="20"/>
          <w:szCs w:val="20"/>
          <w:color w:val="auto"/>
        </w:rPr>
      </w:pPr>
      <w:r>
        <w:rPr>
          <w:rFonts w:ascii="Arial" w:cs="Arial" w:eastAsia="Arial" w:hAnsi="Arial"/>
          <w:sz w:val="17"/>
          <w:szCs w:val="17"/>
          <w:color w:val="auto"/>
        </w:rPr>
        <w:t>From time to time the Company may be involved in claims and litigation arising in the ordinary course of business. In the opinion of management, the outcome of all existing matters will not have a material adverse effect on the Company’s financial position or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Leases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RAM leases office space and certain equipment under non-cancelable operating lease agreements that expire on various dates through 2024.</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Approximate future minimum lease payments as of September 30, 2020 are as follows: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9"/>
          <w:szCs w:val="19"/>
          <w:b w:val="1"/>
          <w:bCs w:val="1"/>
          <w:i w:val="1"/>
          <w:iCs w:val="1"/>
          <w:color w:val="auto"/>
        </w:rPr>
        <w:t>Year Ending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12700</wp:posOffset>
            </wp:positionV>
            <wp:extent cx="57861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6">
                      <a:extLst>
                        <a:ext uri="{28A0092B-C50C-407E-A947-70E740481C1C}"/>
                      </a:extLst>
                    </a:blip>
                    <a:srcRect/>
                    <a:stretch>
                      <a:fillRect/>
                    </a:stretch>
                  </pic:blipFill>
                  <pic:spPr bwMode="auto">
                    <a:xfrm>
                      <a:off x="0" y="0"/>
                      <a:ext cx="5786120" cy="17145"/>
                    </a:xfrm>
                    <a:prstGeom prst="rect">
                      <a:avLst/>
                    </a:prstGeom>
                    <a:noFill/>
                  </pic:spPr>
                </pic:pic>
              </a:graphicData>
            </a:graphic>
          </wp:anchor>
        </w:drawing>
      </w:r>
    </w:p>
    <w:p>
      <w:pPr>
        <w:spacing w:after="0" w:line="153"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4340" w:type="dxa"/>
            <w:vAlign w:val="bottom"/>
          </w:tcPr>
          <w:p>
            <w:pPr>
              <w:jc w:val="right"/>
              <w:ind w:right="2786"/>
              <w:spacing w:after="0"/>
              <w:rPr>
                <w:sz w:val="20"/>
                <w:szCs w:val="20"/>
                <w:color w:val="auto"/>
              </w:rPr>
            </w:pPr>
            <w:r>
              <w:rPr>
                <w:rFonts w:ascii="Arial" w:cs="Arial" w:eastAsia="Arial" w:hAnsi="Arial"/>
                <w:sz w:val="19"/>
                <w:szCs w:val="19"/>
                <w:color w:val="auto"/>
              </w:rPr>
              <w:t>2021</w:t>
            </w:r>
          </w:p>
        </w:tc>
        <w:tc>
          <w:tcPr>
            <w:tcW w:w="3680" w:type="dxa"/>
            <w:vAlign w:val="bottom"/>
          </w:tcPr>
          <w:p>
            <w:pPr>
              <w:jc w:val="right"/>
              <w:ind w:right="626"/>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458</w:t>
            </w:r>
          </w:p>
        </w:tc>
      </w:tr>
      <w:tr>
        <w:trPr>
          <w:trHeight w:val="229"/>
        </w:trPr>
        <w:tc>
          <w:tcPr>
            <w:tcW w:w="4340" w:type="dxa"/>
            <w:vAlign w:val="bottom"/>
          </w:tcPr>
          <w:p>
            <w:pPr>
              <w:jc w:val="right"/>
              <w:ind w:right="2786"/>
              <w:spacing w:after="0"/>
              <w:rPr>
                <w:sz w:val="20"/>
                <w:szCs w:val="20"/>
                <w:color w:val="auto"/>
              </w:rPr>
            </w:pPr>
            <w:r>
              <w:rPr>
                <w:rFonts w:ascii="Arial" w:cs="Arial" w:eastAsia="Arial" w:hAnsi="Arial"/>
                <w:sz w:val="19"/>
                <w:szCs w:val="19"/>
                <w:color w:val="auto"/>
              </w:rPr>
              <w:t>2022</w:t>
            </w:r>
          </w:p>
        </w:tc>
        <w:tc>
          <w:tcPr>
            <w:tcW w:w="3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389</w:t>
            </w:r>
          </w:p>
        </w:tc>
      </w:tr>
      <w:tr>
        <w:trPr>
          <w:trHeight w:val="230"/>
        </w:trPr>
        <w:tc>
          <w:tcPr>
            <w:tcW w:w="4340" w:type="dxa"/>
            <w:vAlign w:val="bottom"/>
          </w:tcPr>
          <w:p>
            <w:pPr>
              <w:jc w:val="right"/>
              <w:ind w:right="2786"/>
              <w:spacing w:after="0"/>
              <w:rPr>
                <w:sz w:val="20"/>
                <w:szCs w:val="20"/>
                <w:color w:val="auto"/>
              </w:rPr>
            </w:pPr>
            <w:r>
              <w:rPr>
                <w:rFonts w:ascii="Arial" w:cs="Arial" w:eastAsia="Arial" w:hAnsi="Arial"/>
                <w:sz w:val="19"/>
                <w:szCs w:val="19"/>
                <w:color w:val="auto"/>
              </w:rPr>
              <w:t>2023</w:t>
            </w:r>
          </w:p>
        </w:tc>
        <w:tc>
          <w:tcPr>
            <w:tcW w:w="3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108</w:t>
            </w:r>
          </w:p>
        </w:tc>
      </w:tr>
      <w:tr>
        <w:trPr>
          <w:trHeight w:val="230"/>
        </w:trPr>
        <w:tc>
          <w:tcPr>
            <w:tcW w:w="4340" w:type="dxa"/>
            <w:vAlign w:val="bottom"/>
          </w:tcPr>
          <w:p>
            <w:pPr>
              <w:jc w:val="right"/>
              <w:ind w:right="2786"/>
              <w:spacing w:after="0"/>
              <w:rPr>
                <w:sz w:val="20"/>
                <w:szCs w:val="20"/>
                <w:color w:val="auto"/>
              </w:rPr>
            </w:pPr>
            <w:r>
              <w:rPr>
                <w:rFonts w:ascii="Arial" w:cs="Arial" w:eastAsia="Arial" w:hAnsi="Arial"/>
                <w:sz w:val="19"/>
                <w:szCs w:val="19"/>
                <w:color w:val="auto"/>
              </w:rPr>
              <w:t>2024</w:t>
            </w:r>
          </w:p>
        </w:tc>
        <w:tc>
          <w:tcPr>
            <w:tcW w:w="3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9</w:t>
            </w:r>
          </w:p>
        </w:tc>
      </w:tr>
      <w:tr>
        <w:trPr>
          <w:trHeight w:val="245"/>
        </w:trPr>
        <w:tc>
          <w:tcPr>
            <w:tcW w:w="4340" w:type="dxa"/>
            <w:vAlign w:val="bottom"/>
            <w:tcBorders>
              <w:bottom w:val="single" w:sz="8" w:color="auto"/>
            </w:tcBorders>
          </w:tcPr>
          <w:p>
            <w:pPr>
              <w:jc w:val="right"/>
              <w:ind w:right="2786"/>
              <w:spacing w:after="0"/>
              <w:rPr>
                <w:sz w:val="20"/>
                <w:szCs w:val="20"/>
                <w:color w:val="auto"/>
              </w:rPr>
            </w:pPr>
            <w:r>
              <w:rPr>
                <w:rFonts w:ascii="Arial" w:cs="Arial" w:eastAsia="Arial" w:hAnsi="Arial"/>
                <w:sz w:val="19"/>
                <w:szCs w:val="19"/>
                <w:color w:val="auto"/>
              </w:rPr>
              <w:t>2025</w:t>
            </w:r>
          </w:p>
        </w:tc>
        <w:tc>
          <w:tcPr>
            <w:tcW w:w="36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r>
      <w:tr>
        <w:trPr>
          <w:trHeight w:val="372"/>
        </w:trPr>
        <w:tc>
          <w:tcPr>
            <w:tcW w:w="43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jc w:val="right"/>
              <w:ind w:right="626"/>
              <w:spacing w:after="0"/>
              <w:rPr>
                <w:sz w:val="20"/>
                <w:szCs w:val="20"/>
                <w:color w:val="auto"/>
              </w:rPr>
            </w:pPr>
            <w:r>
              <w:rPr>
                <w:rFonts w:ascii="Arial" w:cs="Arial" w:eastAsia="Arial" w:hAnsi="Arial"/>
                <w:sz w:val="19"/>
                <w:szCs w:val="19"/>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964</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auto"/>
        </w:rPr>
        <w:t>Rent expense of approximately $0.5 million was incurred under operating leases for the year ended September 30, 2020.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748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Related Party Transactions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RAM made certain payments on behalf of an officer totaling $59 thousand in 2020, which are due to the Company as of September 30, 2020.</w:t>
      </w:r>
    </w:p>
    <w:p>
      <w:pPr>
        <w:spacing w:after="0" w:line="220"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8"/>
          <w:szCs w:val="18"/>
          <w:b w:val="1"/>
          <w:bCs w:val="1"/>
          <w:color w:val="auto"/>
        </w:rPr>
        <w:t>Subsequent Events</w:t>
      </w:r>
    </w:p>
    <w:p>
      <w:pPr>
        <w:spacing w:after="0" w:line="103"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Company evaluates events and transactions occurring after the balance sheet date and before the consolidated financial statements are available for issuance. Such events and transactions have been evaluated through November 16, 2020, the date the consolidated financial statements were available to be issued.</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The Company entered derivative positions in October and November 2020, as summarized in the following table: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jc w:val="center"/>
              <w:ind w:left="46"/>
              <w:spacing w:after="0" w:line="214" w:lineRule="exact"/>
              <w:rPr>
                <w:sz w:val="20"/>
                <w:szCs w:val="20"/>
                <w:color w:val="auto"/>
              </w:rPr>
            </w:pPr>
            <w:r>
              <w:rPr>
                <w:rFonts w:ascii="Arial" w:cs="Arial" w:eastAsia="Arial" w:hAnsi="Arial"/>
                <w:sz w:val="19"/>
                <w:szCs w:val="19"/>
                <w:b w:val="1"/>
                <w:bCs w:val="1"/>
                <w:color w:val="auto"/>
                <w:w w:val="88"/>
              </w:rPr>
              <w:t>Weighted</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center"/>
              <w:ind w:right="386"/>
              <w:spacing w:after="0" w:line="214" w:lineRule="exact"/>
              <w:rPr>
                <w:sz w:val="20"/>
                <w:szCs w:val="20"/>
                <w:color w:val="auto"/>
              </w:rPr>
            </w:pPr>
            <w:r>
              <w:rPr>
                <w:rFonts w:ascii="Arial" w:cs="Arial" w:eastAsia="Arial" w:hAnsi="Arial"/>
                <w:sz w:val="19"/>
                <w:szCs w:val="19"/>
                <w:b w:val="1"/>
                <w:bCs w:val="1"/>
                <w:color w:val="auto"/>
                <w:w w:val="91"/>
              </w:rPr>
              <w:t>Weighted</w:t>
            </w:r>
          </w:p>
        </w:tc>
        <w:tc>
          <w:tcPr>
            <w:tcW w:w="1000" w:type="dxa"/>
            <w:vAlign w:val="bottom"/>
            <w:tcBorders>
              <w:top w:val="single" w:sz="8" w:color="auto"/>
            </w:tcBorders>
          </w:tcPr>
          <w:p>
            <w:pPr>
              <w:jc w:val="center"/>
              <w:ind w:right="146"/>
              <w:spacing w:after="0" w:line="214" w:lineRule="exact"/>
              <w:rPr>
                <w:sz w:val="20"/>
                <w:szCs w:val="20"/>
                <w:color w:val="auto"/>
              </w:rPr>
            </w:pPr>
            <w:r>
              <w:rPr>
                <w:rFonts w:ascii="Arial" w:cs="Arial" w:eastAsia="Arial" w:hAnsi="Arial"/>
                <w:sz w:val="19"/>
                <w:szCs w:val="19"/>
                <w:b w:val="1"/>
                <w:bCs w:val="1"/>
                <w:color w:val="auto"/>
                <w:w w:val="88"/>
              </w:rPr>
              <w:t>Weighted</w:t>
            </w:r>
          </w:p>
        </w:tc>
      </w:tr>
      <w:tr>
        <w:trPr>
          <w:trHeight w:val="216"/>
        </w:trPr>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tcPr>
          <w:p>
            <w:pPr>
              <w:jc w:val="center"/>
              <w:spacing w:after="0" w:line="216" w:lineRule="exact"/>
              <w:rPr>
                <w:sz w:val="20"/>
                <w:szCs w:val="20"/>
                <w:color w:val="auto"/>
              </w:rPr>
            </w:pPr>
            <w:r>
              <w:rPr>
                <w:rFonts w:ascii="Arial" w:cs="Arial" w:eastAsia="Arial" w:hAnsi="Arial"/>
                <w:sz w:val="19"/>
                <w:szCs w:val="19"/>
                <w:b w:val="1"/>
                <w:bCs w:val="1"/>
                <w:color w:val="auto"/>
                <w:w w:val="94"/>
              </w:rPr>
              <w:t>Option</w:t>
            </w:r>
          </w:p>
        </w:tc>
        <w:tc>
          <w:tcPr>
            <w:tcW w:w="1240" w:type="dxa"/>
            <w:vAlign w:val="bottom"/>
          </w:tcPr>
          <w:p>
            <w:pPr>
              <w:jc w:val="right"/>
              <w:ind w:right="166"/>
              <w:spacing w:after="0" w:line="216" w:lineRule="exact"/>
              <w:rPr>
                <w:sz w:val="20"/>
                <w:szCs w:val="20"/>
                <w:color w:val="auto"/>
              </w:rPr>
            </w:pPr>
            <w:r>
              <w:rPr>
                <w:rFonts w:ascii="Arial" w:cs="Arial" w:eastAsia="Arial" w:hAnsi="Arial"/>
                <w:sz w:val="19"/>
                <w:szCs w:val="19"/>
                <w:b w:val="1"/>
                <w:bCs w:val="1"/>
                <w:color w:val="auto"/>
              </w:rPr>
              <w:t>Notional</w:t>
            </w: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center"/>
              <w:ind w:right="166"/>
              <w:spacing w:after="0" w:line="216" w:lineRule="exact"/>
              <w:rPr>
                <w:sz w:val="20"/>
                <w:szCs w:val="20"/>
                <w:color w:val="auto"/>
              </w:rPr>
            </w:pPr>
            <w:r>
              <w:rPr>
                <w:rFonts w:ascii="Arial" w:cs="Arial" w:eastAsia="Arial" w:hAnsi="Arial"/>
                <w:sz w:val="19"/>
                <w:szCs w:val="19"/>
                <w:b w:val="1"/>
                <w:bCs w:val="1"/>
                <w:color w:val="auto"/>
                <w:w w:val="87"/>
              </w:rPr>
              <w:t>Average</w:t>
            </w:r>
          </w:p>
        </w:tc>
        <w:tc>
          <w:tcPr>
            <w:tcW w:w="240" w:type="dxa"/>
            <w:vAlign w:val="bottom"/>
          </w:tcPr>
          <w:p>
            <w:pPr>
              <w:spacing w:after="0"/>
              <w:rPr>
                <w:sz w:val="18"/>
                <w:szCs w:val="18"/>
                <w:color w:val="auto"/>
              </w:rPr>
            </w:pPr>
          </w:p>
        </w:tc>
        <w:tc>
          <w:tcPr>
            <w:tcW w:w="1260" w:type="dxa"/>
            <w:vAlign w:val="bottom"/>
          </w:tcPr>
          <w:p>
            <w:pPr>
              <w:jc w:val="center"/>
              <w:ind w:right="386"/>
              <w:spacing w:after="0" w:line="216" w:lineRule="exact"/>
              <w:rPr>
                <w:sz w:val="20"/>
                <w:szCs w:val="20"/>
                <w:color w:val="auto"/>
              </w:rPr>
            </w:pPr>
            <w:r>
              <w:rPr>
                <w:rFonts w:ascii="Arial" w:cs="Arial" w:eastAsia="Arial" w:hAnsi="Arial"/>
                <w:sz w:val="19"/>
                <w:szCs w:val="19"/>
                <w:b w:val="1"/>
                <w:bCs w:val="1"/>
                <w:color w:val="auto"/>
                <w:w w:val="87"/>
              </w:rPr>
              <w:t>Average</w:t>
            </w:r>
          </w:p>
        </w:tc>
        <w:tc>
          <w:tcPr>
            <w:tcW w:w="1000" w:type="dxa"/>
            <w:vAlign w:val="bottom"/>
          </w:tcPr>
          <w:p>
            <w:pPr>
              <w:jc w:val="center"/>
              <w:ind w:right="146"/>
              <w:spacing w:after="0" w:line="216" w:lineRule="exact"/>
              <w:rPr>
                <w:sz w:val="20"/>
                <w:szCs w:val="20"/>
                <w:color w:val="auto"/>
              </w:rPr>
            </w:pPr>
            <w:r>
              <w:rPr>
                <w:rFonts w:ascii="Arial" w:cs="Arial" w:eastAsia="Arial" w:hAnsi="Arial"/>
                <w:sz w:val="19"/>
                <w:szCs w:val="19"/>
                <w:b w:val="1"/>
                <w:bCs w:val="1"/>
                <w:color w:val="auto"/>
                <w:w w:val="85"/>
              </w:rPr>
              <w:t>Average</w:t>
            </w:r>
          </w:p>
        </w:tc>
      </w:tr>
      <w:tr>
        <w:trPr>
          <w:trHeight w:val="244"/>
        </w:trPr>
        <w:tc>
          <w:tcPr>
            <w:tcW w:w="1440" w:type="dxa"/>
            <w:vAlign w:val="bottom"/>
            <w:tcBorders>
              <w:bottom w:val="single" w:sz="8" w:color="auto"/>
            </w:tcBorders>
          </w:tcPr>
          <w:p>
            <w:pPr>
              <w:jc w:val="right"/>
              <w:ind w:right="286"/>
              <w:spacing w:after="0"/>
              <w:rPr>
                <w:sz w:val="20"/>
                <w:szCs w:val="20"/>
                <w:color w:val="auto"/>
              </w:rPr>
            </w:pPr>
            <w:r>
              <w:rPr>
                <w:rFonts w:ascii="Arial" w:cs="Arial" w:eastAsia="Arial" w:hAnsi="Arial"/>
                <w:sz w:val="19"/>
                <w:szCs w:val="19"/>
                <w:b w:val="1"/>
                <w:bCs w:val="1"/>
                <w:color w:val="auto"/>
              </w:rPr>
              <w:t>Start Date</w:t>
            </w:r>
          </w:p>
        </w:tc>
        <w:tc>
          <w:tcPr>
            <w:tcW w:w="1200" w:type="dxa"/>
            <w:vAlign w:val="bottom"/>
            <w:tcBorders>
              <w:bottom w:val="single" w:sz="8" w:color="auto"/>
            </w:tcBorders>
          </w:tcPr>
          <w:p>
            <w:pPr>
              <w:jc w:val="right"/>
              <w:ind w:right="186"/>
              <w:spacing w:after="0"/>
              <w:rPr>
                <w:sz w:val="20"/>
                <w:szCs w:val="20"/>
                <w:color w:val="auto"/>
              </w:rPr>
            </w:pPr>
            <w:r>
              <w:rPr>
                <w:rFonts w:ascii="Arial" w:cs="Arial" w:eastAsia="Arial" w:hAnsi="Arial"/>
                <w:sz w:val="19"/>
                <w:szCs w:val="19"/>
                <w:b w:val="1"/>
                <w:bCs w:val="1"/>
                <w:color w:val="auto"/>
              </w:rPr>
              <w:t>End Date</w:t>
            </w:r>
          </w:p>
        </w:tc>
        <w:tc>
          <w:tcPr>
            <w:tcW w:w="120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b w:val="1"/>
                <w:bCs w:val="1"/>
                <w:color w:val="auto"/>
                <w:w w:val="99"/>
              </w:rPr>
              <w:t>Commodity</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85"/>
              </w:rPr>
              <w:t>Type</w:t>
            </w:r>
          </w:p>
        </w:tc>
        <w:tc>
          <w:tcPr>
            <w:tcW w:w="1240" w:type="dxa"/>
            <w:vAlign w:val="bottom"/>
            <w:tcBorders>
              <w:bottom w:val="single" w:sz="8" w:color="auto"/>
            </w:tcBorders>
          </w:tcPr>
          <w:p>
            <w:pPr>
              <w:jc w:val="right"/>
              <w:ind w:right="146"/>
              <w:spacing w:after="0"/>
              <w:rPr>
                <w:sz w:val="20"/>
                <w:szCs w:val="20"/>
                <w:color w:val="auto"/>
              </w:rPr>
            </w:pPr>
            <w:r>
              <w:rPr>
                <w:rFonts w:ascii="Arial" w:cs="Arial" w:eastAsia="Arial" w:hAnsi="Arial"/>
                <w:sz w:val="19"/>
                <w:szCs w:val="19"/>
                <w:b w:val="1"/>
                <w:bCs w:val="1"/>
                <w:color w:val="auto"/>
              </w:rPr>
              <w:t>Quantity</w:t>
            </w:r>
          </w:p>
        </w:tc>
        <w:tc>
          <w:tcPr>
            <w:tcW w:w="11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46"/>
              <w:spacing w:after="0"/>
              <w:rPr>
                <w:sz w:val="20"/>
                <w:szCs w:val="20"/>
                <w:color w:val="auto"/>
              </w:rPr>
            </w:pPr>
            <w:r>
              <w:rPr>
                <w:rFonts w:ascii="Arial" w:cs="Arial" w:eastAsia="Arial" w:hAnsi="Arial"/>
                <w:sz w:val="19"/>
                <w:szCs w:val="19"/>
                <w:b w:val="1"/>
                <w:bCs w:val="1"/>
                <w:color w:val="auto"/>
                <w:w w:val="92"/>
              </w:rPr>
              <w:t>Floor</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386"/>
              <w:spacing w:after="0"/>
              <w:rPr>
                <w:sz w:val="20"/>
                <w:szCs w:val="20"/>
                <w:color w:val="auto"/>
              </w:rPr>
            </w:pPr>
            <w:r>
              <w:rPr>
                <w:rFonts w:ascii="Arial" w:cs="Arial" w:eastAsia="Arial" w:hAnsi="Arial"/>
                <w:sz w:val="19"/>
                <w:szCs w:val="19"/>
                <w:b w:val="1"/>
                <w:bCs w:val="1"/>
                <w:color w:val="auto"/>
                <w:w w:val="91"/>
              </w:rPr>
              <w:t>Ceiling</w:t>
            </w:r>
          </w:p>
        </w:tc>
        <w:tc>
          <w:tcPr>
            <w:tcW w:w="1000" w:type="dxa"/>
            <w:vAlign w:val="bottom"/>
            <w:tcBorders>
              <w:bottom w:val="single" w:sz="8" w:color="auto"/>
            </w:tcBorders>
          </w:tcPr>
          <w:p>
            <w:pPr>
              <w:jc w:val="center"/>
              <w:ind w:right="146"/>
              <w:spacing w:after="0"/>
              <w:rPr>
                <w:sz w:val="20"/>
                <w:szCs w:val="20"/>
                <w:color w:val="auto"/>
              </w:rPr>
            </w:pPr>
            <w:r>
              <w:rPr>
                <w:rFonts w:ascii="Arial" w:cs="Arial" w:eastAsia="Arial" w:hAnsi="Arial"/>
                <w:sz w:val="19"/>
                <w:szCs w:val="19"/>
                <w:b w:val="1"/>
                <w:bCs w:val="1"/>
                <w:color w:val="auto"/>
                <w:w w:val="93"/>
              </w:rPr>
              <w:t>Premium</w:t>
            </w:r>
          </w:p>
        </w:tc>
      </w:tr>
      <w:tr>
        <w:trPr>
          <w:trHeight w:val="214"/>
        </w:trPr>
        <w:tc>
          <w:tcPr>
            <w:tcW w:w="1440" w:type="dxa"/>
            <w:vAlign w:val="bottom"/>
          </w:tcPr>
          <w:p>
            <w:pPr>
              <w:jc w:val="right"/>
              <w:ind w:right="66"/>
              <w:spacing w:after="0" w:line="214" w:lineRule="exact"/>
              <w:rPr>
                <w:sz w:val="20"/>
                <w:szCs w:val="20"/>
                <w:color w:val="auto"/>
              </w:rPr>
            </w:pPr>
            <w:r>
              <w:rPr>
                <w:rFonts w:ascii="Arial" w:cs="Arial" w:eastAsia="Arial" w:hAnsi="Arial"/>
                <w:sz w:val="19"/>
                <w:szCs w:val="19"/>
                <w:color w:val="auto"/>
              </w:rPr>
              <w:t>4/1/2021</w:t>
            </w:r>
          </w:p>
        </w:tc>
        <w:tc>
          <w:tcPr>
            <w:tcW w:w="1200" w:type="dxa"/>
            <w:vAlign w:val="bottom"/>
          </w:tcPr>
          <w:p>
            <w:pPr>
              <w:jc w:val="right"/>
              <w:ind w:right="26"/>
              <w:spacing w:after="0" w:line="214" w:lineRule="exact"/>
              <w:rPr>
                <w:sz w:val="20"/>
                <w:szCs w:val="20"/>
                <w:color w:val="auto"/>
              </w:rPr>
            </w:pPr>
            <w:r>
              <w:rPr>
                <w:rFonts w:ascii="Arial" w:cs="Arial" w:eastAsia="Arial" w:hAnsi="Arial"/>
                <w:sz w:val="19"/>
                <w:szCs w:val="19"/>
                <w:color w:val="auto"/>
              </w:rPr>
              <w:t>10/31/2023</w:t>
            </w:r>
          </w:p>
        </w:tc>
        <w:tc>
          <w:tcPr>
            <w:tcW w:w="1200" w:type="dxa"/>
            <w:vAlign w:val="bottom"/>
          </w:tcPr>
          <w:p>
            <w:pPr>
              <w:jc w:val="right"/>
              <w:spacing w:after="0" w:line="214" w:lineRule="exact"/>
              <w:rPr>
                <w:sz w:val="20"/>
                <w:szCs w:val="20"/>
                <w:color w:val="auto"/>
              </w:rPr>
            </w:pPr>
            <w:r>
              <w:rPr>
                <w:rFonts w:ascii="Arial" w:cs="Arial" w:eastAsia="Arial" w:hAnsi="Arial"/>
                <w:sz w:val="19"/>
                <w:szCs w:val="19"/>
                <w:color w:val="auto"/>
              </w:rPr>
              <w:t>Natural Gas</w:t>
            </w:r>
          </w:p>
        </w:tc>
        <w:tc>
          <w:tcPr>
            <w:tcW w:w="1180" w:type="dxa"/>
            <w:vAlign w:val="bottom"/>
          </w:tcPr>
          <w:p>
            <w:pPr>
              <w:ind w:left="100"/>
              <w:spacing w:after="0" w:line="214" w:lineRule="exact"/>
              <w:rPr>
                <w:sz w:val="20"/>
                <w:szCs w:val="20"/>
                <w:color w:val="auto"/>
              </w:rPr>
            </w:pPr>
            <w:r>
              <w:rPr>
                <w:rFonts w:ascii="Arial" w:cs="Arial" w:eastAsia="Arial" w:hAnsi="Arial"/>
                <w:sz w:val="19"/>
                <w:szCs w:val="19"/>
                <w:color w:val="auto"/>
              </w:rPr>
              <w:t>Collar</w:t>
            </w:r>
          </w:p>
        </w:tc>
        <w:tc>
          <w:tcPr>
            <w:tcW w:w="1240" w:type="dxa"/>
            <w:vAlign w:val="bottom"/>
          </w:tcPr>
          <w:p>
            <w:pPr>
              <w:jc w:val="right"/>
              <w:ind w:right="46"/>
              <w:spacing w:after="0" w:line="214" w:lineRule="exact"/>
              <w:rPr>
                <w:sz w:val="20"/>
                <w:szCs w:val="20"/>
                <w:color w:val="auto"/>
              </w:rPr>
            </w:pPr>
            <w:r>
              <w:rPr>
                <w:rFonts w:ascii="Arial" w:cs="Arial" w:eastAsia="Arial" w:hAnsi="Arial"/>
                <w:sz w:val="19"/>
                <w:szCs w:val="19"/>
                <w:color w:val="auto"/>
              </w:rPr>
              <w:t>3,442,500</w:t>
            </w:r>
          </w:p>
        </w:tc>
        <w:tc>
          <w:tcPr>
            <w:tcW w:w="1140" w:type="dxa"/>
            <w:vAlign w:val="bottom"/>
          </w:tcPr>
          <w:p>
            <w:pPr>
              <w:ind w:left="140"/>
              <w:spacing w:after="0" w:line="214" w:lineRule="exact"/>
              <w:rPr>
                <w:sz w:val="20"/>
                <w:szCs w:val="20"/>
                <w:color w:val="auto"/>
              </w:rPr>
            </w:pPr>
            <w:r>
              <w:rPr>
                <w:rFonts w:ascii="Arial" w:cs="Arial" w:eastAsia="Arial" w:hAnsi="Arial"/>
                <w:sz w:val="19"/>
                <w:szCs w:val="19"/>
                <w:color w:val="auto"/>
              </w:rPr>
              <w:t>MMBTU</w:t>
            </w:r>
          </w:p>
        </w:tc>
        <w:tc>
          <w:tcPr>
            <w:tcW w:w="380" w:type="dxa"/>
            <w:vAlign w:val="bottom"/>
          </w:tcPr>
          <w:p>
            <w:pPr>
              <w:jc w:val="right"/>
              <w:spacing w:after="0" w:line="214" w:lineRule="exact"/>
              <w:rPr>
                <w:sz w:val="20"/>
                <w:szCs w:val="20"/>
                <w:color w:val="auto"/>
              </w:rPr>
            </w:pPr>
            <w:r>
              <w:rPr>
                <w:rFonts w:ascii="Arial" w:cs="Arial" w:eastAsia="Arial" w:hAnsi="Arial"/>
                <w:sz w:val="19"/>
                <w:szCs w:val="19"/>
                <w:color w:val="auto"/>
              </w:rPr>
              <w:t>$</w:t>
            </w:r>
          </w:p>
        </w:tc>
        <w:tc>
          <w:tcPr>
            <w:tcW w:w="960" w:type="dxa"/>
            <w:vAlign w:val="bottom"/>
          </w:tcPr>
          <w:p>
            <w:pPr>
              <w:jc w:val="right"/>
              <w:ind w:right="46"/>
              <w:spacing w:after="0" w:line="214" w:lineRule="exact"/>
              <w:rPr>
                <w:sz w:val="20"/>
                <w:szCs w:val="20"/>
                <w:color w:val="auto"/>
              </w:rPr>
            </w:pPr>
            <w:r>
              <w:rPr>
                <w:rFonts w:ascii="Arial" w:cs="Arial" w:eastAsia="Arial" w:hAnsi="Arial"/>
                <w:sz w:val="19"/>
                <w:szCs w:val="19"/>
                <w:color w:val="auto"/>
              </w:rPr>
              <w:t>2.575</w:t>
            </w:r>
          </w:p>
        </w:tc>
        <w:tc>
          <w:tcPr>
            <w:tcW w:w="240" w:type="dxa"/>
            <w:vAlign w:val="bottom"/>
          </w:tcPr>
          <w:p>
            <w:pPr>
              <w:jc w:val="right"/>
              <w:spacing w:after="0" w:line="214" w:lineRule="exact"/>
              <w:rPr>
                <w:sz w:val="20"/>
                <w:szCs w:val="20"/>
                <w:color w:val="auto"/>
              </w:rPr>
            </w:pPr>
            <w:r>
              <w:rPr>
                <w:rFonts w:ascii="Arial" w:cs="Arial" w:eastAsia="Arial" w:hAnsi="Arial"/>
                <w:sz w:val="19"/>
                <w:szCs w:val="19"/>
                <w:color w:val="auto"/>
              </w:rPr>
              <w:t>$</w:t>
            </w:r>
          </w:p>
        </w:tc>
        <w:tc>
          <w:tcPr>
            <w:tcW w:w="1260" w:type="dxa"/>
            <w:vAlign w:val="bottom"/>
          </w:tcPr>
          <w:p>
            <w:pPr>
              <w:jc w:val="right"/>
              <w:ind w:right="306"/>
              <w:spacing w:after="0" w:line="214" w:lineRule="exact"/>
              <w:rPr>
                <w:sz w:val="20"/>
                <w:szCs w:val="20"/>
                <w:color w:val="auto"/>
              </w:rPr>
            </w:pPr>
            <w:r>
              <w:rPr>
                <w:rFonts w:ascii="Arial" w:cs="Arial" w:eastAsia="Arial" w:hAnsi="Arial"/>
                <w:sz w:val="19"/>
                <w:szCs w:val="19"/>
                <w:color w:val="auto"/>
              </w:rPr>
              <w:t>3.153</w:t>
            </w:r>
          </w:p>
        </w:tc>
        <w:tc>
          <w:tcPr>
            <w:tcW w:w="1000" w:type="dxa"/>
            <w:vAlign w:val="bottom"/>
          </w:tcPr>
          <w:p>
            <w:pPr>
              <w:jc w:val="right"/>
              <w:ind w:right="46"/>
              <w:spacing w:after="0" w:line="214" w:lineRule="exact"/>
              <w:rPr>
                <w:sz w:val="20"/>
                <w:szCs w:val="20"/>
                <w:color w:val="auto"/>
              </w:rPr>
            </w:pPr>
            <w:r>
              <w:rPr>
                <w:rFonts w:ascii="Arial" w:cs="Arial" w:eastAsia="Arial" w:hAnsi="Arial"/>
                <w:sz w:val="19"/>
                <w:szCs w:val="19"/>
                <w:color w:val="auto"/>
              </w:rPr>
              <w:t>Costless</w:t>
            </w:r>
          </w:p>
        </w:tc>
      </w:tr>
      <w:tr>
        <w:trPr>
          <w:trHeight w:val="238"/>
        </w:trPr>
        <w:tc>
          <w:tcPr>
            <w:tcW w:w="1440" w:type="dxa"/>
            <w:vAlign w:val="bottom"/>
            <w:tcBorders>
              <w:bottom w:val="single" w:sz="8" w:color="auto"/>
            </w:tcBorders>
          </w:tcPr>
          <w:p>
            <w:pPr>
              <w:jc w:val="right"/>
              <w:ind w:right="66"/>
              <w:spacing w:after="0"/>
              <w:rPr>
                <w:sz w:val="20"/>
                <w:szCs w:val="20"/>
                <w:color w:val="auto"/>
              </w:rPr>
            </w:pPr>
            <w:r>
              <w:rPr>
                <w:rFonts w:ascii="Arial" w:cs="Arial" w:eastAsia="Arial" w:hAnsi="Arial"/>
                <w:sz w:val="19"/>
                <w:szCs w:val="19"/>
                <w:color w:val="auto"/>
              </w:rPr>
              <w:t>1/1/2021</w:t>
            </w:r>
          </w:p>
        </w:tc>
        <w:tc>
          <w:tcPr>
            <w:tcW w:w="120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3/31/2023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Crude Oil</w:t>
            </w:r>
          </w:p>
        </w:tc>
        <w:tc>
          <w:tcPr>
            <w:tcW w:w="1180" w:type="dxa"/>
            <w:vAlign w:val="bottom"/>
            <w:tcBorders>
              <w:bottom w:val="single" w:sz="8" w:color="auto"/>
            </w:tcBorders>
          </w:tcPr>
          <w:p>
            <w:pPr>
              <w:ind w:left="100"/>
              <w:spacing w:after="0"/>
              <w:rPr>
                <w:sz w:val="20"/>
                <w:szCs w:val="20"/>
                <w:color w:val="auto"/>
              </w:rPr>
            </w:pPr>
            <w:r>
              <w:rPr>
                <w:rFonts w:ascii="Arial" w:cs="Arial" w:eastAsia="Arial" w:hAnsi="Arial"/>
                <w:sz w:val="19"/>
                <w:szCs w:val="19"/>
                <w:color w:val="auto"/>
              </w:rPr>
              <w:t>Put</w:t>
            </w:r>
          </w:p>
        </w:tc>
        <w:tc>
          <w:tcPr>
            <w:tcW w:w="124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153,400</w:t>
            </w: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9"/>
                <w:szCs w:val="19"/>
                <w:color w:val="auto"/>
              </w:rPr>
              <w:t>BBL</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25.000</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N/A   $</w:t>
            </w:r>
          </w:p>
        </w:tc>
        <w:tc>
          <w:tcPr>
            <w:tcW w:w="100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1.919</w:t>
            </w:r>
          </w:p>
        </w:tc>
      </w:tr>
      <w:tr>
        <w:trPr>
          <w:trHeight w:val="643"/>
        </w:trPr>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jc w:val="right"/>
              <w:ind w:right="446"/>
              <w:spacing w:after="0"/>
              <w:rPr>
                <w:sz w:val="20"/>
                <w:szCs w:val="20"/>
                <w:color w:val="auto"/>
              </w:rPr>
            </w:pPr>
            <w:r>
              <w:rPr>
                <w:rFonts w:ascii="Arial" w:cs="Arial" w:eastAsia="Arial" w:hAnsi="Arial"/>
                <w:sz w:val="19"/>
                <w:szCs w:val="19"/>
                <w:b w:val="1"/>
                <w:bCs w:val="1"/>
                <w:color w:val="auto"/>
              </w:rPr>
              <w:t>20</w:t>
            </w: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240"/>
          </w:cols>
          <w:pgMar w:left="320" w:top="116"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20"/>
          <w:szCs w:val="20"/>
          <w:b w:val="1"/>
          <w:bCs w:val="1"/>
          <w:color w:val="auto"/>
        </w:rPr>
        <w:t>Exhibit 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80"/>
        <w:spacing w:after="0"/>
        <w:rPr>
          <w:sz w:val="20"/>
          <w:szCs w:val="20"/>
          <w:color w:val="auto"/>
        </w:rPr>
      </w:pPr>
      <w:r>
        <w:rPr>
          <w:rFonts w:ascii="Arial" w:cs="Arial" w:eastAsia="Arial" w:hAnsi="Arial"/>
          <w:sz w:val="29"/>
          <w:szCs w:val="29"/>
          <w:b w:val="1"/>
          <w:bCs w:val="1"/>
          <w:color w:val="auto"/>
        </w:rPr>
        <w:t>RAM ENERGY HOLDINGS LLC</w:t>
      </w:r>
    </w:p>
    <w:p>
      <w:pPr>
        <w:spacing w:after="0" w:line="36" w:lineRule="exact"/>
        <w:rPr>
          <w:sz w:val="20"/>
          <w:szCs w:val="20"/>
          <w:color w:val="auto"/>
        </w:rPr>
      </w:pPr>
    </w:p>
    <w:p>
      <w:pPr>
        <w:ind w:left="4080"/>
        <w:spacing w:after="0"/>
        <w:rPr>
          <w:sz w:val="20"/>
          <w:szCs w:val="20"/>
          <w:color w:val="auto"/>
        </w:rPr>
      </w:pPr>
      <w:r>
        <w:rPr>
          <w:rFonts w:ascii="Arial" w:cs="Arial" w:eastAsia="Arial" w:hAnsi="Arial"/>
          <w:sz w:val="29"/>
          <w:szCs w:val="29"/>
          <w:b w:val="1"/>
          <w:bCs w:val="1"/>
          <w:color w:val="auto"/>
        </w:rPr>
        <w:t>AND SUBSIDIARIES</w:t>
      </w:r>
    </w:p>
    <w:p>
      <w:pPr>
        <w:spacing w:after="0" w:line="325" w:lineRule="exact"/>
        <w:rPr>
          <w:sz w:val="20"/>
          <w:szCs w:val="20"/>
          <w:color w:val="auto"/>
        </w:rPr>
      </w:pPr>
    </w:p>
    <w:p>
      <w:pPr>
        <w:ind w:left="4080"/>
        <w:spacing w:after="0"/>
        <w:rPr>
          <w:sz w:val="20"/>
          <w:szCs w:val="20"/>
          <w:color w:val="auto"/>
        </w:rPr>
      </w:pPr>
      <w:r>
        <w:rPr>
          <w:rFonts w:ascii="Arial" w:cs="Arial" w:eastAsia="Arial" w:hAnsi="Arial"/>
          <w:sz w:val="25"/>
          <w:szCs w:val="25"/>
          <w:color w:val="auto"/>
        </w:rPr>
        <w:t>Consolidated Financial Statements</w:t>
      </w:r>
    </w:p>
    <w:p>
      <w:pPr>
        <w:spacing w:after="0" w:line="302"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As of and for the Year Ended</w:t>
      </w:r>
    </w:p>
    <w:p>
      <w:pPr>
        <w:spacing w:after="0" w:line="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600075</wp:posOffset>
            </wp:positionV>
            <wp:extent cx="71748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115"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29"/>
          <w:szCs w:val="29"/>
          <w:b w:val="1"/>
          <w:bCs w:val="1"/>
          <w:color w:val="auto"/>
        </w:rPr>
        <w:t>RAM ENERGY HOLDINGS LLC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of and for the Year Ended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360045</wp:posOffset>
            </wp:positionV>
            <wp:extent cx="71748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48" w:name="page149"/>
    <w:bookmarkEnd w:id="148"/>
    <w:p>
      <w:pPr>
        <w:jc w:val="center"/>
        <w:ind w:right="20"/>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620" w:type="dxa"/>
            <w:vAlign w:val="bottom"/>
            <w:vMerge w:val="restart"/>
          </w:tcPr>
          <w:p>
            <w:pPr>
              <w:spacing w:after="0"/>
              <w:rPr>
                <w:sz w:val="20"/>
                <w:szCs w:val="20"/>
                <w:color w:val="auto"/>
              </w:rPr>
            </w:pPr>
            <w:r>
              <w:rPr>
                <w:rFonts w:ascii="Arial" w:cs="Arial" w:eastAsia="Arial" w:hAnsi="Arial"/>
                <w:sz w:val="19"/>
                <w:szCs w:val="19"/>
                <w:b w:val="1"/>
                <w:bCs w:val="1"/>
                <w:color w:val="auto"/>
              </w:rPr>
              <w:t>Independent Auditor’s Report</w:t>
            </w:r>
          </w:p>
        </w:tc>
        <w:tc>
          <w:tcPr>
            <w:tcW w:w="2640" w:type="dxa"/>
            <w:vAlign w:val="bottom"/>
          </w:tcPr>
          <w:p>
            <w:pPr>
              <w:jc w:val="right"/>
              <w:spacing w:after="0"/>
              <w:rPr>
                <w:sz w:val="20"/>
                <w:szCs w:val="20"/>
                <w:color w:val="auto"/>
              </w:rPr>
            </w:pPr>
            <w:r>
              <w:rPr>
                <w:rFonts w:ascii="Arial" w:cs="Arial" w:eastAsia="Arial" w:hAnsi="Arial"/>
                <w:sz w:val="19"/>
                <w:szCs w:val="19"/>
                <w:b w:val="1"/>
                <w:bCs w:val="1"/>
                <w:color w:val="auto"/>
              </w:rPr>
              <w:t>Page</w:t>
            </w:r>
          </w:p>
        </w:tc>
        <w:tc>
          <w:tcPr>
            <w:tcW w:w="0" w:type="dxa"/>
            <w:vAlign w:val="bottom"/>
          </w:tcPr>
          <w:p>
            <w:pPr>
              <w:spacing w:after="0"/>
              <w:rPr>
                <w:sz w:val="1"/>
                <w:szCs w:val="1"/>
                <w:color w:val="auto"/>
              </w:rPr>
            </w:pPr>
          </w:p>
        </w:tc>
      </w:tr>
      <w:tr>
        <w:trPr>
          <w:trHeight w:val="240"/>
        </w:trPr>
        <w:tc>
          <w:tcPr>
            <w:tcW w:w="8620" w:type="dxa"/>
            <w:vAlign w:val="bottom"/>
            <w:vMerge w:val="continue"/>
          </w:tcPr>
          <w:p>
            <w:pPr>
              <w:spacing w:after="0"/>
              <w:rPr>
                <w:sz w:val="20"/>
                <w:szCs w:val="20"/>
                <w:color w:val="auto"/>
              </w:rPr>
            </w:pPr>
          </w:p>
        </w:tc>
        <w:tc>
          <w:tcPr>
            <w:tcW w:w="2640" w:type="dxa"/>
            <w:vAlign w:val="bottom"/>
          </w:tcPr>
          <w:p>
            <w:pPr>
              <w:jc w:val="right"/>
              <w:spacing w:after="0"/>
              <w:rPr>
                <w:sz w:val="20"/>
                <w:szCs w:val="20"/>
                <w:color w:val="auto"/>
              </w:rPr>
            </w:pP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432"/>
        </w:trPr>
        <w:tc>
          <w:tcPr>
            <w:tcW w:w="8620" w:type="dxa"/>
            <w:vAlign w:val="bottom"/>
          </w:tcPr>
          <w:p>
            <w:pPr>
              <w:spacing w:after="0"/>
              <w:rPr>
                <w:sz w:val="20"/>
                <w:szCs w:val="20"/>
                <w:color w:val="auto"/>
              </w:rPr>
            </w:pPr>
            <w:r>
              <w:rPr>
                <w:rFonts w:ascii="Arial" w:cs="Arial" w:eastAsia="Arial" w:hAnsi="Arial"/>
                <w:sz w:val="19"/>
                <w:szCs w:val="19"/>
                <w:b w:val="1"/>
                <w:bCs w:val="1"/>
                <w:color w:val="auto"/>
              </w:rPr>
              <w:t>Consolidated Financial Statements</w:t>
            </w:r>
          </w:p>
        </w:tc>
        <w:tc>
          <w:tcPr>
            <w:tcW w:w="2640" w:type="dxa"/>
            <w:vAlign w:val="bottom"/>
          </w:tcPr>
          <w:p>
            <w:pPr>
              <w:jc w:val="right"/>
              <w:spacing w:after="0"/>
              <w:rPr>
                <w:sz w:val="20"/>
                <w:szCs w:val="20"/>
                <w:color w:val="auto"/>
              </w:rPr>
            </w:pPr>
            <w:r>
              <w:rPr>
                <w:rFonts w:ascii="Arial" w:cs="Arial" w:eastAsia="Arial" w:hAnsi="Arial"/>
                <w:sz w:val="19"/>
                <w:szCs w:val="19"/>
                <w:color w:val="auto"/>
              </w:rPr>
              <w:t>4</w:t>
            </w:r>
          </w:p>
        </w:tc>
        <w:tc>
          <w:tcPr>
            <w:tcW w:w="0" w:type="dxa"/>
            <w:vAlign w:val="bottom"/>
          </w:tcPr>
          <w:p>
            <w:pPr>
              <w:spacing w:after="0"/>
              <w:rPr>
                <w:sz w:val="1"/>
                <w:szCs w:val="1"/>
                <w:color w:val="auto"/>
              </w:rPr>
            </w:pPr>
          </w:p>
        </w:tc>
      </w:tr>
      <w:tr>
        <w:trPr>
          <w:trHeight w:val="432"/>
        </w:trPr>
        <w:tc>
          <w:tcPr>
            <w:tcW w:w="8620" w:type="dxa"/>
            <w:vAlign w:val="bottom"/>
          </w:tcPr>
          <w:p>
            <w:pPr>
              <w:spacing w:after="0"/>
              <w:rPr>
                <w:sz w:val="20"/>
                <w:szCs w:val="20"/>
                <w:color w:val="auto"/>
              </w:rPr>
            </w:pPr>
            <w:r>
              <w:rPr>
                <w:rFonts w:ascii="Arial" w:cs="Arial" w:eastAsia="Arial" w:hAnsi="Arial"/>
                <w:sz w:val="19"/>
                <w:szCs w:val="19"/>
                <w:color w:val="auto"/>
              </w:rPr>
              <w:t>Consolidated Balance Sheet as of September 30, 2019</w:t>
            </w:r>
          </w:p>
        </w:tc>
        <w:tc>
          <w:tcPr>
            <w:tcW w:w="2640" w:type="dxa"/>
            <w:vAlign w:val="bottom"/>
          </w:tcPr>
          <w:p>
            <w:pPr>
              <w:jc w:val="right"/>
              <w:spacing w:after="0"/>
              <w:rPr>
                <w:sz w:val="20"/>
                <w:szCs w:val="20"/>
                <w:color w:val="auto"/>
              </w:rPr>
            </w:pPr>
            <w:r>
              <w:rPr>
                <w:rFonts w:ascii="Arial" w:cs="Arial" w:eastAsia="Arial" w:hAnsi="Arial"/>
                <w:sz w:val="19"/>
                <w:szCs w:val="19"/>
                <w:color w:val="auto"/>
              </w:rPr>
              <w:t>5-6</w:t>
            </w:r>
          </w:p>
        </w:tc>
        <w:tc>
          <w:tcPr>
            <w:tcW w:w="0" w:type="dxa"/>
            <w:vAlign w:val="bottom"/>
          </w:tcPr>
          <w:p>
            <w:pPr>
              <w:spacing w:after="0"/>
              <w:rPr>
                <w:sz w:val="1"/>
                <w:szCs w:val="1"/>
                <w:color w:val="auto"/>
              </w:rPr>
            </w:pPr>
          </w:p>
        </w:tc>
      </w:tr>
      <w:tr>
        <w:trPr>
          <w:trHeight w:val="432"/>
        </w:trPr>
        <w:tc>
          <w:tcPr>
            <w:tcW w:w="8620" w:type="dxa"/>
            <w:vAlign w:val="bottom"/>
          </w:tcPr>
          <w:p>
            <w:pPr>
              <w:spacing w:after="0"/>
              <w:rPr>
                <w:sz w:val="20"/>
                <w:szCs w:val="20"/>
                <w:color w:val="auto"/>
              </w:rPr>
            </w:pPr>
            <w:r>
              <w:rPr>
                <w:rFonts w:ascii="Arial" w:cs="Arial" w:eastAsia="Arial" w:hAnsi="Arial"/>
                <w:sz w:val="19"/>
                <w:szCs w:val="19"/>
                <w:color w:val="auto"/>
              </w:rPr>
              <w:t>Consolidated Statement of Operations for the Year Ended September 30, 2019</w:t>
            </w:r>
          </w:p>
        </w:tc>
        <w:tc>
          <w:tcPr>
            <w:tcW w:w="2640" w:type="dxa"/>
            <w:vAlign w:val="bottom"/>
          </w:tcPr>
          <w:p>
            <w:pPr>
              <w:jc w:val="right"/>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432"/>
        </w:trPr>
        <w:tc>
          <w:tcPr>
            <w:tcW w:w="8620" w:type="dxa"/>
            <w:vAlign w:val="bottom"/>
          </w:tcPr>
          <w:p>
            <w:pPr>
              <w:spacing w:after="0"/>
              <w:rPr>
                <w:sz w:val="20"/>
                <w:szCs w:val="20"/>
                <w:color w:val="auto"/>
              </w:rPr>
            </w:pPr>
            <w:r>
              <w:rPr>
                <w:rFonts w:ascii="Arial" w:cs="Arial" w:eastAsia="Arial" w:hAnsi="Arial"/>
                <w:sz w:val="19"/>
                <w:szCs w:val="19"/>
                <w:color w:val="auto"/>
              </w:rPr>
              <w:t>Consolidated Statement of Member’s Deficit for the Year Ended September 30, 2019</w:t>
            </w:r>
          </w:p>
        </w:tc>
        <w:tc>
          <w:tcPr>
            <w:tcW w:w="2640" w:type="dxa"/>
            <w:vAlign w:val="bottom"/>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r>
        <w:trPr>
          <w:trHeight w:val="432"/>
        </w:trPr>
        <w:tc>
          <w:tcPr>
            <w:tcW w:w="8620" w:type="dxa"/>
            <w:vAlign w:val="bottom"/>
          </w:tcPr>
          <w:p>
            <w:pPr>
              <w:spacing w:after="0"/>
              <w:rPr>
                <w:sz w:val="20"/>
                <w:szCs w:val="20"/>
                <w:color w:val="auto"/>
              </w:rPr>
            </w:pPr>
            <w:r>
              <w:rPr>
                <w:rFonts w:ascii="Arial" w:cs="Arial" w:eastAsia="Arial" w:hAnsi="Arial"/>
                <w:sz w:val="19"/>
                <w:szCs w:val="19"/>
                <w:color w:val="auto"/>
              </w:rPr>
              <w:t>Consolidated Statement of Cash Flows for the Year Ended September 30, 2019</w:t>
            </w:r>
          </w:p>
        </w:tc>
        <w:tc>
          <w:tcPr>
            <w:tcW w:w="2640" w:type="dxa"/>
            <w:vAlign w:val="bottom"/>
          </w:tcPr>
          <w:p>
            <w:pPr>
              <w:jc w:val="right"/>
              <w:spacing w:after="0"/>
              <w:rPr>
                <w:sz w:val="20"/>
                <w:szCs w:val="20"/>
                <w:color w:val="auto"/>
              </w:rPr>
            </w:pPr>
            <w:r>
              <w:rPr>
                <w:rFonts w:ascii="Arial" w:cs="Arial" w:eastAsia="Arial" w:hAnsi="Arial"/>
                <w:sz w:val="19"/>
                <w:szCs w:val="19"/>
                <w:color w:val="auto"/>
              </w:rPr>
              <w:t>9</w:t>
            </w:r>
          </w:p>
        </w:tc>
        <w:tc>
          <w:tcPr>
            <w:tcW w:w="0" w:type="dxa"/>
            <w:vAlign w:val="bottom"/>
          </w:tcPr>
          <w:p>
            <w:pPr>
              <w:spacing w:after="0"/>
              <w:rPr>
                <w:sz w:val="1"/>
                <w:szCs w:val="1"/>
                <w:color w:val="auto"/>
              </w:rPr>
            </w:pPr>
          </w:p>
        </w:tc>
      </w:tr>
      <w:tr>
        <w:trPr>
          <w:trHeight w:val="432"/>
        </w:trPr>
        <w:tc>
          <w:tcPr>
            <w:tcW w:w="8620" w:type="dxa"/>
            <w:vAlign w:val="bottom"/>
          </w:tcPr>
          <w:p>
            <w:pPr>
              <w:spacing w:after="0"/>
              <w:rPr>
                <w:sz w:val="20"/>
                <w:szCs w:val="20"/>
                <w:color w:val="auto"/>
              </w:rPr>
            </w:pPr>
            <w:r>
              <w:rPr>
                <w:rFonts w:ascii="Arial" w:cs="Arial" w:eastAsia="Arial" w:hAnsi="Arial"/>
                <w:sz w:val="19"/>
                <w:szCs w:val="19"/>
                <w:color w:val="auto"/>
              </w:rPr>
              <w:t>Notes to Consolidated Financial Statements</w:t>
            </w:r>
          </w:p>
        </w:tc>
        <w:tc>
          <w:tcPr>
            <w:tcW w:w="2640" w:type="dxa"/>
            <w:vAlign w:val="bottom"/>
          </w:tcPr>
          <w:p>
            <w:pPr>
              <w:jc w:val="right"/>
              <w:spacing w:after="0"/>
              <w:rPr>
                <w:sz w:val="20"/>
                <w:szCs w:val="20"/>
                <w:color w:val="auto"/>
              </w:rPr>
            </w:pPr>
            <w:r>
              <w:rPr>
                <w:rFonts w:ascii="Arial" w:cs="Arial" w:eastAsia="Arial" w:hAnsi="Arial"/>
                <w:sz w:val="19"/>
                <w:szCs w:val="19"/>
                <w:color w:val="auto"/>
              </w:rPr>
              <w:t>10-19</w:t>
            </w:r>
          </w:p>
        </w:tc>
        <w:tc>
          <w:tcPr>
            <w:tcW w:w="0" w:type="dxa"/>
            <w:vAlign w:val="bottom"/>
          </w:tcPr>
          <w:p>
            <w:pPr>
              <w:spacing w:after="0"/>
              <w:rPr>
                <w:sz w:val="1"/>
                <w:szCs w:val="1"/>
                <w:color w:val="auto"/>
              </w:rPr>
            </w:pPr>
          </w:p>
        </w:tc>
      </w:tr>
      <w:tr>
        <w:trPr>
          <w:trHeight w:val="1161"/>
        </w:trPr>
        <w:tc>
          <w:tcPr>
            <w:tcW w:w="8620" w:type="dxa"/>
            <w:vAlign w:val="bottom"/>
          </w:tcPr>
          <w:p>
            <w:pPr>
              <w:ind w:left="5580"/>
              <w:spacing w:after="0"/>
              <w:rPr>
                <w:sz w:val="20"/>
                <w:szCs w:val="20"/>
                <w:color w:val="auto"/>
              </w:rPr>
            </w:pPr>
            <w:r>
              <w:rPr>
                <w:rFonts w:ascii="Arial" w:cs="Arial" w:eastAsia="Arial" w:hAnsi="Arial"/>
                <w:sz w:val="19"/>
                <w:szCs w:val="19"/>
                <w:b w:val="1"/>
                <w:bCs w:val="1"/>
                <w:color w:val="auto"/>
              </w:rPr>
              <w:t>2</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8620" w:type="dxa"/>
            <w:vAlign w:val="bottom"/>
            <w:tcBorders>
              <w:bottom w:val="single" w:sz="8" w:color="9A9A9A"/>
            </w:tcBorders>
          </w:tcPr>
          <w:p>
            <w:pPr>
              <w:spacing w:after="0"/>
              <w:rPr>
                <w:sz w:val="9"/>
                <w:szCs w:val="9"/>
                <w:color w:val="auto"/>
              </w:rPr>
            </w:pPr>
          </w:p>
        </w:tc>
        <w:tc>
          <w:tcPr>
            <w:tcW w:w="26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149" w:name="page150"/>
    <w:bookmarkEnd w:id="149"/>
    <w:p>
      <w:pPr>
        <w:spacing w:after="0"/>
        <w:rPr>
          <w:sz w:val="20"/>
          <w:szCs w:val="20"/>
          <w:color w:val="auto"/>
        </w:rPr>
      </w:pPr>
      <w:r>
        <w:rPr>
          <w:rFonts w:ascii="Arial" w:cs="Arial" w:eastAsia="Arial" w:hAnsi="Arial"/>
          <w:sz w:val="19"/>
          <w:szCs w:val="19"/>
          <w:b w:val="1"/>
          <w:bCs w:val="1"/>
          <w:color w:val="auto"/>
        </w:rPr>
        <w:t>Independent Auditor’s Report</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color w:val="auto"/>
        </w:rPr>
        <w:t>To the Board of Directors RAM Energy</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Holdings LLC</w:t>
      </w:r>
    </w:p>
    <w:p>
      <w:pPr>
        <w:spacing w:after="0"/>
        <w:rPr>
          <w:sz w:val="20"/>
          <w:szCs w:val="20"/>
          <w:color w:val="auto"/>
        </w:rPr>
      </w:pPr>
      <w:r>
        <w:rPr>
          <w:rFonts w:ascii="Arial" w:cs="Arial" w:eastAsia="Arial" w:hAnsi="Arial"/>
          <w:sz w:val="19"/>
          <w:szCs w:val="19"/>
          <w:color w:val="auto"/>
        </w:rPr>
        <w:t>Tulsa, Oklahoma</w:t>
      </w:r>
    </w:p>
    <w:p>
      <w:pPr>
        <w:spacing w:after="0" w:line="130"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We have audited the accompanying consolidated financial statements of RAM Energy Holdings LLC and its subsidiaries (the “Company”), which comprise the consolidated balance sheet as of September 30, 2019, and the related consolidated statements of operations, member’s deficit, and cash flows for the year then ended, and the related notes to the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Management’s Responsibility for the Consolidated Financial Statements</w:t>
      </w:r>
    </w:p>
    <w:p>
      <w:pPr>
        <w:spacing w:after="0" w:line="106"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Management is responsible for the preparation and fair presentation of these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Auditor’s Responsibility</w:t>
      </w:r>
    </w:p>
    <w:p>
      <w:pPr>
        <w:spacing w:after="0" w:line="10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Our responsibility is to express an opinion on these consolidated financial statements based on our audit. We conducted our audit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0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An audit involves performing procedures to obtain audit evidence about the amounts and disclosures in the consolidated financial statements. The procedures selected depend on the auditor’s judgment, including the assessment of the risks of material misstatement of the consolidated financial statements, whether due to fraud or error. In making those risk assessments, the auditor considers internal control relevant to the entity’s preparation and fair presentation of the consolidated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98" w:lineRule="exact"/>
        <w:rPr>
          <w:sz w:val="20"/>
          <w:szCs w:val="20"/>
          <w:color w:val="auto"/>
        </w:rPr>
      </w:pPr>
    </w:p>
    <w:p>
      <w:pPr>
        <w:ind w:right="2080"/>
        <w:spacing w:after="0" w:line="378" w:lineRule="auto"/>
        <w:rPr>
          <w:sz w:val="20"/>
          <w:szCs w:val="20"/>
          <w:color w:val="auto"/>
        </w:rPr>
      </w:pPr>
      <w:r>
        <w:rPr>
          <w:rFonts w:ascii="Arial" w:cs="Arial" w:eastAsia="Arial" w:hAnsi="Arial"/>
          <w:sz w:val="19"/>
          <w:szCs w:val="19"/>
          <w:color w:val="auto"/>
        </w:rPr>
        <w:t xml:space="preserve">We believe that the audit evidence we have obtained is sufficient and appropriate to provide a basis for our audit opinion. </w:t>
      </w:r>
      <w:r>
        <w:rPr>
          <w:rFonts w:ascii="Arial" w:cs="Arial" w:eastAsia="Arial" w:hAnsi="Arial"/>
          <w:sz w:val="19"/>
          <w:szCs w:val="19"/>
          <w:b w:val="1"/>
          <w:bCs w:val="1"/>
          <w:i w:val="1"/>
          <w:iCs w:val="1"/>
          <w:color w:val="auto"/>
        </w:rPr>
        <w:t>Opinion</w:t>
      </w:r>
    </w:p>
    <w:p>
      <w:pPr>
        <w:jc w:val="both"/>
        <w:spacing w:after="0" w:line="249" w:lineRule="auto"/>
        <w:rPr>
          <w:sz w:val="20"/>
          <w:szCs w:val="20"/>
          <w:color w:val="auto"/>
        </w:rPr>
      </w:pPr>
      <w:r>
        <w:rPr>
          <w:rFonts w:ascii="Arial" w:cs="Arial" w:eastAsia="Arial" w:hAnsi="Arial"/>
          <w:sz w:val="19"/>
          <w:szCs w:val="19"/>
          <w:color w:val="auto"/>
        </w:rPr>
        <w:t>In our opinion, the consolidated financial statements referred to above present fairly, in all material respects, the financial position of RAM Energy Holdings LLC and its subsidiaries as of September 30, 2019, and the results of their operations and their cash flows for the year then ended, in accordance with accounting principles generally accepted in the United States of America.</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/s/ BDO USA, LLP</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Houston, TX</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November 15, 2019</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748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0" w:name="page151"/>
    <w:bookmarkEnd w:id="1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60960</wp:posOffset>
            </wp:positionV>
            <wp:extent cx="713232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72390</wp:posOffset>
            </wp:positionV>
            <wp:extent cx="71748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328"/>
        </w:trPr>
        <w:tc>
          <w:tcPr>
            <w:tcW w:w="8660" w:type="dxa"/>
            <w:vAlign w:val="bottom"/>
          </w:tcPr>
          <w:p>
            <w:pPr>
              <w:ind w:left="3180"/>
              <w:spacing w:after="0"/>
              <w:rPr>
                <w:sz w:val="20"/>
                <w:szCs w:val="20"/>
                <w:color w:val="auto"/>
              </w:rPr>
            </w:pPr>
            <w:r>
              <w:rPr>
                <w:rFonts w:ascii="Arial" w:cs="Arial" w:eastAsia="Arial" w:hAnsi="Arial"/>
                <w:sz w:val="25"/>
                <w:szCs w:val="25"/>
                <w:b w:val="1"/>
                <w:bCs w:val="1"/>
                <w:color w:val="auto"/>
              </w:rPr>
              <w:t>RAM Energy Holdings LLC and Subsidiaries</w:t>
            </w:r>
          </w:p>
        </w:tc>
        <w:tc>
          <w:tcPr>
            <w:tcW w:w="10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17"/>
        </w:trPr>
        <w:tc>
          <w:tcPr>
            <w:tcW w:w="8660" w:type="dxa"/>
            <w:vAlign w:val="bottom"/>
            <w:tcBorders>
              <w:bottom w:val="single" w:sz="8" w:color="auto"/>
            </w:tcBorders>
          </w:tcPr>
          <w:p>
            <w:pPr>
              <w:ind w:left="4340"/>
              <w:spacing w:after="0"/>
              <w:rPr>
                <w:sz w:val="20"/>
                <w:szCs w:val="20"/>
                <w:color w:val="auto"/>
              </w:rPr>
            </w:pPr>
            <w:r>
              <w:rPr>
                <w:rFonts w:ascii="Arial" w:cs="Arial" w:eastAsia="Arial" w:hAnsi="Arial"/>
                <w:sz w:val="22"/>
                <w:szCs w:val="22"/>
                <w:b w:val="1"/>
                <w:bCs w:val="1"/>
                <w:color w:val="auto"/>
              </w:rPr>
              <w:t>Consolidated Balance Sheet</w:t>
            </w:r>
          </w:p>
        </w:tc>
        <w:tc>
          <w:tcPr>
            <w:tcW w:w="10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r>
        <w:trPr>
          <w:trHeight w:val="904"/>
        </w:trPr>
        <w:tc>
          <w:tcPr>
            <w:tcW w:w="866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i w:val="1"/>
                <w:iCs w:val="1"/>
                <w:color w:val="auto"/>
              </w:rPr>
              <w:t>September 30,</w:t>
            </w:r>
          </w:p>
        </w:tc>
        <w:tc>
          <w:tcPr>
            <w:tcW w:w="10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766"/>
              <w:spacing w:after="0"/>
              <w:rPr>
                <w:sz w:val="20"/>
                <w:szCs w:val="20"/>
                <w:color w:val="auto"/>
              </w:rPr>
            </w:pPr>
            <w:r>
              <w:rPr>
                <w:rFonts w:ascii="Arial" w:cs="Arial" w:eastAsia="Arial" w:hAnsi="Arial"/>
                <w:sz w:val="19"/>
                <w:szCs w:val="19"/>
                <w:b w:val="1"/>
                <w:bCs w:val="1"/>
                <w:color w:val="auto"/>
              </w:rPr>
              <w:t>2019</w:t>
            </w:r>
          </w:p>
        </w:tc>
      </w:tr>
      <w:tr>
        <w:trPr>
          <w:trHeight w:val="208"/>
        </w:trPr>
        <w:tc>
          <w:tcPr>
            <w:tcW w:w="8660" w:type="dxa"/>
            <w:vAlign w:val="bottom"/>
          </w:tcPr>
          <w:p>
            <w:pPr>
              <w:spacing w:after="0" w:line="208" w:lineRule="exact"/>
              <w:rPr>
                <w:sz w:val="20"/>
                <w:szCs w:val="20"/>
                <w:color w:val="auto"/>
              </w:rPr>
            </w:pPr>
            <w:r>
              <w:rPr>
                <w:rFonts w:ascii="Arial" w:cs="Arial" w:eastAsia="Arial" w:hAnsi="Arial"/>
                <w:sz w:val="19"/>
                <w:szCs w:val="19"/>
                <w:b w:val="1"/>
                <w:bCs w:val="1"/>
                <w:color w:val="auto"/>
              </w:rPr>
              <w:t>Assets</w:t>
            </w:r>
          </w:p>
        </w:tc>
        <w:tc>
          <w:tcPr>
            <w:tcW w:w="10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5"/>
        </w:trPr>
        <w:tc>
          <w:tcPr>
            <w:tcW w:w="8660" w:type="dxa"/>
            <w:vAlign w:val="bottom"/>
          </w:tcPr>
          <w:p>
            <w:pPr>
              <w:spacing w:after="0"/>
              <w:rPr>
                <w:sz w:val="20"/>
                <w:szCs w:val="20"/>
                <w:color w:val="auto"/>
              </w:rPr>
            </w:pPr>
            <w:r>
              <w:rPr>
                <w:rFonts w:ascii="Arial" w:cs="Arial" w:eastAsia="Arial" w:hAnsi="Arial"/>
                <w:sz w:val="19"/>
                <w:szCs w:val="19"/>
                <w:b w:val="1"/>
                <w:bCs w:val="1"/>
                <w:color w:val="auto"/>
              </w:rPr>
              <w:t>Current Assets</w:t>
            </w:r>
          </w:p>
        </w:tc>
        <w:tc>
          <w:tcPr>
            <w:tcW w:w="10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30"/>
        </w:trPr>
        <w:tc>
          <w:tcPr>
            <w:tcW w:w="8660" w:type="dxa"/>
            <w:vAlign w:val="bottom"/>
          </w:tcPr>
          <w:p>
            <w:pPr>
              <w:ind w:left="260"/>
              <w:spacing w:after="0"/>
              <w:rPr>
                <w:sz w:val="20"/>
                <w:szCs w:val="20"/>
                <w:color w:val="auto"/>
              </w:rPr>
            </w:pPr>
            <w:r>
              <w:rPr>
                <w:rFonts w:ascii="Arial" w:cs="Arial" w:eastAsia="Arial" w:hAnsi="Arial"/>
                <w:sz w:val="19"/>
                <w:szCs w:val="19"/>
                <w:color w:val="auto"/>
              </w:rPr>
              <w:t>Cash and cash equivalents</w:t>
            </w:r>
          </w:p>
        </w:tc>
        <w:tc>
          <w:tcPr>
            <w:tcW w:w="1020" w:type="dxa"/>
            <w:vAlign w:val="bottom"/>
          </w:tcPr>
          <w:p>
            <w:pPr>
              <w:jc w:val="right"/>
              <w:ind w:right="226"/>
              <w:spacing w:after="0"/>
              <w:rPr>
                <w:sz w:val="20"/>
                <w:szCs w:val="20"/>
                <w:color w:val="auto"/>
              </w:rPr>
            </w:pPr>
            <w:r>
              <w:rPr>
                <w:rFonts w:ascii="Arial" w:cs="Arial" w:eastAsia="Arial" w:hAnsi="Arial"/>
                <w:sz w:val="19"/>
                <w:szCs w:val="19"/>
                <w:color w:val="auto"/>
              </w:rPr>
              <w:t>$</w:t>
            </w: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3,192,507</w:t>
            </w:r>
          </w:p>
        </w:tc>
      </w:tr>
      <w:tr>
        <w:trPr>
          <w:trHeight w:val="229"/>
        </w:trPr>
        <w:tc>
          <w:tcPr>
            <w:tcW w:w="8660" w:type="dxa"/>
            <w:vAlign w:val="bottom"/>
          </w:tcPr>
          <w:p>
            <w:pPr>
              <w:ind w:left="260"/>
              <w:spacing w:after="0"/>
              <w:rPr>
                <w:sz w:val="20"/>
                <w:szCs w:val="20"/>
                <w:color w:val="auto"/>
              </w:rPr>
            </w:pPr>
            <w:r>
              <w:rPr>
                <w:rFonts w:ascii="Arial" w:cs="Arial" w:eastAsia="Arial" w:hAnsi="Arial"/>
                <w:sz w:val="19"/>
                <w:szCs w:val="19"/>
                <w:color w:val="auto"/>
              </w:rPr>
              <w:t>Accounts receivable, net</w:t>
            </w:r>
          </w:p>
        </w:tc>
        <w:tc>
          <w:tcPr>
            <w:tcW w:w="102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7,826,569</w:t>
            </w:r>
          </w:p>
        </w:tc>
      </w:tr>
      <w:tr>
        <w:trPr>
          <w:trHeight w:val="238"/>
        </w:trPr>
        <w:tc>
          <w:tcPr>
            <w:tcW w:w="866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Prepaid expenses</w:t>
            </w:r>
          </w:p>
        </w:tc>
        <w:tc>
          <w:tcPr>
            <w:tcW w:w="10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225,395</w:t>
            </w:r>
          </w:p>
        </w:tc>
      </w:tr>
      <w:tr>
        <w:trPr>
          <w:trHeight w:val="208"/>
        </w:trPr>
        <w:tc>
          <w:tcPr>
            <w:tcW w:w="8660" w:type="dxa"/>
            <w:vAlign w:val="bottom"/>
          </w:tcPr>
          <w:p>
            <w:pPr>
              <w:spacing w:after="0" w:line="208" w:lineRule="exact"/>
              <w:rPr>
                <w:sz w:val="20"/>
                <w:szCs w:val="20"/>
                <w:color w:val="auto"/>
              </w:rPr>
            </w:pPr>
            <w:r>
              <w:rPr>
                <w:rFonts w:ascii="Arial" w:cs="Arial" w:eastAsia="Arial" w:hAnsi="Arial"/>
                <w:sz w:val="19"/>
                <w:szCs w:val="19"/>
                <w:b w:val="1"/>
                <w:bCs w:val="1"/>
                <w:color w:val="auto"/>
              </w:rPr>
              <w:t>Total Current Assets</w:t>
            </w:r>
          </w:p>
        </w:tc>
        <w:tc>
          <w:tcPr>
            <w:tcW w:w="1020" w:type="dxa"/>
            <w:vAlign w:val="bottom"/>
          </w:tcPr>
          <w:p>
            <w:pPr>
              <w:spacing w:after="0"/>
              <w:rPr>
                <w:sz w:val="18"/>
                <w:szCs w:val="18"/>
                <w:color w:val="auto"/>
              </w:rPr>
            </w:pPr>
          </w:p>
        </w:tc>
        <w:tc>
          <w:tcPr>
            <w:tcW w:w="1560" w:type="dxa"/>
            <w:vAlign w:val="bottom"/>
          </w:tcPr>
          <w:p>
            <w:pPr>
              <w:jc w:val="right"/>
              <w:ind w:right="26"/>
              <w:spacing w:after="0" w:line="208" w:lineRule="exact"/>
              <w:rPr>
                <w:sz w:val="20"/>
                <w:szCs w:val="20"/>
                <w:color w:val="auto"/>
              </w:rPr>
            </w:pPr>
            <w:r>
              <w:rPr>
                <w:rFonts w:ascii="Arial" w:cs="Arial" w:eastAsia="Arial" w:hAnsi="Arial"/>
                <w:sz w:val="19"/>
                <w:szCs w:val="19"/>
                <w:color w:val="auto"/>
              </w:rPr>
              <w:t>11,244,471</w:t>
            </w:r>
          </w:p>
        </w:tc>
      </w:tr>
      <w:tr>
        <w:trPr>
          <w:trHeight w:val="235"/>
        </w:trPr>
        <w:tc>
          <w:tcPr>
            <w:tcW w:w="8660" w:type="dxa"/>
            <w:vAlign w:val="bottom"/>
          </w:tcPr>
          <w:p>
            <w:pPr>
              <w:spacing w:after="0"/>
              <w:rPr>
                <w:sz w:val="20"/>
                <w:szCs w:val="20"/>
                <w:color w:val="auto"/>
              </w:rPr>
            </w:pPr>
            <w:r>
              <w:rPr>
                <w:rFonts w:ascii="Arial" w:cs="Arial" w:eastAsia="Arial" w:hAnsi="Arial"/>
                <w:sz w:val="19"/>
                <w:szCs w:val="19"/>
                <w:b w:val="1"/>
                <w:bCs w:val="1"/>
                <w:color w:val="auto"/>
              </w:rPr>
              <w:t>Property and Equipment, at Cost</w:t>
            </w:r>
          </w:p>
        </w:tc>
        <w:tc>
          <w:tcPr>
            <w:tcW w:w="10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30"/>
        </w:trPr>
        <w:tc>
          <w:tcPr>
            <w:tcW w:w="8660" w:type="dxa"/>
            <w:vAlign w:val="bottom"/>
          </w:tcPr>
          <w:p>
            <w:pPr>
              <w:ind w:left="260"/>
              <w:spacing w:after="0"/>
              <w:rPr>
                <w:sz w:val="20"/>
                <w:szCs w:val="20"/>
                <w:color w:val="auto"/>
              </w:rPr>
            </w:pPr>
            <w:r>
              <w:rPr>
                <w:rFonts w:ascii="Arial" w:cs="Arial" w:eastAsia="Arial" w:hAnsi="Arial"/>
                <w:sz w:val="19"/>
                <w:szCs w:val="19"/>
                <w:color w:val="auto"/>
              </w:rPr>
              <w:t>Proved oil and natural gas properties and equipment, using full cost accounting</w:t>
            </w:r>
          </w:p>
        </w:tc>
        <w:tc>
          <w:tcPr>
            <w:tcW w:w="102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91,207,852</w:t>
            </w:r>
          </w:p>
        </w:tc>
      </w:tr>
      <w:tr>
        <w:trPr>
          <w:trHeight w:val="229"/>
        </w:trPr>
        <w:tc>
          <w:tcPr>
            <w:tcW w:w="8660" w:type="dxa"/>
            <w:vAlign w:val="bottom"/>
          </w:tcPr>
          <w:p>
            <w:pPr>
              <w:ind w:left="260"/>
              <w:spacing w:after="0"/>
              <w:rPr>
                <w:sz w:val="20"/>
                <w:szCs w:val="20"/>
                <w:color w:val="auto"/>
              </w:rPr>
            </w:pPr>
            <w:r>
              <w:rPr>
                <w:rFonts w:ascii="Arial" w:cs="Arial" w:eastAsia="Arial" w:hAnsi="Arial"/>
                <w:sz w:val="19"/>
                <w:szCs w:val="19"/>
                <w:color w:val="auto"/>
              </w:rPr>
              <w:t>Unproved oil and natural gas properties</w:t>
            </w:r>
          </w:p>
        </w:tc>
        <w:tc>
          <w:tcPr>
            <w:tcW w:w="102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7,351,669</w:t>
            </w:r>
          </w:p>
        </w:tc>
      </w:tr>
      <w:tr>
        <w:trPr>
          <w:trHeight w:val="230"/>
        </w:trPr>
        <w:tc>
          <w:tcPr>
            <w:tcW w:w="8660" w:type="dxa"/>
            <w:vAlign w:val="bottom"/>
          </w:tcPr>
          <w:p>
            <w:pPr>
              <w:ind w:left="260"/>
              <w:spacing w:after="0"/>
              <w:rPr>
                <w:sz w:val="20"/>
                <w:szCs w:val="20"/>
                <w:color w:val="auto"/>
              </w:rPr>
            </w:pPr>
            <w:r>
              <w:rPr>
                <w:rFonts w:ascii="Arial" w:cs="Arial" w:eastAsia="Arial" w:hAnsi="Arial"/>
                <w:sz w:val="19"/>
                <w:szCs w:val="19"/>
                <w:color w:val="auto"/>
              </w:rPr>
              <w:t>Gas gathering and processing equipment</w:t>
            </w:r>
          </w:p>
        </w:tc>
        <w:tc>
          <w:tcPr>
            <w:tcW w:w="102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10,253,833</w:t>
            </w:r>
          </w:p>
        </w:tc>
      </w:tr>
      <w:tr>
        <w:trPr>
          <w:trHeight w:val="238"/>
        </w:trPr>
        <w:tc>
          <w:tcPr>
            <w:tcW w:w="866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Other property and equipment</w:t>
            </w:r>
          </w:p>
        </w:tc>
        <w:tc>
          <w:tcPr>
            <w:tcW w:w="10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527,606</w:t>
            </w:r>
          </w:p>
        </w:tc>
      </w:tr>
      <w:tr>
        <w:trPr>
          <w:trHeight w:val="214"/>
        </w:trPr>
        <w:tc>
          <w:tcPr>
            <w:tcW w:w="8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60" w:type="dxa"/>
            <w:vAlign w:val="bottom"/>
          </w:tcPr>
          <w:p>
            <w:pPr>
              <w:jc w:val="right"/>
              <w:ind w:right="26"/>
              <w:spacing w:after="0" w:line="214" w:lineRule="exact"/>
              <w:rPr>
                <w:sz w:val="20"/>
                <w:szCs w:val="20"/>
                <w:color w:val="auto"/>
              </w:rPr>
            </w:pPr>
            <w:r>
              <w:rPr>
                <w:rFonts w:ascii="Arial" w:cs="Arial" w:eastAsia="Arial" w:hAnsi="Arial"/>
                <w:sz w:val="19"/>
                <w:szCs w:val="19"/>
                <w:color w:val="auto"/>
              </w:rPr>
              <w:t>109,340,960</w:t>
            </w:r>
          </w:p>
        </w:tc>
      </w:tr>
      <w:tr>
        <w:trPr>
          <w:trHeight w:val="238"/>
        </w:trPr>
        <w:tc>
          <w:tcPr>
            <w:tcW w:w="866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Less: accumulated depreciation, depletion, amortization and impairment</w:t>
            </w:r>
          </w:p>
        </w:tc>
        <w:tc>
          <w:tcPr>
            <w:tcW w:w="10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(43,455,219)</w:t>
            </w:r>
          </w:p>
        </w:tc>
      </w:tr>
      <w:tr>
        <w:trPr>
          <w:trHeight w:val="208"/>
        </w:trPr>
        <w:tc>
          <w:tcPr>
            <w:tcW w:w="8660" w:type="dxa"/>
            <w:vAlign w:val="bottom"/>
          </w:tcPr>
          <w:p>
            <w:pPr>
              <w:spacing w:after="0" w:line="208" w:lineRule="exact"/>
              <w:rPr>
                <w:sz w:val="20"/>
                <w:szCs w:val="20"/>
                <w:color w:val="auto"/>
              </w:rPr>
            </w:pPr>
            <w:r>
              <w:rPr>
                <w:rFonts w:ascii="Arial" w:cs="Arial" w:eastAsia="Arial" w:hAnsi="Arial"/>
                <w:sz w:val="19"/>
                <w:szCs w:val="19"/>
                <w:b w:val="1"/>
                <w:bCs w:val="1"/>
                <w:color w:val="auto"/>
              </w:rPr>
              <w:t>Net Property and Equipment</w:t>
            </w:r>
          </w:p>
        </w:tc>
        <w:tc>
          <w:tcPr>
            <w:tcW w:w="1020" w:type="dxa"/>
            <w:vAlign w:val="bottom"/>
          </w:tcPr>
          <w:p>
            <w:pPr>
              <w:spacing w:after="0"/>
              <w:rPr>
                <w:sz w:val="18"/>
                <w:szCs w:val="18"/>
                <w:color w:val="auto"/>
              </w:rPr>
            </w:pPr>
          </w:p>
        </w:tc>
        <w:tc>
          <w:tcPr>
            <w:tcW w:w="1560" w:type="dxa"/>
            <w:vAlign w:val="bottom"/>
          </w:tcPr>
          <w:p>
            <w:pPr>
              <w:jc w:val="right"/>
              <w:ind w:right="26"/>
              <w:spacing w:after="0" w:line="208" w:lineRule="exact"/>
              <w:rPr>
                <w:sz w:val="20"/>
                <w:szCs w:val="20"/>
                <w:color w:val="auto"/>
              </w:rPr>
            </w:pPr>
            <w:r>
              <w:rPr>
                <w:rFonts w:ascii="Arial" w:cs="Arial" w:eastAsia="Arial" w:hAnsi="Arial"/>
                <w:sz w:val="19"/>
                <w:szCs w:val="19"/>
                <w:color w:val="auto"/>
              </w:rPr>
              <w:t>65,885,741</w:t>
            </w:r>
          </w:p>
        </w:tc>
      </w:tr>
      <w:tr>
        <w:trPr>
          <w:trHeight w:val="236"/>
        </w:trPr>
        <w:tc>
          <w:tcPr>
            <w:tcW w:w="8660" w:type="dxa"/>
            <w:vAlign w:val="bottom"/>
          </w:tcPr>
          <w:p>
            <w:pPr>
              <w:spacing w:after="0"/>
              <w:rPr>
                <w:sz w:val="20"/>
                <w:szCs w:val="20"/>
                <w:color w:val="auto"/>
              </w:rPr>
            </w:pPr>
            <w:r>
              <w:rPr>
                <w:rFonts w:ascii="Arial" w:cs="Arial" w:eastAsia="Arial" w:hAnsi="Arial"/>
                <w:sz w:val="19"/>
                <w:szCs w:val="19"/>
                <w:b w:val="1"/>
                <w:bCs w:val="1"/>
                <w:color w:val="auto"/>
              </w:rPr>
              <w:t>Other Assets</w:t>
            </w:r>
          </w:p>
        </w:tc>
        <w:tc>
          <w:tcPr>
            <w:tcW w:w="10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29"/>
        </w:trPr>
        <w:tc>
          <w:tcPr>
            <w:tcW w:w="8660" w:type="dxa"/>
            <w:vAlign w:val="bottom"/>
          </w:tcPr>
          <w:p>
            <w:pPr>
              <w:ind w:left="260"/>
              <w:spacing w:after="0"/>
              <w:rPr>
                <w:sz w:val="20"/>
                <w:szCs w:val="20"/>
                <w:color w:val="auto"/>
              </w:rPr>
            </w:pPr>
            <w:r>
              <w:rPr>
                <w:rFonts w:ascii="Arial" w:cs="Arial" w:eastAsia="Arial" w:hAnsi="Arial"/>
                <w:sz w:val="19"/>
                <w:szCs w:val="19"/>
                <w:color w:val="auto"/>
              </w:rPr>
              <w:t>Restricted cash</w:t>
            </w:r>
          </w:p>
        </w:tc>
        <w:tc>
          <w:tcPr>
            <w:tcW w:w="102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732,682</w:t>
            </w:r>
          </w:p>
        </w:tc>
      </w:tr>
      <w:tr>
        <w:trPr>
          <w:trHeight w:val="238"/>
        </w:trPr>
        <w:tc>
          <w:tcPr>
            <w:tcW w:w="866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Other</w:t>
            </w:r>
          </w:p>
        </w:tc>
        <w:tc>
          <w:tcPr>
            <w:tcW w:w="10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65,334</w:t>
            </w:r>
          </w:p>
        </w:tc>
      </w:tr>
      <w:tr>
        <w:trPr>
          <w:trHeight w:val="223"/>
        </w:trPr>
        <w:tc>
          <w:tcPr>
            <w:tcW w:w="866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Total Other Assets</w:t>
            </w:r>
          </w:p>
        </w:tc>
        <w:tc>
          <w:tcPr>
            <w:tcW w:w="10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798,016</w:t>
            </w:r>
          </w:p>
        </w:tc>
      </w:tr>
      <w:tr>
        <w:trPr>
          <w:trHeight w:val="223"/>
        </w:trPr>
        <w:tc>
          <w:tcPr>
            <w:tcW w:w="866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Total Assets</w:t>
            </w:r>
          </w:p>
        </w:tc>
        <w:tc>
          <w:tcPr>
            <w:tcW w:w="1020" w:type="dxa"/>
            <w:vAlign w:val="bottom"/>
            <w:tcBorders>
              <w:bottom w:val="single" w:sz="8" w:color="auto"/>
            </w:tcBorders>
          </w:tcPr>
          <w:p>
            <w:pPr>
              <w:jc w:val="right"/>
              <w:ind w:right="226"/>
              <w:spacing w:after="0"/>
              <w:rPr>
                <w:sz w:val="20"/>
                <w:szCs w:val="20"/>
                <w:color w:val="auto"/>
              </w:rPr>
            </w:pPr>
            <w:r>
              <w:rPr>
                <w:rFonts w:ascii="Arial" w:cs="Arial" w:eastAsia="Arial" w:hAnsi="Arial"/>
                <w:sz w:val="19"/>
                <w:szCs w:val="19"/>
                <w:color w:val="auto"/>
              </w:rPr>
              <w:t>$</w:t>
            </w: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77,928,228</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748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328"/>
        </w:trPr>
        <w:tc>
          <w:tcPr>
            <w:tcW w:w="8640" w:type="dxa"/>
            <w:vAlign w:val="bottom"/>
          </w:tcPr>
          <w:p>
            <w:pPr>
              <w:ind w:left="3180"/>
              <w:spacing w:after="0"/>
              <w:rPr>
                <w:sz w:val="20"/>
                <w:szCs w:val="20"/>
                <w:color w:val="auto"/>
              </w:rPr>
            </w:pPr>
            <w:r>
              <w:rPr>
                <w:rFonts w:ascii="Arial" w:cs="Arial" w:eastAsia="Arial" w:hAnsi="Arial"/>
                <w:sz w:val="25"/>
                <w:szCs w:val="25"/>
                <w:b w:val="1"/>
                <w:bCs w:val="1"/>
                <w:color w:val="auto"/>
              </w:rPr>
              <w:t>RAM Energy Holdings LLC and Subsidiaries</w:t>
            </w:r>
          </w:p>
        </w:tc>
        <w:tc>
          <w:tcPr>
            <w:tcW w:w="10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17"/>
        </w:trPr>
        <w:tc>
          <w:tcPr>
            <w:tcW w:w="8640" w:type="dxa"/>
            <w:vAlign w:val="bottom"/>
            <w:tcBorders>
              <w:bottom w:val="single" w:sz="8" w:color="auto"/>
            </w:tcBorders>
          </w:tcPr>
          <w:p>
            <w:pPr>
              <w:ind w:left="4340"/>
              <w:spacing w:after="0"/>
              <w:rPr>
                <w:sz w:val="20"/>
                <w:szCs w:val="20"/>
                <w:color w:val="auto"/>
              </w:rPr>
            </w:pPr>
            <w:r>
              <w:rPr>
                <w:rFonts w:ascii="Arial" w:cs="Arial" w:eastAsia="Arial" w:hAnsi="Arial"/>
                <w:sz w:val="22"/>
                <w:szCs w:val="22"/>
                <w:b w:val="1"/>
                <w:bCs w:val="1"/>
                <w:color w:val="auto"/>
              </w:rPr>
              <w:t>Consolidated Balance Sheet</w:t>
            </w:r>
          </w:p>
        </w:tc>
        <w:tc>
          <w:tcPr>
            <w:tcW w:w="10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904"/>
        </w:trPr>
        <w:tc>
          <w:tcPr>
            <w:tcW w:w="86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i w:val="1"/>
                <w:iCs w:val="1"/>
                <w:color w:val="auto"/>
              </w:rPr>
              <w:t>September 30,</w:t>
            </w:r>
          </w:p>
        </w:tc>
        <w:tc>
          <w:tcPr>
            <w:tcW w:w="10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806"/>
              <w:spacing w:after="0"/>
              <w:rPr>
                <w:sz w:val="20"/>
                <w:szCs w:val="20"/>
                <w:color w:val="auto"/>
              </w:rPr>
            </w:pPr>
            <w:r>
              <w:rPr>
                <w:rFonts w:ascii="Arial" w:cs="Arial" w:eastAsia="Arial" w:hAnsi="Arial"/>
                <w:sz w:val="19"/>
                <w:szCs w:val="19"/>
                <w:b w:val="1"/>
                <w:bCs w:val="1"/>
                <w:color w:val="auto"/>
              </w:rPr>
              <w:t>2019</w:t>
            </w:r>
          </w:p>
        </w:tc>
      </w:tr>
      <w:tr>
        <w:trPr>
          <w:trHeight w:val="208"/>
        </w:trPr>
        <w:tc>
          <w:tcPr>
            <w:tcW w:w="8640" w:type="dxa"/>
            <w:vAlign w:val="bottom"/>
          </w:tcPr>
          <w:p>
            <w:pPr>
              <w:spacing w:after="0" w:line="208" w:lineRule="exact"/>
              <w:rPr>
                <w:sz w:val="20"/>
                <w:szCs w:val="20"/>
                <w:color w:val="auto"/>
              </w:rPr>
            </w:pPr>
            <w:r>
              <w:rPr>
                <w:rFonts w:ascii="Arial" w:cs="Arial" w:eastAsia="Arial" w:hAnsi="Arial"/>
                <w:sz w:val="19"/>
                <w:szCs w:val="19"/>
                <w:b w:val="1"/>
                <w:bCs w:val="1"/>
                <w:color w:val="auto"/>
              </w:rPr>
              <w:t>Liabilities and Member's Deficit</w:t>
            </w:r>
          </w:p>
        </w:tc>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5"/>
        </w:trPr>
        <w:tc>
          <w:tcPr>
            <w:tcW w:w="8640" w:type="dxa"/>
            <w:vAlign w:val="bottom"/>
          </w:tcPr>
          <w:p>
            <w:pPr>
              <w:spacing w:after="0"/>
              <w:rPr>
                <w:sz w:val="20"/>
                <w:szCs w:val="20"/>
                <w:color w:val="auto"/>
              </w:rPr>
            </w:pPr>
            <w:r>
              <w:rPr>
                <w:rFonts w:ascii="Arial" w:cs="Arial" w:eastAsia="Arial" w:hAnsi="Arial"/>
                <w:sz w:val="19"/>
                <w:szCs w:val="19"/>
                <w:b w:val="1"/>
                <w:bCs w:val="1"/>
                <w:color w:val="auto"/>
              </w:rPr>
              <w:t>Current Liabilities</w:t>
            </w:r>
          </w:p>
        </w:tc>
        <w:tc>
          <w:tcPr>
            <w:tcW w:w="10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30"/>
        </w:trPr>
        <w:tc>
          <w:tcPr>
            <w:tcW w:w="8640" w:type="dxa"/>
            <w:vAlign w:val="bottom"/>
          </w:tcPr>
          <w:p>
            <w:pPr>
              <w:ind w:left="260"/>
              <w:spacing w:after="0"/>
              <w:rPr>
                <w:sz w:val="20"/>
                <w:szCs w:val="20"/>
                <w:color w:val="auto"/>
              </w:rPr>
            </w:pPr>
            <w:r>
              <w:rPr>
                <w:rFonts w:ascii="Arial" w:cs="Arial" w:eastAsia="Arial" w:hAnsi="Arial"/>
                <w:sz w:val="19"/>
                <w:szCs w:val="19"/>
                <w:color w:val="auto"/>
              </w:rPr>
              <w:t>Trade accounts payable</w:t>
            </w:r>
          </w:p>
        </w:tc>
        <w:tc>
          <w:tcPr>
            <w:tcW w:w="1000" w:type="dxa"/>
            <w:vAlign w:val="bottom"/>
          </w:tcPr>
          <w:p>
            <w:pPr>
              <w:jc w:val="right"/>
              <w:ind w:right="246"/>
              <w:spacing w:after="0"/>
              <w:rPr>
                <w:sz w:val="20"/>
                <w:szCs w:val="20"/>
                <w:color w:val="auto"/>
              </w:rPr>
            </w:pPr>
            <w:r>
              <w:rPr>
                <w:rFonts w:ascii="Arial" w:cs="Arial" w:eastAsia="Arial" w:hAnsi="Arial"/>
                <w:sz w:val="19"/>
                <w:szCs w:val="19"/>
                <w:color w:val="auto"/>
              </w:rPr>
              <w:t>$</w:t>
            </w:r>
          </w:p>
        </w:tc>
        <w:tc>
          <w:tcPr>
            <w:tcW w:w="1600" w:type="dxa"/>
            <w:vAlign w:val="bottom"/>
          </w:tcPr>
          <w:p>
            <w:pPr>
              <w:jc w:val="right"/>
              <w:ind w:right="46"/>
              <w:spacing w:after="0"/>
              <w:rPr>
                <w:sz w:val="20"/>
                <w:szCs w:val="20"/>
                <w:color w:val="auto"/>
              </w:rPr>
            </w:pPr>
            <w:r>
              <w:rPr>
                <w:rFonts w:ascii="Arial" w:cs="Arial" w:eastAsia="Arial" w:hAnsi="Arial"/>
                <w:sz w:val="19"/>
                <w:szCs w:val="19"/>
                <w:color w:val="auto"/>
              </w:rPr>
              <w:t>26,150,721</w:t>
            </w:r>
          </w:p>
        </w:tc>
      </w:tr>
      <w:tr>
        <w:trPr>
          <w:trHeight w:val="229"/>
        </w:trPr>
        <w:tc>
          <w:tcPr>
            <w:tcW w:w="8640" w:type="dxa"/>
            <w:vAlign w:val="bottom"/>
          </w:tcPr>
          <w:p>
            <w:pPr>
              <w:ind w:left="260"/>
              <w:spacing w:after="0"/>
              <w:rPr>
                <w:sz w:val="20"/>
                <w:szCs w:val="20"/>
                <w:color w:val="auto"/>
              </w:rPr>
            </w:pPr>
            <w:r>
              <w:rPr>
                <w:rFonts w:ascii="Arial" w:cs="Arial" w:eastAsia="Arial" w:hAnsi="Arial"/>
                <w:sz w:val="19"/>
                <w:szCs w:val="19"/>
                <w:color w:val="auto"/>
              </w:rPr>
              <w:t>Revenue payable</w:t>
            </w:r>
          </w:p>
        </w:tc>
        <w:tc>
          <w:tcPr>
            <w:tcW w:w="1000" w:type="dxa"/>
            <w:vAlign w:val="bottom"/>
          </w:tcPr>
          <w:p>
            <w:pPr>
              <w:spacing w:after="0"/>
              <w:rPr>
                <w:sz w:val="19"/>
                <w:szCs w:val="19"/>
                <w:color w:val="auto"/>
              </w:rPr>
            </w:pPr>
          </w:p>
        </w:tc>
        <w:tc>
          <w:tcPr>
            <w:tcW w:w="1600" w:type="dxa"/>
            <w:vAlign w:val="bottom"/>
          </w:tcPr>
          <w:p>
            <w:pPr>
              <w:jc w:val="right"/>
              <w:ind w:right="46"/>
              <w:spacing w:after="0"/>
              <w:rPr>
                <w:sz w:val="20"/>
                <w:szCs w:val="20"/>
                <w:color w:val="auto"/>
              </w:rPr>
            </w:pPr>
            <w:r>
              <w:rPr>
                <w:rFonts w:ascii="Arial" w:cs="Arial" w:eastAsia="Arial" w:hAnsi="Arial"/>
                <w:sz w:val="19"/>
                <w:szCs w:val="19"/>
                <w:color w:val="auto"/>
              </w:rPr>
              <w:t>4,722,982</w:t>
            </w:r>
          </w:p>
        </w:tc>
      </w:tr>
      <w:tr>
        <w:trPr>
          <w:trHeight w:val="229"/>
        </w:trPr>
        <w:tc>
          <w:tcPr>
            <w:tcW w:w="8640" w:type="dxa"/>
            <w:vAlign w:val="bottom"/>
          </w:tcPr>
          <w:p>
            <w:pPr>
              <w:ind w:left="260"/>
              <w:spacing w:after="0"/>
              <w:rPr>
                <w:sz w:val="20"/>
                <w:szCs w:val="20"/>
                <w:color w:val="auto"/>
              </w:rPr>
            </w:pPr>
            <w:r>
              <w:rPr>
                <w:rFonts w:ascii="Arial" w:cs="Arial" w:eastAsia="Arial" w:hAnsi="Arial"/>
                <w:sz w:val="19"/>
                <w:szCs w:val="19"/>
                <w:color w:val="auto"/>
              </w:rPr>
              <w:t>Accrued liabilities</w:t>
            </w:r>
          </w:p>
        </w:tc>
        <w:tc>
          <w:tcPr>
            <w:tcW w:w="1000" w:type="dxa"/>
            <w:vAlign w:val="bottom"/>
          </w:tcPr>
          <w:p>
            <w:pPr>
              <w:spacing w:after="0"/>
              <w:rPr>
                <w:sz w:val="19"/>
                <w:szCs w:val="19"/>
                <w:color w:val="auto"/>
              </w:rPr>
            </w:pPr>
          </w:p>
        </w:tc>
        <w:tc>
          <w:tcPr>
            <w:tcW w:w="1600" w:type="dxa"/>
            <w:vAlign w:val="bottom"/>
          </w:tcPr>
          <w:p>
            <w:pPr>
              <w:jc w:val="right"/>
              <w:ind w:right="46"/>
              <w:spacing w:after="0"/>
              <w:rPr>
                <w:sz w:val="20"/>
                <w:szCs w:val="20"/>
                <w:color w:val="auto"/>
              </w:rPr>
            </w:pPr>
            <w:r>
              <w:rPr>
                <w:rFonts w:ascii="Arial" w:cs="Arial" w:eastAsia="Arial" w:hAnsi="Arial"/>
                <w:sz w:val="19"/>
                <w:szCs w:val="19"/>
                <w:color w:val="auto"/>
              </w:rPr>
              <w:t>1,521,400</w:t>
            </w:r>
          </w:p>
        </w:tc>
      </w:tr>
      <w:tr>
        <w:trPr>
          <w:trHeight w:val="230"/>
        </w:trPr>
        <w:tc>
          <w:tcPr>
            <w:tcW w:w="8640" w:type="dxa"/>
            <w:vAlign w:val="bottom"/>
          </w:tcPr>
          <w:p>
            <w:pPr>
              <w:ind w:left="260"/>
              <w:spacing w:after="0"/>
              <w:rPr>
                <w:sz w:val="20"/>
                <w:szCs w:val="20"/>
                <w:color w:val="auto"/>
              </w:rPr>
            </w:pPr>
            <w:r>
              <w:rPr>
                <w:rFonts w:ascii="Arial" w:cs="Arial" w:eastAsia="Arial" w:hAnsi="Arial"/>
                <w:sz w:val="19"/>
                <w:szCs w:val="19"/>
                <w:color w:val="auto"/>
              </w:rPr>
              <w:t>Drilling advances</w:t>
            </w:r>
          </w:p>
        </w:tc>
        <w:tc>
          <w:tcPr>
            <w:tcW w:w="1000" w:type="dxa"/>
            <w:vAlign w:val="bottom"/>
          </w:tcPr>
          <w:p>
            <w:pPr>
              <w:spacing w:after="0"/>
              <w:rPr>
                <w:sz w:val="19"/>
                <w:szCs w:val="19"/>
                <w:color w:val="auto"/>
              </w:rPr>
            </w:pPr>
          </w:p>
        </w:tc>
        <w:tc>
          <w:tcPr>
            <w:tcW w:w="1600" w:type="dxa"/>
            <w:vAlign w:val="bottom"/>
          </w:tcPr>
          <w:p>
            <w:pPr>
              <w:jc w:val="right"/>
              <w:ind w:right="46"/>
              <w:spacing w:after="0"/>
              <w:rPr>
                <w:sz w:val="20"/>
                <w:szCs w:val="20"/>
                <w:color w:val="auto"/>
              </w:rPr>
            </w:pPr>
            <w:r>
              <w:rPr>
                <w:rFonts w:ascii="Arial" w:cs="Arial" w:eastAsia="Arial" w:hAnsi="Arial"/>
                <w:sz w:val="19"/>
                <w:szCs w:val="19"/>
                <w:color w:val="auto"/>
              </w:rPr>
              <w:t>2,226,283</w:t>
            </w:r>
          </w:p>
        </w:tc>
      </w:tr>
      <w:tr>
        <w:trPr>
          <w:trHeight w:val="238"/>
        </w:trPr>
        <w:tc>
          <w:tcPr>
            <w:tcW w:w="864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Current portion of asset retirement obligations</w:t>
            </w:r>
          </w:p>
        </w:tc>
        <w:tc>
          <w:tcPr>
            <w:tcW w:w="10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492,957</w:t>
            </w:r>
          </w:p>
        </w:tc>
      </w:tr>
      <w:tr>
        <w:trPr>
          <w:trHeight w:val="208"/>
        </w:trPr>
        <w:tc>
          <w:tcPr>
            <w:tcW w:w="8640" w:type="dxa"/>
            <w:vAlign w:val="bottom"/>
          </w:tcPr>
          <w:p>
            <w:pPr>
              <w:spacing w:after="0" w:line="208" w:lineRule="exact"/>
              <w:rPr>
                <w:sz w:val="20"/>
                <w:szCs w:val="20"/>
                <w:color w:val="auto"/>
              </w:rPr>
            </w:pPr>
            <w:r>
              <w:rPr>
                <w:rFonts w:ascii="Arial" w:cs="Arial" w:eastAsia="Arial" w:hAnsi="Arial"/>
                <w:sz w:val="19"/>
                <w:szCs w:val="19"/>
                <w:b w:val="1"/>
                <w:bCs w:val="1"/>
                <w:color w:val="auto"/>
              </w:rPr>
              <w:t>Total Current Liabilities</w:t>
            </w:r>
          </w:p>
        </w:tc>
        <w:tc>
          <w:tcPr>
            <w:tcW w:w="1000" w:type="dxa"/>
            <w:vAlign w:val="bottom"/>
          </w:tcPr>
          <w:p>
            <w:pPr>
              <w:spacing w:after="0"/>
              <w:rPr>
                <w:sz w:val="18"/>
                <w:szCs w:val="18"/>
                <w:color w:val="auto"/>
              </w:rPr>
            </w:pPr>
          </w:p>
        </w:tc>
        <w:tc>
          <w:tcPr>
            <w:tcW w:w="1600" w:type="dxa"/>
            <w:vAlign w:val="bottom"/>
          </w:tcPr>
          <w:p>
            <w:pPr>
              <w:jc w:val="right"/>
              <w:ind w:right="46"/>
              <w:spacing w:after="0" w:line="208" w:lineRule="exact"/>
              <w:rPr>
                <w:sz w:val="20"/>
                <w:szCs w:val="20"/>
                <w:color w:val="auto"/>
              </w:rPr>
            </w:pPr>
            <w:r>
              <w:rPr>
                <w:rFonts w:ascii="Arial" w:cs="Arial" w:eastAsia="Arial" w:hAnsi="Arial"/>
                <w:sz w:val="19"/>
                <w:szCs w:val="19"/>
                <w:color w:val="auto"/>
              </w:rPr>
              <w:t>35,114,343</w:t>
            </w:r>
          </w:p>
        </w:tc>
      </w:tr>
      <w:tr>
        <w:trPr>
          <w:trHeight w:val="229"/>
        </w:trPr>
        <w:tc>
          <w:tcPr>
            <w:tcW w:w="8640" w:type="dxa"/>
            <w:vAlign w:val="bottom"/>
          </w:tcPr>
          <w:p>
            <w:pPr>
              <w:spacing w:after="0"/>
              <w:rPr>
                <w:sz w:val="20"/>
                <w:szCs w:val="20"/>
                <w:color w:val="auto"/>
              </w:rPr>
            </w:pPr>
            <w:r>
              <w:rPr>
                <w:rFonts w:ascii="Arial" w:cs="Arial" w:eastAsia="Arial" w:hAnsi="Arial"/>
                <w:sz w:val="19"/>
                <w:szCs w:val="19"/>
                <w:b w:val="1"/>
                <w:bCs w:val="1"/>
                <w:color w:val="auto"/>
              </w:rPr>
              <w:t>Asset Retirement Obligations, net of current portion</w:t>
            </w:r>
          </w:p>
        </w:tc>
        <w:tc>
          <w:tcPr>
            <w:tcW w:w="1000" w:type="dxa"/>
            <w:vAlign w:val="bottom"/>
          </w:tcPr>
          <w:p>
            <w:pPr>
              <w:spacing w:after="0"/>
              <w:rPr>
                <w:sz w:val="19"/>
                <w:szCs w:val="19"/>
                <w:color w:val="auto"/>
              </w:rPr>
            </w:pPr>
          </w:p>
        </w:tc>
        <w:tc>
          <w:tcPr>
            <w:tcW w:w="1600" w:type="dxa"/>
            <w:vAlign w:val="bottom"/>
          </w:tcPr>
          <w:p>
            <w:pPr>
              <w:jc w:val="right"/>
              <w:ind w:right="46"/>
              <w:spacing w:after="0"/>
              <w:rPr>
                <w:sz w:val="20"/>
                <w:szCs w:val="20"/>
                <w:color w:val="auto"/>
              </w:rPr>
            </w:pPr>
            <w:r>
              <w:rPr>
                <w:rFonts w:ascii="Arial" w:cs="Arial" w:eastAsia="Arial" w:hAnsi="Arial"/>
                <w:sz w:val="19"/>
                <w:szCs w:val="19"/>
                <w:color w:val="auto"/>
              </w:rPr>
              <w:t>4,990,953</w:t>
            </w:r>
          </w:p>
        </w:tc>
      </w:tr>
      <w:tr>
        <w:trPr>
          <w:trHeight w:val="244"/>
        </w:trPr>
        <w:tc>
          <w:tcPr>
            <w:tcW w:w="86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Long-Term Debt - Affiliate</w:t>
            </w:r>
          </w:p>
        </w:tc>
        <w:tc>
          <w:tcPr>
            <w:tcW w:w="10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75,000,000</w:t>
            </w:r>
          </w:p>
        </w:tc>
      </w:tr>
      <w:tr>
        <w:trPr>
          <w:trHeight w:val="223"/>
        </w:trPr>
        <w:tc>
          <w:tcPr>
            <w:tcW w:w="86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Total Liabilities</w:t>
            </w:r>
          </w:p>
        </w:tc>
        <w:tc>
          <w:tcPr>
            <w:tcW w:w="10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115,105,296</w:t>
            </w:r>
          </w:p>
        </w:tc>
      </w:tr>
      <w:tr>
        <w:trPr>
          <w:trHeight w:val="208"/>
        </w:trPr>
        <w:tc>
          <w:tcPr>
            <w:tcW w:w="8640" w:type="dxa"/>
            <w:vAlign w:val="bottom"/>
          </w:tcPr>
          <w:p>
            <w:pPr>
              <w:spacing w:after="0" w:line="208" w:lineRule="exact"/>
              <w:rPr>
                <w:sz w:val="20"/>
                <w:szCs w:val="20"/>
                <w:color w:val="auto"/>
              </w:rPr>
            </w:pPr>
            <w:r>
              <w:rPr>
                <w:rFonts w:ascii="Arial" w:cs="Arial" w:eastAsia="Arial" w:hAnsi="Arial"/>
                <w:sz w:val="19"/>
                <w:szCs w:val="19"/>
                <w:b w:val="1"/>
                <w:bCs w:val="1"/>
                <w:color w:val="auto"/>
              </w:rPr>
              <w:t>Commitments and Contingencies (Note 7)</w:t>
            </w:r>
          </w:p>
        </w:tc>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4"/>
        </w:trPr>
        <w:tc>
          <w:tcPr>
            <w:tcW w:w="86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Member's Deficit</w:t>
            </w:r>
          </w:p>
        </w:tc>
        <w:tc>
          <w:tcPr>
            <w:tcW w:w="10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(37,177,068)</w:t>
            </w:r>
          </w:p>
        </w:tc>
      </w:tr>
      <w:tr>
        <w:trPr>
          <w:trHeight w:val="223"/>
        </w:trPr>
        <w:tc>
          <w:tcPr>
            <w:tcW w:w="86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Total Liabilities and Member's Deficit</w:t>
            </w:r>
          </w:p>
        </w:tc>
        <w:tc>
          <w:tcPr>
            <w:tcW w:w="1000" w:type="dxa"/>
            <w:vAlign w:val="bottom"/>
            <w:tcBorders>
              <w:bottom w:val="single" w:sz="8" w:color="auto"/>
            </w:tcBorders>
          </w:tcPr>
          <w:p>
            <w:pPr>
              <w:jc w:val="right"/>
              <w:ind w:right="246"/>
              <w:spacing w:after="0"/>
              <w:rPr>
                <w:sz w:val="20"/>
                <w:szCs w:val="20"/>
                <w:color w:val="auto"/>
              </w:rPr>
            </w:pPr>
            <w:r>
              <w:rPr>
                <w:rFonts w:ascii="Arial" w:cs="Arial" w:eastAsia="Arial" w:hAnsi="Arial"/>
                <w:sz w:val="19"/>
                <w:szCs w:val="19"/>
                <w:color w:val="auto"/>
              </w:rPr>
              <w:t>$</w:t>
            </w:r>
          </w:p>
        </w:tc>
        <w:tc>
          <w:tcPr>
            <w:tcW w:w="160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77,928,228</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748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328"/>
        </w:trPr>
        <w:tc>
          <w:tcPr>
            <w:tcW w:w="8640" w:type="dxa"/>
            <w:vAlign w:val="bottom"/>
          </w:tcPr>
          <w:p>
            <w:pPr>
              <w:ind w:left="3180"/>
              <w:spacing w:after="0"/>
              <w:rPr>
                <w:sz w:val="20"/>
                <w:szCs w:val="20"/>
                <w:color w:val="auto"/>
              </w:rPr>
            </w:pPr>
            <w:r>
              <w:rPr>
                <w:rFonts w:ascii="Arial" w:cs="Arial" w:eastAsia="Arial" w:hAnsi="Arial"/>
                <w:sz w:val="25"/>
                <w:szCs w:val="25"/>
                <w:b w:val="1"/>
                <w:bCs w:val="1"/>
                <w:color w:val="auto"/>
              </w:rPr>
              <w:t>RAM Energy Holdings LLC and Subsidiaries</w:t>
            </w:r>
          </w:p>
        </w:tc>
        <w:tc>
          <w:tcPr>
            <w:tcW w:w="10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17"/>
        </w:trPr>
        <w:tc>
          <w:tcPr>
            <w:tcW w:w="8640" w:type="dxa"/>
            <w:vAlign w:val="bottom"/>
            <w:tcBorders>
              <w:bottom w:val="single" w:sz="8" w:color="auto"/>
            </w:tcBorders>
          </w:tcPr>
          <w:p>
            <w:pPr>
              <w:ind w:left="3860"/>
              <w:spacing w:after="0"/>
              <w:rPr>
                <w:sz w:val="20"/>
                <w:szCs w:val="20"/>
                <w:color w:val="auto"/>
              </w:rPr>
            </w:pPr>
            <w:r>
              <w:rPr>
                <w:rFonts w:ascii="Arial" w:cs="Arial" w:eastAsia="Arial" w:hAnsi="Arial"/>
                <w:sz w:val="22"/>
                <w:szCs w:val="22"/>
                <w:b w:val="1"/>
                <w:bCs w:val="1"/>
                <w:color w:val="auto"/>
              </w:rPr>
              <w:t>Consolidated Statement of Operations</w:t>
            </w:r>
          </w:p>
        </w:tc>
        <w:tc>
          <w:tcPr>
            <w:tcW w:w="10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904"/>
        </w:trPr>
        <w:tc>
          <w:tcPr>
            <w:tcW w:w="86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i w:val="1"/>
                <w:iCs w:val="1"/>
                <w:color w:val="auto"/>
              </w:rPr>
              <w:t>Year Ended September 30,</w:t>
            </w:r>
          </w:p>
        </w:tc>
        <w:tc>
          <w:tcPr>
            <w:tcW w:w="10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806"/>
              <w:spacing w:after="0"/>
              <w:rPr>
                <w:sz w:val="20"/>
                <w:szCs w:val="20"/>
                <w:color w:val="auto"/>
              </w:rPr>
            </w:pPr>
            <w:r>
              <w:rPr>
                <w:rFonts w:ascii="Arial" w:cs="Arial" w:eastAsia="Arial" w:hAnsi="Arial"/>
                <w:sz w:val="19"/>
                <w:szCs w:val="19"/>
                <w:b w:val="1"/>
                <w:bCs w:val="1"/>
                <w:color w:val="auto"/>
              </w:rPr>
              <w:t>2019</w:t>
            </w:r>
          </w:p>
        </w:tc>
      </w:tr>
      <w:tr>
        <w:trPr>
          <w:trHeight w:val="214"/>
        </w:trPr>
        <w:tc>
          <w:tcPr>
            <w:tcW w:w="8640" w:type="dxa"/>
            <w:vAlign w:val="bottom"/>
          </w:tcPr>
          <w:p>
            <w:pPr>
              <w:spacing w:after="0" w:line="214" w:lineRule="exact"/>
              <w:rPr>
                <w:sz w:val="20"/>
                <w:szCs w:val="20"/>
                <w:color w:val="auto"/>
              </w:rPr>
            </w:pPr>
            <w:r>
              <w:rPr>
                <w:rFonts w:ascii="Arial" w:cs="Arial" w:eastAsia="Arial" w:hAnsi="Arial"/>
                <w:sz w:val="19"/>
                <w:szCs w:val="19"/>
                <w:b w:val="1"/>
                <w:bCs w:val="1"/>
                <w:color w:val="auto"/>
              </w:rPr>
              <w:t>Operating Revenues</w:t>
            </w:r>
          </w:p>
        </w:tc>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9"/>
        </w:trPr>
        <w:tc>
          <w:tcPr>
            <w:tcW w:w="8640" w:type="dxa"/>
            <w:vAlign w:val="bottom"/>
          </w:tcPr>
          <w:p>
            <w:pPr>
              <w:ind w:left="500"/>
              <w:spacing w:after="0"/>
              <w:rPr>
                <w:sz w:val="20"/>
                <w:szCs w:val="20"/>
                <w:color w:val="auto"/>
              </w:rPr>
            </w:pPr>
            <w:r>
              <w:rPr>
                <w:rFonts w:ascii="Arial" w:cs="Arial" w:eastAsia="Arial" w:hAnsi="Arial"/>
                <w:sz w:val="19"/>
                <w:szCs w:val="19"/>
                <w:color w:val="auto"/>
              </w:rPr>
              <w:t>Crude oil sales</w:t>
            </w:r>
          </w:p>
        </w:tc>
        <w:tc>
          <w:tcPr>
            <w:tcW w:w="1000" w:type="dxa"/>
            <w:vAlign w:val="bottom"/>
          </w:tcPr>
          <w:p>
            <w:pPr>
              <w:jc w:val="right"/>
              <w:ind w:right="246"/>
              <w:spacing w:after="0"/>
              <w:rPr>
                <w:sz w:val="20"/>
                <w:szCs w:val="20"/>
                <w:color w:val="auto"/>
              </w:rPr>
            </w:pPr>
            <w:r>
              <w:rPr>
                <w:rFonts w:ascii="Arial" w:cs="Arial" w:eastAsia="Arial" w:hAnsi="Arial"/>
                <w:sz w:val="19"/>
                <w:szCs w:val="19"/>
                <w:color w:val="auto"/>
              </w:rPr>
              <w:t>$</w:t>
            </w:r>
          </w:p>
        </w:tc>
        <w:tc>
          <w:tcPr>
            <w:tcW w:w="1600" w:type="dxa"/>
            <w:vAlign w:val="bottom"/>
          </w:tcPr>
          <w:p>
            <w:pPr>
              <w:jc w:val="right"/>
              <w:ind w:right="46"/>
              <w:spacing w:after="0"/>
              <w:rPr>
                <w:sz w:val="20"/>
                <w:szCs w:val="20"/>
                <w:color w:val="auto"/>
              </w:rPr>
            </w:pPr>
            <w:r>
              <w:rPr>
                <w:rFonts w:ascii="Arial" w:cs="Arial" w:eastAsia="Arial" w:hAnsi="Arial"/>
                <w:sz w:val="19"/>
                <w:szCs w:val="19"/>
                <w:color w:val="auto"/>
              </w:rPr>
              <w:t>13,614,137</w:t>
            </w:r>
          </w:p>
        </w:tc>
      </w:tr>
      <w:tr>
        <w:trPr>
          <w:trHeight w:val="230"/>
        </w:trPr>
        <w:tc>
          <w:tcPr>
            <w:tcW w:w="8640" w:type="dxa"/>
            <w:vAlign w:val="bottom"/>
          </w:tcPr>
          <w:p>
            <w:pPr>
              <w:ind w:left="500"/>
              <w:spacing w:after="0"/>
              <w:rPr>
                <w:sz w:val="20"/>
                <w:szCs w:val="20"/>
                <w:color w:val="auto"/>
              </w:rPr>
            </w:pPr>
            <w:r>
              <w:rPr>
                <w:rFonts w:ascii="Arial" w:cs="Arial" w:eastAsia="Arial" w:hAnsi="Arial"/>
                <w:sz w:val="19"/>
                <w:szCs w:val="19"/>
                <w:color w:val="auto"/>
              </w:rPr>
              <w:t>Natural gas sales</w:t>
            </w:r>
          </w:p>
        </w:tc>
        <w:tc>
          <w:tcPr>
            <w:tcW w:w="1000" w:type="dxa"/>
            <w:vAlign w:val="bottom"/>
          </w:tcPr>
          <w:p>
            <w:pPr>
              <w:spacing w:after="0"/>
              <w:rPr>
                <w:sz w:val="19"/>
                <w:szCs w:val="19"/>
                <w:color w:val="auto"/>
              </w:rPr>
            </w:pPr>
          </w:p>
        </w:tc>
        <w:tc>
          <w:tcPr>
            <w:tcW w:w="1600" w:type="dxa"/>
            <w:vAlign w:val="bottom"/>
          </w:tcPr>
          <w:p>
            <w:pPr>
              <w:jc w:val="right"/>
              <w:ind w:right="46"/>
              <w:spacing w:after="0"/>
              <w:rPr>
                <w:sz w:val="20"/>
                <w:szCs w:val="20"/>
                <w:color w:val="auto"/>
              </w:rPr>
            </w:pPr>
            <w:r>
              <w:rPr>
                <w:rFonts w:ascii="Arial" w:cs="Arial" w:eastAsia="Arial" w:hAnsi="Arial"/>
                <w:sz w:val="19"/>
                <w:szCs w:val="19"/>
                <w:color w:val="auto"/>
              </w:rPr>
              <w:t>6,357,124</w:t>
            </w:r>
          </w:p>
        </w:tc>
      </w:tr>
      <w:tr>
        <w:trPr>
          <w:trHeight w:val="229"/>
        </w:trPr>
        <w:tc>
          <w:tcPr>
            <w:tcW w:w="8640" w:type="dxa"/>
            <w:vAlign w:val="bottom"/>
          </w:tcPr>
          <w:p>
            <w:pPr>
              <w:ind w:left="500"/>
              <w:spacing w:after="0"/>
              <w:rPr>
                <w:sz w:val="20"/>
                <w:szCs w:val="20"/>
                <w:color w:val="auto"/>
              </w:rPr>
            </w:pPr>
            <w:r>
              <w:rPr>
                <w:rFonts w:ascii="Arial" w:cs="Arial" w:eastAsia="Arial" w:hAnsi="Arial"/>
                <w:sz w:val="19"/>
                <w:szCs w:val="19"/>
                <w:color w:val="auto"/>
              </w:rPr>
              <w:t>Natural gas liquids sales</w:t>
            </w:r>
          </w:p>
        </w:tc>
        <w:tc>
          <w:tcPr>
            <w:tcW w:w="1000" w:type="dxa"/>
            <w:vAlign w:val="bottom"/>
          </w:tcPr>
          <w:p>
            <w:pPr>
              <w:spacing w:after="0"/>
              <w:rPr>
                <w:sz w:val="19"/>
                <w:szCs w:val="19"/>
                <w:color w:val="auto"/>
              </w:rPr>
            </w:pPr>
          </w:p>
        </w:tc>
        <w:tc>
          <w:tcPr>
            <w:tcW w:w="1600" w:type="dxa"/>
            <w:vAlign w:val="bottom"/>
          </w:tcPr>
          <w:p>
            <w:pPr>
              <w:jc w:val="right"/>
              <w:ind w:right="46"/>
              <w:spacing w:after="0"/>
              <w:rPr>
                <w:sz w:val="20"/>
                <w:szCs w:val="20"/>
                <w:color w:val="auto"/>
              </w:rPr>
            </w:pPr>
            <w:r>
              <w:rPr>
                <w:rFonts w:ascii="Arial" w:cs="Arial" w:eastAsia="Arial" w:hAnsi="Arial"/>
                <w:sz w:val="19"/>
                <w:szCs w:val="19"/>
                <w:color w:val="auto"/>
              </w:rPr>
              <w:t>4,358,603</w:t>
            </w:r>
          </w:p>
        </w:tc>
      </w:tr>
      <w:tr>
        <w:trPr>
          <w:trHeight w:val="229"/>
        </w:trPr>
        <w:tc>
          <w:tcPr>
            <w:tcW w:w="8640" w:type="dxa"/>
            <w:vAlign w:val="bottom"/>
          </w:tcPr>
          <w:p>
            <w:pPr>
              <w:ind w:left="500"/>
              <w:spacing w:after="0"/>
              <w:rPr>
                <w:sz w:val="20"/>
                <w:szCs w:val="20"/>
                <w:color w:val="auto"/>
              </w:rPr>
            </w:pPr>
            <w:r>
              <w:rPr>
                <w:rFonts w:ascii="Arial" w:cs="Arial" w:eastAsia="Arial" w:hAnsi="Arial"/>
                <w:sz w:val="19"/>
                <w:szCs w:val="19"/>
                <w:color w:val="auto"/>
              </w:rPr>
              <w:t>Water supply services</w:t>
            </w:r>
          </w:p>
        </w:tc>
        <w:tc>
          <w:tcPr>
            <w:tcW w:w="1000" w:type="dxa"/>
            <w:vAlign w:val="bottom"/>
          </w:tcPr>
          <w:p>
            <w:pPr>
              <w:spacing w:after="0"/>
              <w:rPr>
                <w:sz w:val="19"/>
                <w:szCs w:val="19"/>
                <w:color w:val="auto"/>
              </w:rPr>
            </w:pPr>
          </w:p>
        </w:tc>
        <w:tc>
          <w:tcPr>
            <w:tcW w:w="1600" w:type="dxa"/>
            <w:vAlign w:val="bottom"/>
          </w:tcPr>
          <w:p>
            <w:pPr>
              <w:jc w:val="right"/>
              <w:ind w:right="46"/>
              <w:spacing w:after="0"/>
              <w:rPr>
                <w:sz w:val="20"/>
                <w:szCs w:val="20"/>
                <w:color w:val="auto"/>
              </w:rPr>
            </w:pPr>
            <w:r>
              <w:rPr>
                <w:rFonts w:ascii="Arial" w:cs="Arial" w:eastAsia="Arial" w:hAnsi="Arial"/>
                <w:sz w:val="19"/>
                <w:szCs w:val="19"/>
                <w:color w:val="auto"/>
              </w:rPr>
              <w:t>800,322</w:t>
            </w:r>
          </w:p>
        </w:tc>
      </w:tr>
      <w:tr>
        <w:trPr>
          <w:trHeight w:val="238"/>
        </w:trPr>
        <w:tc>
          <w:tcPr>
            <w:tcW w:w="8640" w:type="dxa"/>
            <w:vAlign w:val="bottom"/>
            <w:tcBorders>
              <w:bottom w:val="single" w:sz="8" w:color="auto"/>
            </w:tcBorders>
          </w:tcPr>
          <w:p>
            <w:pPr>
              <w:ind w:left="500"/>
              <w:spacing w:after="0"/>
              <w:rPr>
                <w:sz w:val="20"/>
                <w:szCs w:val="20"/>
                <w:color w:val="auto"/>
              </w:rPr>
            </w:pPr>
            <w:r>
              <w:rPr>
                <w:rFonts w:ascii="Arial" w:cs="Arial" w:eastAsia="Arial" w:hAnsi="Arial"/>
                <w:sz w:val="19"/>
                <w:szCs w:val="19"/>
                <w:color w:val="auto"/>
              </w:rPr>
              <w:t>Gathering fees</w:t>
            </w:r>
          </w:p>
        </w:tc>
        <w:tc>
          <w:tcPr>
            <w:tcW w:w="10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2,811,356</w:t>
            </w:r>
          </w:p>
        </w:tc>
      </w:tr>
      <w:tr>
        <w:trPr>
          <w:trHeight w:val="208"/>
        </w:trPr>
        <w:tc>
          <w:tcPr>
            <w:tcW w:w="8640" w:type="dxa"/>
            <w:vAlign w:val="bottom"/>
          </w:tcPr>
          <w:p>
            <w:pPr>
              <w:spacing w:after="0" w:line="208" w:lineRule="exact"/>
              <w:rPr>
                <w:sz w:val="20"/>
                <w:szCs w:val="20"/>
                <w:color w:val="auto"/>
              </w:rPr>
            </w:pPr>
            <w:r>
              <w:rPr>
                <w:rFonts w:ascii="Arial" w:cs="Arial" w:eastAsia="Arial" w:hAnsi="Arial"/>
                <w:sz w:val="19"/>
                <w:szCs w:val="19"/>
                <w:b w:val="1"/>
                <w:bCs w:val="1"/>
                <w:color w:val="auto"/>
              </w:rPr>
              <w:t>Total Revenues</w:t>
            </w:r>
          </w:p>
        </w:tc>
        <w:tc>
          <w:tcPr>
            <w:tcW w:w="1000" w:type="dxa"/>
            <w:vAlign w:val="bottom"/>
          </w:tcPr>
          <w:p>
            <w:pPr>
              <w:spacing w:after="0"/>
              <w:rPr>
                <w:sz w:val="18"/>
                <w:szCs w:val="18"/>
                <w:color w:val="auto"/>
              </w:rPr>
            </w:pPr>
          </w:p>
        </w:tc>
        <w:tc>
          <w:tcPr>
            <w:tcW w:w="1600" w:type="dxa"/>
            <w:vAlign w:val="bottom"/>
          </w:tcPr>
          <w:p>
            <w:pPr>
              <w:jc w:val="right"/>
              <w:ind w:right="46"/>
              <w:spacing w:after="0" w:line="208" w:lineRule="exact"/>
              <w:rPr>
                <w:sz w:val="20"/>
                <w:szCs w:val="20"/>
                <w:color w:val="auto"/>
              </w:rPr>
            </w:pPr>
            <w:r>
              <w:rPr>
                <w:rFonts w:ascii="Arial" w:cs="Arial" w:eastAsia="Arial" w:hAnsi="Arial"/>
                <w:sz w:val="19"/>
                <w:szCs w:val="19"/>
                <w:color w:val="auto"/>
              </w:rPr>
              <w:t>27,941,542</w:t>
            </w:r>
          </w:p>
        </w:tc>
      </w:tr>
      <w:tr>
        <w:trPr>
          <w:trHeight w:val="236"/>
        </w:trPr>
        <w:tc>
          <w:tcPr>
            <w:tcW w:w="8640" w:type="dxa"/>
            <w:vAlign w:val="bottom"/>
          </w:tcPr>
          <w:p>
            <w:pPr>
              <w:spacing w:after="0"/>
              <w:rPr>
                <w:sz w:val="20"/>
                <w:szCs w:val="20"/>
                <w:color w:val="auto"/>
              </w:rPr>
            </w:pPr>
            <w:r>
              <w:rPr>
                <w:rFonts w:ascii="Arial" w:cs="Arial" w:eastAsia="Arial" w:hAnsi="Arial"/>
                <w:sz w:val="19"/>
                <w:szCs w:val="19"/>
                <w:b w:val="1"/>
                <w:bCs w:val="1"/>
                <w:color w:val="auto"/>
              </w:rPr>
              <w:t>Operating Expenses</w:t>
            </w:r>
          </w:p>
        </w:tc>
        <w:tc>
          <w:tcPr>
            <w:tcW w:w="10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29"/>
        </w:trPr>
        <w:tc>
          <w:tcPr>
            <w:tcW w:w="8640" w:type="dxa"/>
            <w:vAlign w:val="bottom"/>
          </w:tcPr>
          <w:p>
            <w:pPr>
              <w:ind w:left="260"/>
              <w:spacing w:after="0"/>
              <w:rPr>
                <w:sz w:val="20"/>
                <w:szCs w:val="20"/>
                <w:color w:val="auto"/>
              </w:rPr>
            </w:pPr>
            <w:r>
              <w:rPr>
                <w:rFonts w:ascii="Arial" w:cs="Arial" w:eastAsia="Arial" w:hAnsi="Arial"/>
                <w:sz w:val="19"/>
                <w:szCs w:val="19"/>
                <w:color w:val="auto"/>
              </w:rPr>
              <w:t>Oil and natural gas operating expenses</w:t>
            </w:r>
          </w:p>
        </w:tc>
        <w:tc>
          <w:tcPr>
            <w:tcW w:w="1000" w:type="dxa"/>
            <w:vAlign w:val="bottom"/>
          </w:tcPr>
          <w:p>
            <w:pPr>
              <w:spacing w:after="0"/>
              <w:rPr>
                <w:sz w:val="19"/>
                <w:szCs w:val="19"/>
                <w:color w:val="auto"/>
              </w:rPr>
            </w:pPr>
          </w:p>
        </w:tc>
        <w:tc>
          <w:tcPr>
            <w:tcW w:w="1600" w:type="dxa"/>
            <w:vAlign w:val="bottom"/>
          </w:tcPr>
          <w:p>
            <w:pPr>
              <w:jc w:val="right"/>
              <w:ind w:right="46"/>
              <w:spacing w:after="0"/>
              <w:rPr>
                <w:sz w:val="20"/>
                <w:szCs w:val="20"/>
                <w:color w:val="auto"/>
              </w:rPr>
            </w:pPr>
            <w:r>
              <w:rPr>
                <w:rFonts w:ascii="Arial" w:cs="Arial" w:eastAsia="Arial" w:hAnsi="Arial"/>
                <w:sz w:val="19"/>
                <w:szCs w:val="19"/>
                <w:color w:val="auto"/>
              </w:rPr>
              <w:t>13,974,739</w:t>
            </w:r>
          </w:p>
        </w:tc>
      </w:tr>
      <w:tr>
        <w:trPr>
          <w:trHeight w:val="230"/>
        </w:trPr>
        <w:tc>
          <w:tcPr>
            <w:tcW w:w="8640" w:type="dxa"/>
            <w:vAlign w:val="bottom"/>
          </w:tcPr>
          <w:p>
            <w:pPr>
              <w:ind w:left="260"/>
              <w:spacing w:after="0"/>
              <w:rPr>
                <w:sz w:val="20"/>
                <w:szCs w:val="20"/>
                <w:color w:val="auto"/>
              </w:rPr>
            </w:pPr>
            <w:r>
              <w:rPr>
                <w:rFonts w:ascii="Arial" w:cs="Arial" w:eastAsia="Arial" w:hAnsi="Arial"/>
                <w:sz w:val="19"/>
                <w:szCs w:val="19"/>
                <w:color w:val="auto"/>
              </w:rPr>
              <w:t>Oil and natural gas production taxes</w:t>
            </w:r>
          </w:p>
        </w:tc>
        <w:tc>
          <w:tcPr>
            <w:tcW w:w="1000" w:type="dxa"/>
            <w:vAlign w:val="bottom"/>
          </w:tcPr>
          <w:p>
            <w:pPr>
              <w:spacing w:after="0"/>
              <w:rPr>
                <w:sz w:val="19"/>
                <w:szCs w:val="19"/>
                <w:color w:val="auto"/>
              </w:rPr>
            </w:pPr>
          </w:p>
        </w:tc>
        <w:tc>
          <w:tcPr>
            <w:tcW w:w="1600" w:type="dxa"/>
            <w:vAlign w:val="bottom"/>
          </w:tcPr>
          <w:p>
            <w:pPr>
              <w:jc w:val="right"/>
              <w:ind w:right="46"/>
              <w:spacing w:after="0"/>
              <w:rPr>
                <w:sz w:val="20"/>
                <w:szCs w:val="20"/>
                <w:color w:val="auto"/>
              </w:rPr>
            </w:pPr>
            <w:r>
              <w:rPr>
                <w:rFonts w:ascii="Arial" w:cs="Arial" w:eastAsia="Arial" w:hAnsi="Arial"/>
                <w:sz w:val="19"/>
                <w:szCs w:val="19"/>
                <w:color w:val="auto"/>
              </w:rPr>
              <w:t>683,131</w:t>
            </w:r>
          </w:p>
        </w:tc>
      </w:tr>
      <w:tr>
        <w:trPr>
          <w:trHeight w:val="229"/>
        </w:trPr>
        <w:tc>
          <w:tcPr>
            <w:tcW w:w="8640" w:type="dxa"/>
            <w:vAlign w:val="bottom"/>
          </w:tcPr>
          <w:p>
            <w:pPr>
              <w:ind w:left="260"/>
              <w:spacing w:after="0"/>
              <w:rPr>
                <w:sz w:val="20"/>
                <w:szCs w:val="20"/>
                <w:color w:val="auto"/>
              </w:rPr>
            </w:pPr>
            <w:r>
              <w:rPr>
                <w:rFonts w:ascii="Arial" w:cs="Arial" w:eastAsia="Arial" w:hAnsi="Arial"/>
                <w:sz w:val="19"/>
                <w:szCs w:val="19"/>
                <w:color w:val="auto"/>
              </w:rPr>
              <w:t>Water usage</w:t>
            </w:r>
          </w:p>
        </w:tc>
        <w:tc>
          <w:tcPr>
            <w:tcW w:w="1000" w:type="dxa"/>
            <w:vAlign w:val="bottom"/>
          </w:tcPr>
          <w:p>
            <w:pPr>
              <w:spacing w:after="0"/>
              <w:rPr>
                <w:sz w:val="19"/>
                <w:szCs w:val="19"/>
                <w:color w:val="auto"/>
              </w:rPr>
            </w:pPr>
          </w:p>
        </w:tc>
        <w:tc>
          <w:tcPr>
            <w:tcW w:w="1600" w:type="dxa"/>
            <w:vAlign w:val="bottom"/>
          </w:tcPr>
          <w:p>
            <w:pPr>
              <w:jc w:val="right"/>
              <w:ind w:right="46"/>
              <w:spacing w:after="0"/>
              <w:rPr>
                <w:sz w:val="20"/>
                <w:szCs w:val="20"/>
                <w:color w:val="auto"/>
              </w:rPr>
            </w:pPr>
            <w:r>
              <w:rPr>
                <w:rFonts w:ascii="Arial" w:cs="Arial" w:eastAsia="Arial" w:hAnsi="Arial"/>
                <w:sz w:val="19"/>
                <w:szCs w:val="19"/>
                <w:color w:val="auto"/>
              </w:rPr>
              <w:t>115,908</w:t>
            </w:r>
          </w:p>
        </w:tc>
      </w:tr>
      <w:tr>
        <w:trPr>
          <w:trHeight w:val="229"/>
        </w:trPr>
        <w:tc>
          <w:tcPr>
            <w:tcW w:w="8640" w:type="dxa"/>
            <w:vAlign w:val="bottom"/>
          </w:tcPr>
          <w:p>
            <w:pPr>
              <w:ind w:left="260"/>
              <w:spacing w:after="0"/>
              <w:rPr>
                <w:sz w:val="20"/>
                <w:szCs w:val="20"/>
                <w:color w:val="auto"/>
              </w:rPr>
            </w:pPr>
            <w:r>
              <w:rPr>
                <w:rFonts w:ascii="Arial" w:cs="Arial" w:eastAsia="Arial" w:hAnsi="Arial"/>
                <w:sz w:val="19"/>
                <w:szCs w:val="19"/>
                <w:color w:val="auto"/>
              </w:rPr>
              <w:t>Depreciation, depletion and amortization</w:t>
            </w:r>
          </w:p>
        </w:tc>
        <w:tc>
          <w:tcPr>
            <w:tcW w:w="1000" w:type="dxa"/>
            <w:vAlign w:val="bottom"/>
          </w:tcPr>
          <w:p>
            <w:pPr>
              <w:spacing w:after="0"/>
              <w:rPr>
                <w:sz w:val="19"/>
                <w:szCs w:val="19"/>
                <w:color w:val="auto"/>
              </w:rPr>
            </w:pPr>
          </w:p>
        </w:tc>
        <w:tc>
          <w:tcPr>
            <w:tcW w:w="1600" w:type="dxa"/>
            <w:vAlign w:val="bottom"/>
          </w:tcPr>
          <w:p>
            <w:pPr>
              <w:jc w:val="right"/>
              <w:ind w:right="46"/>
              <w:spacing w:after="0"/>
              <w:rPr>
                <w:sz w:val="20"/>
                <w:szCs w:val="20"/>
                <w:color w:val="auto"/>
              </w:rPr>
            </w:pPr>
            <w:r>
              <w:rPr>
                <w:rFonts w:ascii="Arial" w:cs="Arial" w:eastAsia="Arial" w:hAnsi="Arial"/>
                <w:sz w:val="19"/>
                <w:szCs w:val="19"/>
                <w:color w:val="auto"/>
              </w:rPr>
              <w:t>9,581,200</w:t>
            </w:r>
          </w:p>
        </w:tc>
      </w:tr>
      <w:tr>
        <w:trPr>
          <w:trHeight w:val="230"/>
        </w:trPr>
        <w:tc>
          <w:tcPr>
            <w:tcW w:w="8640" w:type="dxa"/>
            <w:vAlign w:val="bottom"/>
          </w:tcPr>
          <w:p>
            <w:pPr>
              <w:ind w:left="260"/>
              <w:spacing w:after="0"/>
              <w:rPr>
                <w:sz w:val="20"/>
                <w:szCs w:val="20"/>
                <w:color w:val="auto"/>
              </w:rPr>
            </w:pPr>
            <w:r>
              <w:rPr>
                <w:rFonts w:ascii="Arial" w:cs="Arial" w:eastAsia="Arial" w:hAnsi="Arial"/>
                <w:sz w:val="19"/>
                <w:szCs w:val="19"/>
                <w:color w:val="auto"/>
              </w:rPr>
              <w:t>Accretion of asset retirement obligations</w:t>
            </w:r>
          </w:p>
        </w:tc>
        <w:tc>
          <w:tcPr>
            <w:tcW w:w="1000" w:type="dxa"/>
            <w:vAlign w:val="bottom"/>
          </w:tcPr>
          <w:p>
            <w:pPr>
              <w:spacing w:after="0"/>
              <w:rPr>
                <w:sz w:val="19"/>
                <w:szCs w:val="19"/>
                <w:color w:val="auto"/>
              </w:rPr>
            </w:pPr>
          </w:p>
        </w:tc>
        <w:tc>
          <w:tcPr>
            <w:tcW w:w="1600" w:type="dxa"/>
            <w:vAlign w:val="bottom"/>
          </w:tcPr>
          <w:p>
            <w:pPr>
              <w:jc w:val="right"/>
              <w:ind w:right="46"/>
              <w:spacing w:after="0"/>
              <w:rPr>
                <w:sz w:val="20"/>
                <w:szCs w:val="20"/>
                <w:color w:val="auto"/>
              </w:rPr>
            </w:pPr>
            <w:r>
              <w:rPr>
                <w:rFonts w:ascii="Arial" w:cs="Arial" w:eastAsia="Arial" w:hAnsi="Arial"/>
                <w:sz w:val="19"/>
                <w:szCs w:val="19"/>
                <w:color w:val="auto"/>
              </w:rPr>
              <w:t>642,791</w:t>
            </w:r>
          </w:p>
        </w:tc>
      </w:tr>
      <w:tr>
        <w:trPr>
          <w:trHeight w:val="229"/>
        </w:trPr>
        <w:tc>
          <w:tcPr>
            <w:tcW w:w="8640" w:type="dxa"/>
            <w:vAlign w:val="bottom"/>
          </w:tcPr>
          <w:p>
            <w:pPr>
              <w:ind w:left="260"/>
              <w:spacing w:after="0"/>
              <w:rPr>
                <w:sz w:val="20"/>
                <w:szCs w:val="20"/>
                <w:color w:val="auto"/>
              </w:rPr>
            </w:pPr>
            <w:r>
              <w:rPr>
                <w:rFonts w:ascii="Arial" w:cs="Arial" w:eastAsia="Arial" w:hAnsi="Arial"/>
                <w:sz w:val="19"/>
                <w:szCs w:val="19"/>
                <w:color w:val="auto"/>
              </w:rPr>
              <w:t>Bad debt expense</w:t>
            </w:r>
          </w:p>
        </w:tc>
        <w:tc>
          <w:tcPr>
            <w:tcW w:w="1000" w:type="dxa"/>
            <w:vAlign w:val="bottom"/>
          </w:tcPr>
          <w:p>
            <w:pPr>
              <w:spacing w:after="0"/>
              <w:rPr>
                <w:sz w:val="19"/>
                <w:szCs w:val="19"/>
                <w:color w:val="auto"/>
              </w:rPr>
            </w:pPr>
          </w:p>
        </w:tc>
        <w:tc>
          <w:tcPr>
            <w:tcW w:w="1600" w:type="dxa"/>
            <w:vAlign w:val="bottom"/>
          </w:tcPr>
          <w:p>
            <w:pPr>
              <w:jc w:val="right"/>
              <w:ind w:right="46"/>
              <w:spacing w:after="0"/>
              <w:rPr>
                <w:sz w:val="20"/>
                <w:szCs w:val="20"/>
                <w:color w:val="auto"/>
              </w:rPr>
            </w:pPr>
            <w:r>
              <w:rPr>
                <w:rFonts w:ascii="Arial" w:cs="Arial" w:eastAsia="Arial" w:hAnsi="Arial"/>
                <w:sz w:val="19"/>
                <w:szCs w:val="19"/>
                <w:color w:val="auto"/>
              </w:rPr>
              <w:t>29,840</w:t>
            </w:r>
          </w:p>
        </w:tc>
      </w:tr>
      <w:tr>
        <w:trPr>
          <w:trHeight w:val="216"/>
        </w:trPr>
        <w:tc>
          <w:tcPr>
            <w:tcW w:w="8640" w:type="dxa"/>
            <w:vAlign w:val="bottom"/>
          </w:tcPr>
          <w:p>
            <w:pPr>
              <w:ind w:left="260"/>
              <w:spacing w:after="0" w:line="216" w:lineRule="exact"/>
              <w:rPr>
                <w:sz w:val="20"/>
                <w:szCs w:val="20"/>
                <w:color w:val="auto"/>
              </w:rPr>
            </w:pPr>
            <w:r>
              <w:rPr>
                <w:rFonts w:ascii="Arial" w:cs="Arial" w:eastAsia="Arial" w:hAnsi="Arial"/>
                <w:sz w:val="19"/>
                <w:szCs w:val="19"/>
                <w:color w:val="auto"/>
              </w:rPr>
              <w:t>General and administrative, overhead and other expenses, net of operator's</w:t>
            </w:r>
          </w:p>
        </w:tc>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8"/>
        </w:trPr>
        <w:tc>
          <w:tcPr>
            <w:tcW w:w="8640" w:type="dxa"/>
            <w:vAlign w:val="bottom"/>
            <w:tcBorders>
              <w:bottom w:val="single" w:sz="8" w:color="auto"/>
            </w:tcBorders>
          </w:tcPr>
          <w:p>
            <w:pPr>
              <w:ind w:left="400"/>
              <w:spacing w:after="0"/>
              <w:rPr>
                <w:sz w:val="20"/>
                <w:szCs w:val="20"/>
                <w:color w:val="auto"/>
              </w:rPr>
            </w:pPr>
            <w:r>
              <w:rPr>
                <w:rFonts w:ascii="Arial" w:cs="Arial" w:eastAsia="Arial" w:hAnsi="Arial"/>
                <w:sz w:val="19"/>
                <w:szCs w:val="19"/>
                <w:color w:val="auto"/>
              </w:rPr>
              <w:t>overhead fees</w:t>
            </w:r>
          </w:p>
        </w:tc>
        <w:tc>
          <w:tcPr>
            <w:tcW w:w="10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4,828,700</w:t>
            </w:r>
          </w:p>
        </w:tc>
      </w:tr>
      <w:tr>
        <w:trPr>
          <w:trHeight w:val="223"/>
        </w:trPr>
        <w:tc>
          <w:tcPr>
            <w:tcW w:w="86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Total Operating Expenses</w:t>
            </w:r>
          </w:p>
        </w:tc>
        <w:tc>
          <w:tcPr>
            <w:tcW w:w="10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29,856,309</w:t>
            </w:r>
          </w:p>
        </w:tc>
      </w:tr>
      <w:tr>
        <w:trPr>
          <w:trHeight w:val="208"/>
        </w:trPr>
        <w:tc>
          <w:tcPr>
            <w:tcW w:w="8640" w:type="dxa"/>
            <w:vAlign w:val="bottom"/>
          </w:tcPr>
          <w:p>
            <w:pPr>
              <w:spacing w:after="0" w:line="208" w:lineRule="exact"/>
              <w:rPr>
                <w:sz w:val="20"/>
                <w:szCs w:val="20"/>
                <w:color w:val="auto"/>
              </w:rPr>
            </w:pPr>
            <w:r>
              <w:rPr>
                <w:rFonts w:ascii="Arial" w:cs="Arial" w:eastAsia="Arial" w:hAnsi="Arial"/>
                <w:sz w:val="19"/>
                <w:szCs w:val="19"/>
                <w:b w:val="1"/>
                <w:bCs w:val="1"/>
                <w:color w:val="auto"/>
              </w:rPr>
              <w:t>Loss from Operations</w:t>
            </w:r>
          </w:p>
        </w:tc>
        <w:tc>
          <w:tcPr>
            <w:tcW w:w="1000" w:type="dxa"/>
            <w:vAlign w:val="bottom"/>
          </w:tcPr>
          <w:p>
            <w:pPr>
              <w:spacing w:after="0"/>
              <w:rPr>
                <w:sz w:val="18"/>
                <w:szCs w:val="18"/>
                <w:color w:val="auto"/>
              </w:rPr>
            </w:pPr>
          </w:p>
        </w:tc>
        <w:tc>
          <w:tcPr>
            <w:tcW w:w="1600" w:type="dxa"/>
            <w:vAlign w:val="bottom"/>
          </w:tcPr>
          <w:p>
            <w:pPr>
              <w:jc w:val="right"/>
              <w:spacing w:after="0" w:line="208" w:lineRule="exact"/>
              <w:rPr>
                <w:sz w:val="20"/>
                <w:szCs w:val="20"/>
                <w:color w:val="auto"/>
              </w:rPr>
            </w:pPr>
            <w:r>
              <w:rPr>
                <w:rFonts w:ascii="Arial" w:cs="Arial" w:eastAsia="Arial" w:hAnsi="Arial"/>
                <w:sz w:val="19"/>
                <w:szCs w:val="19"/>
                <w:color w:val="auto"/>
              </w:rPr>
              <w:t>(1,914,767)</w:t>
            </w:r>
          </w:p>
        </w:tc>
      </w:tr>
      <w:tr>
        <w:trPr>
          <w:trHeight w:val="235"/>
        </w:trPr>
        <w:tc>
          <w:tcPr>
            <w:tcW w:w="8640" w:type="dxa"/>
            <w:vAlign w:val="bottom"/>
          </w:tcPr>
          <w:p>
            <w:pPr>
              <w:spacing w:after="0"/>
              <w:rPr>
                <w:sz w:val="20"/>
                <w:szCs w:val="20"/>
                <w:color w:val="auto"/>
              </w:rPr>
            </w:pPr>
            <w:r>
              <w:rPr>
                <w:rFonts w:ascii="Arial" w:cs="Arial" w:eastAsia="Arial" w:hAnsi="Arial"/>
                <w:sz w:val="19"/>
                <w:szCs w:val="19"/>
                <w:b w:val="1"/>
                <w:bCs w:val="1"/>
                <w:color w:val="auto"/>
              </w:rPr>
              <w:t>Other Income (Expense)</w:t>
            </w:r>
          </w:p>
        </w:tc>
        <w:tc>
          <w:tcPr>
            <w:tcW w:w="10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30"/>
        </w:trPr>
        <w:tc>
          <w:tcPr>
            <w:tcW w:w="8640" w:type="dxa"/>
            <w:vAlign w:val="bottom"/>
          </w:tcPr>
          <w:p>
            <w:pPr>
              <w:ind w:left="260"/>
              <w:spacing w:after="0"/>
              <w:rPr>
                <w:sz w:val="20"/>
                <w:szCs w:val="20"/>
                <w:color w:val="auto"/>
              </w:rPr>
            </w:pPr>
            <w:r>
              <w:rPr>
                <w:rFonts w:ascii="Arial" w:cs="Arial" w:eastAsia="Arial" w:hAnsi="Arial"/>
                <w:sz w:val="19"/>
                <w:szCs w:val="19"/>
                <w:color w:val="auto"/>
              </w:rPr>
              <w:t>Interest expense</w:t>
            </w:r>
          </w:p>
        </w:tc>
        <w:tc>
          <w:tcPr>
            <w:tcW w:w="10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9"/>
                <w:szCs w:val="19"/>
                <w:color w:val="auto"/>
              </w:rPr>
              <w:t>(5,212,222)</w:t>
            </w:r>
          </w:p>
        </w:tc>
      </w:tr>
      <w:tr>
        <w:trPr>
          <w:trHeight w:val="229"/>
        </w:trPr>
        <w:tc>
          <w:tcPr>
            <w:tcW w:w="8640" w:type="dxa"/>
            <w:vAlign w:val="bottom"/>
          </w:tcPr>
          <w:p>
            <w:pPr>
              <w:ind w:left="260"/>
              <w:spacing w:after="0"/>
              <w:rPr>
                <w:sz w:val="20"/>
                <w:szCs w:val="20"/>
                <w:color w:val="auto"/>
              </w:rPr>
            </w:pPr>
            <w:r>
              <w:rPr>
                <w:rFonts w:ascii="Arial" w:cs="Arial" w:eastAsia="Arial" w:hAnsi="Arial"/>
                <w:sz w:val="19"/>
                <w:szCs w:val="19"/>
                <w:color w:val="auto"/>
              </w:rPr>
              <w:t>Interest income</w:t>
            </w:r>
          </w:p>
        </w:tc>
        <w:tc>
          <w:tcPr>
            <w:tcW w:w="1000" w:type="dxa"/>
            <w:vAlign w:val="bottom"/>
          </w:tcPr>
          <w:p>
            <w:pPr>
              <w:spacing w:after="0"/>
              <w:rPr>
                <w:sz w:val="19"/>
                <w:szCs w:val="19"/>
                <w:color w:val="auto"/>
              </w:rPr>
            </w:pPr>
          </w:p>
        </w:tc>
        <w:tc>
          <w:tcPr>
            <w:tcW w:w="1600" w:type="dxa"/>
            <w:vAlign w:val="bottom"/>
          </w:tcPr>
          <w:p>
            <w:pPr>
              <w:jc w:val="right"/>
              <w:ind w:right="46"/>
              <w:spacing w:after="0"/>
              <w:rPr>
                <w:sz w:val="20"/>
                <w:szCs w:val="20"/>
                <w:color w:val="auto"/>
              </w:rPr>
            </w:pPr>
            <w:r>
              <w:rPr>
                <w:rFonts w:ascii="Arial" w:cs="Arial" w:eastAsia="Arial" w:hAnsi="Arial"/>
                <w:sz w:val="19"/>
                <w:szCs w:val="19"/>
                <w:color w:val="auto"/>
              </w:rPr>
              <w:t>133,544</w:t>
            </w:r>
          </w:p>
        </w:tc>
      </w:tr>
      <w:tr>
        <w:trPr>
          <w:trHeight w:val="230"/>
        </w:trPr>
        <w:tc>
          <w:tcPr>
            <w:tcW w:w="8640" w:type="dxa"/>
            <w:vAlign w:val="bottom"/>
          </w:tcPr>
          <w:p>
            <w:pPr>
              <w:ind w:left="260"/>
              <w:spacing w:after="0"/>
              <w:rPr>
                <w:sz w:val="20"/>
                <w:szCs w:val="20"/>
                <w:color w:val="auto"/>
              </w:rPr>
            </w:pPr>
            <w:r>
              <w:rPr>
                <w:rFonts w:ascii="Arial" w:cs="Arial" w:eastAsia="Arial" w:hAnsi="Arial"/>
                <w:sz w:val="19"/>
                <w:szCs w:val="19"/>
                <w:color w:val="auto"/>
              </w:rPr>
              <w:t>Gains on sales of assets</w:t>
            </w:r>
          </w:p>
        </w:tc>
        <w:tc>
          <w:tcPr>
            <w:tcW w:w="1000" w:type="dxa"/>
            <w:vAlign w:val="bottom"/>
          </w:tcPr>
          <w:p>
            <w:pPr>
              <w:spacing w:after="0"/>
              <w:rPr>
                <w:sz w:val="19"/>
                <w:szCs w:val="19"/>
                <w:color w:val="auto"/>
              </w:rPr>
            </w:pPr>
          </w:p>
        </w:tc>
        <w:tc>
          <w:tcPr>
            <w:tcW w:w="1600" w:type="dxa"/>
            <w:vAlign w:val="bottom"/>
          </w:tcPr>
          <w:p>
            <w:pPr>
              <w:jc w:val="right"/>
              <w:ind w:right="46"/>
              <w:spacing w:after="0"/>
              <w:rPr>
                <w:sz w:val="20"/>
                <w:szCs w:val="20"/>
                <w:color w:val="auto"/>
              </w:rPr>
            </w:pPr>
            <w:r>
              <w:rPr>
                <w:rFonts w:ascii="Arial" w:cs="Arial" w:eastAsia="Arial" w:hAnsi="Arial"/>
                <w:sz w:val="19"/>
                <w:szCs w:val="19"/>
                <w:color w:val="auto"/>
              </w:rPr>
              <w:t>14,796</w:t>
            </w:r>
          </w:p>
        </w:tc>
      </w:tr>
      <w:tr>
        <w:trPr>
          <w:trHeight w:val="238"/>
        </w:trPr>
        <w:tc>
          <w:tcPr>
            <w:tcW w:w="864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Other income, net</w:t>
            </w:r>
          </w:p>
        </w:tc>
        <w:tc>
          <w:tcPr>
            <w:tcW w:w="10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637,562</w:t>
            </w:r>
          </w:p>
        </w:tc>
      </w:tr>
      <w:tr>
        <w:trPr>
          <w:trHeight w:val="223"/>
        </w:trPr>
        <w:tc>
          <w:tcPr>
            <w:tcW w:w="86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Total Other Expense</w:t>
            </w:r>
          </w:p>
        </w:tc>
        <w:tc>
          <w:tcPr>
            <w:tcW w:w="10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(4,426,320)</w:t>
            </w:r>
          </w:p>
        </w:tc>
      </w:tr>
      <w:tr>
        <w:trPr>
          <w:trHeight w:val="223"/>
        </w:trPr>
        <w:tc>
          <w:tcPr>
            <w:tcW w:w="86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Net Loss</w:t>
            </w:r>
          </w:p>
        </w:tc>
        <w:tc>
          <w:tcPr>
            <w:tcW w:w="1000" w:type="dxa"/>
            <w:vAlign w:val="bottom"/>
            <w:tcBorders>
              <w:bottom w:val="single" w:sz="8" w:color="auto"/>
            </w:tcBorders>
          </w:tcPr>
          <w:p>
            <w:pPr>
              <w:jc w:val="right"/>
              <w:ind w:right="246"/>
              <w:spacing w:after="0"/>
              <w:rPr>
                <w:sz w:val="20"/>
                <w:szCs w:val="20"/>
                <w:color w:val="auto"/>
              </w:rPr>
            </w:pPr>
            <w:r>
              <w:rPr>
                <w:rFonts w:ascii="Arial" w:cs="Arial" w:eastAsia="Arial" w:hAnsi="Arial"/>
                <w:sz w:val="19"/>
                <w:szCs w:val="19"/>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(6,341,087)</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748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 of Member’s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jc w:val="right"/>
              <w:ind w:right="386"/>
              <w:spacing w:after="0"/>
              <w:rPr>
                <w:sz w:val="20"/>
                <w:szCs w:val="20"/>
                <w:color w:val="auto"/>
              </w:rPr>
            </w:pPr>
            <w:r>
              <w:rPr>
                <w:rFonts w:ascii="Arial" w:cs="Arial" w:eastAsia="Arial" w:hAnsi="Arial"/>
                <w:sz w:val="19"/>
                <w:szCs w:val="19"/>
                <w:b w:val="1"/>
                <w:bCs w:val="1"/>
                <w:color w:val="auto"/>
              </w:rPr>
              <w:t>Member's</w:t>
            </w:r>
          </w:p>
        </w:tc>
      </w:tr>
      <w:tr>
        <w:trPr>
          <w:trHeight w:val="244"/>
        </w:trPr>
        <w:tc>
          <w:tcPr>
            <w:tcW w:w="8740" w:type="dxa"/>
            <w:vAlign w:val="bottom"/>
            <w:tcBorders>
              <w:bottom w:val="single" w:sz="8" w:color="auto"/>
            </w:tcBorders>
          </w:tcPr>
          <w:p>
            <w:pPr>
              <w:ind w:left="8280"/>
              <w:spacing w:after="0"/>
              <w:rPr>
                <w:sz w:val="20"/>
                <w:szCs w:val="20"/>
                <w:color w:val="auto"/>
              </w:rPr>
            </w:pPr>
            <w:r>
              <w:rPr>
                <w:rFonts w:ascii="Arial" w:cs="Arial" w:eastAsia="Arial" w:hAnsi="Arial"/>
                <w:sz w:val="19"/>
                <w:szCs w:val="19"/>
                <w:b w:val="1"/>
                <w:bCs w:val="1"/>
                <w:color w:val="auto"/>
                <w:w w:val="92"/>
              </w:rPr>
              <w:t>Units</w:t>
            </w:r>
          </w:p>
        </w:tc>
        <w:tc>
          <w:tcPr>
            <w:tcW w:w="6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46"/>
              <w:spacing w:after="0"/>
              <w:rPr>
                <w:sz w:val="20"/>
                <w:szCs w:val="20"/>
                <w:color w:val="auto"/>
              </w:rPr>
            </w:pPr>
            <w:r>
              <w:rPr>
                <w:rFonts w:ascii="Arial" w:cs="Arial" w:eastAsia="Arial" w:hAnsi="Arial"/>
                <w:sz w:val="19"/>
                <w:szCs w:val="19"/>
                <w:b w:val="1"/>
                <w:bCs w:val="1"/>
                <w:color w:val="auto"/>
              </w:rPr>
              <w:t>Deficit</w:t>
            </w:r>
          </w:p>
        </w:tc>
      </w:tr>
      <w:tr>
        <w:trPr>
          <w:trHeight w:val="214"/>
        </w:trPr>
        <w:tc>
          <w:tcPr>
            <w:tcW w:w="8740" w:type="dxa"/>
            <w:vAlign w:val="bottom"/>
          </w:tcPr>
          <w:p>
            <w:pPr>
              <w:spacing w:after="0" w:line="214" w:lineRule="exact"/>
              <w:rPr>
                <w:sz w:val="20"/>
                <w:szCs w:val="20"/>
                <w:color w:val="auto"/>
              </w:rPr>
            </w:pPr>
            <w:r>
              <w:rPr>
                <w:rFonts w:ascii="Arial" w:cs="Arial" w:eastAsia="Arial" w:hAnsi="Arial"/>
                <w:sz w:val="19"/>
                <w:szCs w:val="19"/>
                <w:b w:val="1"/>
                <w:bCs w:val="1"/>
                <w:color w:val="auto"/>
              </w:rPr>
              <w:t>Balance, October 1, 2018</w:t>
            </w:r>
          </w:p>
        </w:tc>
        <w:tc>
          <w:tcPr>
            <w:tcW w:w="680" w:type="dxa"/>
            <w:vAlign w:val="bottom"/>
          </w:tcPr>
          <w:p>
            <w:pPr>
              <w:jc w:val="right"/>
              <w:ind w:right="66"/>
              <w:spacing w:after="0" w:line="214" w:lineRule="exact"/>
              <w:rPr>
                <w:sz w:val="20"/>
                <w:szCs w:val="20"/>
                <w:color w:val="auto"/>
              </w:rPr>
            </w:pPr>
            <w:r>
              <w:rPr>
                <w:rFonts w:ascii="Arial" w:cs="Arial" w:eastAsia="Arial" w:hAnsi="Arial"/>
                <w:sz w:val="19"/>
                <w:szCs w:val="19"/>
                <w:color w:val="auto"/>
                <w:w w:val="85"/>
              </w:rPr>
              <w:t>84,747</w:t>
            </w:r>
          </w:p>
        </w:tc>
        <w:tc>
          <w:tcPr>
            <w:tcW w:w="380" w:type="dxa"/>
            <w:vAlign w:val="bottom"/>
          </w:tcPr>
          <w:p>
            <w:pPr>
              <w:spacing w:after="0"/>
              <w:rPr>
                <w:sz w:val="18"/>
                <w:szCs w:val="18"/>
                <w:color w:val="auto"/>
              </w:rPr>
            </w:pPr>
          </w:p>
        </w:tc>
        <w:tc>
          <w:tcPr>
            <w:tcW w:w="1440" w:type="dxa"/>
            <w:vAlign w:val="bottom"/>
          </w:tcPr>
          <w:p>
            <w:pPr>
              <w:jc w:val="right"/>
              <w:spacing w:after="0" w:line="214" w:lineRule="exact"/>
              <w:rPr>
                <w:sz w:val="20"/>
                <w:szCs w:val="20"/>
                <w:color w:val="auto"/>
              </w:rPr>
            </w:pPr>
            <w:r>
              <w:rPr>
                <w:rFonts w:ascii="Arial" w:cs="Arial" w:eastAsia="Arial" w:hAnsi="Arial"/>
                <w:sz w:val="19"/>
                <w:szCs w:val="19"/>
                <w:color w:val="auto"/>
              </w:rPr>
              <w:t>(30,835,981)</w:t>
            </w:r>
          </w:p>
        </w:tc>
      </w:tr>
      <w:tr>
        <w:trPr>
          <w:trHeight w:val="238"/>
        </w:trPr>
        <w:tc>
          <w:tcPr>
            <w:tcW w:w="87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Net loss</w:t>
            </w:r>
          </w:p>
        </w:tc>
        <w:tc>
          <w:tcPr>
            <w:tcW w:w="680" w:type="dxa"/>
            <w:vAlign w:val="bottom"/>
            <w:tcBorders>
              <w:bottom w:val="single" w:sz="8" w:color="auto"/>
            </w:tcBorders>
          </w:tcPr>
          <w:p>
            <w:pPr>
              <w:jc w:val="right"/>
              <w:ind w:right="66"/>
              <w:spacing w:after="0"/>
              <w:rPr>
                <w:sz w:val="20"/>
                <w:szCs w:val="20"/>
                <w:color w:val="auto"/>
              </w:rPr>
            </w:pPr>
            <w:r>
              <w:rPr>
                <w:rFonts w:ascii="Arial" w:cs="Arial" w:eastAsia="Arial" w:hAnsi="Arial"/>
                <w:sz w:val="19"/>
                <w:szCs w:val="19"/>
                <w:color w:val="auto"/>
              </w:rPr>
              <w:t>—</w:t>
            </w:r>
          </w:p>
        </w:tc>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(6,341,087)</w:t>
            </w:r>
          </w:p>
        </w:tc>
      </w:tr>
      <w:tr>
        <w:trPr>
          <w:trHeight w:val="223"/>
        </w:trPr>
        <w:tc>
          <w:tcPr>
            <w:tcW w:w="87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Balance, September 30, 2019</w:t>
            </w:r>
          </w:p>
        </w:tc>
        <w:tc>
          <w:tcPr>
            <w:tcW w:w="680" w:type="dxa"/>
            <w:vAlign w:val="bottom"/>
            <w:tcBorders>
              <w:bottom w:val="single" w:sz="8" w:color="auto"/>
            </w:tcBorders>
          </w:tcPr>
          <w:p>
            <w:pPr>
              <w:jc w:val="right"/>
              <w:ind w:right="66"/>
              <w:spacing w:after="0"/>
              <w:rPr>
                <w:sz w:val="20"/>
                <w:szCs w:val="20"/>
                <w:color w:val="auto"/>
              </w:rPr>
            </w:pPr>
            <w:r>
              <w:rPr>
                <w:rFonts w:ascii="Arial" w:cs="Arial" w:eastAsia="Arial" w:hAnsi="Arial"/>
                <w:sz w:val="19"/>
                <w:szCs w:val="19"/>
                <w:color w:val="auto"/>
                <w:w w:val="85"/>
              </w:rPr>
              <w:t>84,747</w:t>
            </w:r>
          </w:p>
        </w:tc>
        <w:tc>
          <w:tcPr>
            <w:tcW w:w="38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(37,177,068)</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748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328"/>
        </w:trPr>
        <w:tc>
          <w:tcPr>
            <w:tcW w:w="8640" w:type="dxa"/>
            <w:vAlign w:val="bottom"/>
          </w:tcPr>
          <w:p>
            <w:pPr>
              <w:ind w:left="3180"/>
              <w:spacing w:after="0"/>
              <w:rPr>
                <w:sz w:val="20"/>
                <w:szCs w:val="20"/>
                <w:color w:val="auto"/>
              </w:rPr>
            </w:pPr>
            <w:r>
              <w:rPr>
                <w:rFonts w:ascii="Arial" w:cs="Arial" w:eastAsia="Arial" w:hAnsi="Arial"/>
                <w:sz w:val="25"/>
                <w:szCs w:val="25"/>
                <w:b w:val="1"/>
                <w:bCs w:val="1"/>
                <w:color w:val="auto"/>
              </w:rPr>
              <w:t>RAM Energy Holdings LLC and Subsidiaries</w:t>
            </w:r>
          </w:p>
        </w:tc>
        <w:tc>
          <w:tcPr>
            <w:tcW w:w="10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17"/>
        </w:trPr>
        <w:tc>
          <w:tcPr>
            <w:tcW w:w="8640" w:type="dxa"/>
            <w:vAlign w:val="bottom"/>
            <w:tcBorders>
              <w:bottom w:val="single" w:sz="8" w:color="auto"/>
            </w:tcBorders>
          </w:tcPr>
          <w:p>
            <w:pPr>
              <w:ind w:left="3840"/>
              <w:spacing w:after="0"/>
              <w:rPr>
                <w:sz w:val="20"/>
                <w:szCs w:val="20"/>
                <w:color w:val="auto"/>
              </w:rPr>
            </w:pPr>
            <w:r>
              <w:rPr>
                <w:rFonts w:ascii="Arial" w:cs="Arial" w:eastAsia="Arial" w:hAnsi="Arial"/>
                <w:sz w:val="22"/>
                <w:szCs w:val="22"/>
                <w:b w:val="1"/>
                <w:bCs w:val="1"/>
                <w:color w:val="auto"/>
              </w:rPr>
              <w:t>Consolidated Statement of Cash Flows</w:t>
            </w:r>
          </w:p>
        </w:tc>
        <w:tc>
          <w:tcPr>
            <w:tcW w:w="10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904"/>
        </w:trPr>
        <w:tc>
          <w:tcPr>
            <w:tcW w:w="86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i w:val="1"/>
                <w:iCs w:val="1"/>
                <w:color w:val="auto"/>
              </w:rPr>
              <w:t>Year Ended September 30,</w:t>
            </w:r>
          </w:p>
        </w:tc>
        <w:tc>
          <w:tcPr>
            <w:tcW w:w="10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806"/>
              <w:spacing w:after="0"/>
              <w:rPr>
                <w:sz w:val="20"/>
                <w:szCs w:val="20"/>
                <w:color w:val="auto"/>
              </w:rPr>
            </w:pPr>
            <w:r>
              <w:rPr>
                <w:rFonts w:ascii="Arial" w:cs="Arial" w:eastAsia="Arial" w:hAnsi="Arial"/>
                <w:sz w:val="19"/>
                <w:szCs w:val="19"/>
                <w:b w:val="1"/>
                <w:bCs w:val="1"/>
                <w:color w:val="auto"/>
              </w:rPr>
              <w:t>2019</w:t>
            </w:r>
          </w:p>
        </w:tc>
      </w:tr>
      <w:tr>
        <w:trPr>
          <w:trHeight w:val="214"/>
        </w:trPr>
        <w:tc>
          <w:tcPr>
            <w:tcW w:w="8640" w:type="dxa"/>
            <w:vAlign w:val="bottom"/>
          </w:tcPr>
          <w:p>
            <w:pPr>
              <w:spacing w:after="0" w:line="214" w:lineRule="exact"/>
              <w:rPr>
                <w:sz w:val="20"/>
                <w:szCs w:val="20"/>
                <w:color w:val="auto"/>
              </w:rPr>
            </w:pPr>
            <w:r>
              <w:rPr>
                <w:rFonts w:ascii="Arial" w:cs="Arial" w:eastAsia="Arial" w:hAnsi="Arial"/>
                <w:sz w:val="19"/>
                <w:szCs w:val="19"/>
                <w:b w:val="1"/>
                <w:bCs w:val="1"/>
                <w:color w:val="auto"/>
              </w:rPr>
              <w:t>Cash Flows from Operating Activities</w:t>
            </w:r>
          </w:p>
        </w:tc>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9"/>
        </w:trPr>
        <w:tc>
          <w:tcPr>
            <w:tcW w:w="8640" w:type="dxa"/>
            <w:vAlign w:val="bottom"/>
          </w:tcPr>
          <w:p>
            <w:pPr>
              <w:spacing w:after="0"/>
              <w:rPr>
                <w:sz w:val="20"/>
                <w:szCs w:val="20"/>
                <w:color w:val="auto"/>
              </w:rPr>
            </w:pPr>
            <w:r>
              <w:rPr>
                <w:rFonts w:ascii="Arial" w:cs="Arial" w:eastAsia="Arial" w:hAnsi="Arial"/>
                <w:sz w:val="19"/>
                <w:szCs w:val="19"/>
                <w:color w:val="auto"/>
              </w:rPr>
              <w:t>Net loss</w:t>
            </w:r>
          </w:p>
        </w:tc>
        <w:tc>
          <w:tcPr>
            <w:tcW w:w="1000" w:type="dxa"/>
            <w:vAlign w:val="bottom"/>
          </w:tcPr>
          <w:p>
            <w:pPr>
              <w:jc w:val="right"/>
              <w:ind w:right="246"/>
              <w:spacing w:after="0"/>
              <w:rPr>
                <w:sz w:val="20"/>
                <w:szCs w:val="20"/>
                <w:color w:val="auto"/>
              </w:rPr>
            </w:pPr>
            <w:r>
              <w:rPr>
                <w:rFonts w:ascii="Arial" w:cs="Arial" w:eastAsia="Arial" w:hAnsi="Arial"/>
                <w:sz w:val="19"/>
                <w:szCs w:val="19"/>
                <w:color w:val="auto"/>
              </w:rPr>
              <w:t>$</w:t>
            </w:r>
          </w:p>
        </w:tc>
        <w:tc>
          <w:tcPr>
            <w:tcW w:w="1600" w:type="dxa"/>
            <w:vAlign w:val="bottom"/>
          </w:tcPr>
          <w:p>
            <w:pPr>
              <w:jc w:val="right"/>
              <w:spacing w:after="0"/>
              <w:rPr>
                <w:sz w:val="20"/>
                <w:szCs w:val="20"/>
                <w:color w:val="auto"/>
              </w:rPr>
            </w:pPr>
            <w:r>
              <w:rPr>
                <w:rFonts w:ascii="Arial" w:cs="Arial" w:eastAsia="Arial" w:hAnsi="Arial"/>
                <w:sz w:val="19"/>
                <w:szCs w:val="19"/>
                <w:color w:val="auto"/>
              </w:rPr>
              <w:t>(6,341,087)</w:t>
            </w:r>
          </w:p>
        </w:tc>
      </w:tr>
      <w:tr>
        <w:trPr>
          <w:trHeight w:val="230"/>
        </w:trPr>
        <w:tc>
          <w:tcPr>
            <w:tcW w:w="8640" w:type="dxa"/>
            <w:vAlign w:val="bottom"/>
          </w:tcPr>
          <w:p>
            <w:pPr>
              <w:spacing w:after="0"/>
              <w:rPr>
                <w:sz w:val="20"/>
                <w:szCs w:val="20"/>
                <w:color w:val="auto"/>
              </w:rPr>
            </w:pPr>
            <w:r>
              <w:rPr>
                <w:rFonts w:ascii="Arial" w:cs="Arial" w:eastAsia="Arial" w:hAnsi="Arial"/>
                <w:sz w:val="19"/>
                <w:szCs w:val="19"/>
                <w:color w:val="auto"/>
              </w:rPr>
              <w:t>Adjustments to reconcile net loss to net cash</w:t>
            </w:r>
          </w:p>
        </w:tc>
        <w:tc>
          <w:tcPr>
            <w:tcW w:w="10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8640" w:type="dxa"/>
            <w:vAlign w:val="bottom"/>
          </w:tcPr>
          <w:p>
            <w:pPr>
              <w:spacing w:after="0"/>
              <w:rPr>
                <w:sz w:val="20"/>
                <w:szCs w:val="20"/>
                <w:color w:val="auto"/>
              </w:rPr>
            </w:pPr>
            <w:r>
              <w:rPr>
                <w:rFonts w:ascii="Arial" w:cs="Arial" w:eastAsia="Arial" w:hAnsi="Arial"/>
                <w:sz w:val="19"/>
                <w:szCs w:val="19"/>
                <w:color w:val="auto"/>
              </w:rPr>
              <w:t>provided by operating activities:</w:t>
            </w:r>
          </w:p>
        </w:tc>
        <w:tc>
          <w:tcPr>
            <w:tcW w:w="10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8640" w:type="dxa"/>
            <w:vAlign w:val="bottom"/>
          </w:tcPr>
          <w:p>
            <w:pPr>
              <w:ind w:left="500"/>
              <w:spacing w:after="0"/>
              <w:rPr>
                <w:sz w:val="20"/>
                <w:szCs w:val="20"/>
                <w:color w:val="auto"/>
              </w:rPr>
            </w:pPr>
            <w:r>
              <w:rPr>
                <w:rFonts w:ascii="Arial" w:cs="Arial" w:eastAsia="Arial" w:hAnsi="Arial"/>
                <w:sz w:val="19"/>
                <w:szCs w:val="19"/>
                <w:color w:val="auto"/>
              </w:rPr>
              <w:t>Depreciation, depletion and amortization</w:t>
            </w:r>
          </w:p>
        </w:tc>
        <w:tc>
          <w:tcPr>
            <w:tcW w:w="1000" w:type="dxa"/>
            <w:vAlign w:val="bottom"/>
          </w:tcPr>
          <w:p>
            <w:pPr>
              <w:spacing w:after="0"/>
              <w:rPr>
                <w:sz w:val="19"/>
                <w:szCs w:val="19"/>
                <w:color w:val="auto"/>
              </w:rPr>
            </w:pPr>
          </w:p>
        </w:tc>
        <w:tc>
          <w:tcPr>
            <w:tcW w:w="1600" w:type="dxa"/>
            <w:vAlign w:val="bottom"/>
          </w:tcPr>
          <w:p>
            <w:pPr>
              <w:jc w:val="right"/>
              <w:ind w:right="46"/>
              <w:spacing w:after="0"/>
              <w:rPr>
                <w:sz w:val="20"/>
                <w:szCs w:val="20"/>
                <w:color w:val="auto"/>
              </w:rPr>
            </w:pPr>
            <w:r>
              <w:rPr>
                <w:rFonts w:ascii="Arial" w:cs="Arial" w:eastAsia="Arial" w:hAnsi="Arial"/>
                <w:sz w:val="19"/>
                <w:szCs w:val="19"/>
                <w:color w:val="auto"/>
              </w:rPr>
              <w:t>9,581,200</w:t>
            </w:r>
          </w:p>
        </w:tc>
      </w:tr>
      <w:tr>
        <w:trPr>
          <w:trHeight w:val="229"/>
        </w:trPr>
        <w:tc>
          <w:tcPr>
            <w:tcW w:w="8640" w:type="dxa"/>
            <w:vAlign w:val="bottom"/>
          </w:tcPr>
          <w:p>
            <w:pPr>
              <w:ind w:left="500"/>
              <w:spacing w:after="0"/>
              <w:rPr>
                <w:sz w:val="20"/>
                <w:szCs w:val="20"/>
                <w:color w:val="auto"/>
              </w:rPr>
            </w:pPr>
            <w:r>
              <w:rPr>
                <w:rFonts w:ascii="Arial" w:cs="Arial" w:eastAsia="Arial" w:hAnsi="Arial"/>
                <w:sz w:val="19"/>
                <w:szCs w:val="19"/>
                <w:color w:val="auto"/>
              </w:rPr>
              <w:t>Accretion of asset retirement obligations</w:t>
            </w:r>
          </w:p>
        </w:tc>
        <w:tc>
          <w:tcPr>
            <w:tcW w:w="1000" w:type="dxa"/>
            <w:vAlign w:val="bottom"/>
          </w:tcPr>
          <w:p>
            <w:pPr>
              <w:spacing w:after="0"/>
              <w:rPr>
                <w:sz w:val="19"/>
                <w:szCs w:val="19"/>
                <w:color w:val="auto"/>
              </w:rPr>
            </w:pPr>
          </w:p>
        </w:tc>
        <w:tc>
          <w:tcPr>
            <w:tcW w:w="1600" w:type="dxa"/>
            <w:vAlign w:val="bottom"/>
          </w:tcPr>
          <w:p>
            <w:pPr>
              <w:jc w:val="right"/>
              <w:ind w:right="46"/>
              <w:spacing w:after="0"/>
              <w:rPr>
                <w:sz w:val="20"/>
                <w:szCs w:val="20"/>
                <w:color w:val="auto"/>
              </w:rPr>
            </w:pPr>
            <w:r>
              <w:rPr>
                <w:rFonts w:ascii="Arial" w:cs="Arial" w:eastAsia="Arial" w:hAnsi="Arial"/>
                <w:sz w:val="19"/>
                <w:szCs w:val="19"/>
                <w:color w:val="auto"/>
              </w:rPr>
              <w:t>642,791</w:t>
            </w:r>
          </w:p>
        </w:tc>
      </w:tr>
      <w:tr>
        <w:trPr>
          <w:trHeight w:val="229"/>
        </w:trPr>
        <w:tc>
          <w:tcPr>
            <w:tcW w:w="8640" w:type="dxa"/>
            <w:vAlign w:val="bottom"/>
          </w:tcPr>
          <w:p>
            <w:pPr>
              <w:ind w:left="500"/>
              <w:spacing w:after="0"/>
              <w:rPr>
                <w:sz w:val="20"/>
                <w:szCs w:val="20"/>
                <w:color w:val="auto"/>
              </w:rPr>
            </w:pPr>
            <w:r>
              <w:rPr>
                <w:rFonts w:ascii="Arial" w:cs="Arial" w:eastAsia="Arial" w:hAnsi="Arial"/>
                <w:sz w:val="19"/>
                <w:szCs w:val="19"/>
                <w:color w:val="auto"/>
              </w:rPr>
              <w:t>Bad debt expense</w:t>
            </w:r>
          </w:p>
        </w:tc>
        <w:tc>
          <w:tcPr>
            <w:tcW w:w="1000" w:type="dxa"/>
            <w:vAlign w:val="bottom"/>
          </w:tcPr>
          <w:p>
            <w:pPr>
              <w:spacing w:after="0"/>
              <w:rPr>
                <w:sz w:val="19"/>
                <w:szCs w:val="19"/>
                <w:color w:val="auto"/>
              </w:rPr>
            </w:pPr>
          </w:p>
        </w:tc>
        <w:tc>
          <w:tcPr>
            <w:tcW w:w="1600" w:type="dxa"/>
            <w:vAlign w:val="bottom"/>
          </w:tcPr>
          <w:p>
            <w:pPr>
              <w:jc w:val="right"/>
              <w:ind w:right="46"/>
              <w:spacing w:after="0"/>
              <w:rPr>
                <w:sz w:val="20"/>
                <w:szCs w:val="20"/>
                <w:color w:val="auto"/>
              </w:rPr>
            </w:pPr>
            <w:r>
              <w:rPr>
                <w:rFonts w:ascii="Arial" w:cs="Arial" w:eastAsia="Arial" w:hAnsi="Arial"/>
                <w:sz w:val="19"/>
                <w:szCs w:val="19"/>
                <w:color w:val="auto"/>
              </w:rPr>
              <w:t>29,840</w:t>
            </w:r>
          </w:p>
        </w:tc>
      </w:tr>
      <w:tr>
        <w:trPr>
          <w:trHeight w:val="230"/>
        </w:trPr>
        <w:tc>
          <w:tcPr>
            <w:tcW w:w="8640" w:type="dxa"/>
            <w:vAlign w:val="bottom"/>
          </w:tcPr>
          <w:p>
            <w:pPr>
              <w:ind w:left="500"/>
              <w:spacing w:after="0"/>
              <w:rPr>
                <w:sz w:val="20"/>
                <w:szCs w:val="20"/>
                <w:color w:val="auto"/>
              </w:rPr>
            </w:pPr>
            <w:r>
              <w:rPr>
                <w:rFonts w:ascii="Arial" w:cs="Arial" w:eastAsia="Arial" w:hAnsi="Arial"/>
                <w:sz w:val="19"/>
                <w:szCs w:val="19"/>
                <w:color w:val="auto"/>
              </w:rPr>
              <w:t>Gains on sales of assets</w:t>
            </w:r>
          </w:p>
        </w:tc>
        <w:tc>
          <w:tcPr>
            <w:tcW w:w="10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9"/>
                <w:szCs w:val="19"/>
                <w:color w:val="auto"/>
              </w:rPr>
              <w:t>(14,796)</w:t>
            </w:r>
          </w:p>
        </w:tc>
      </w:tr>
      <w:tr>
        <w:trPr>
          <w:trHeight w:val="229"/>
        </w:trPr>
        <w:tc>
          <w:tcPr>
            <w:tcW w:w="8640" w:type="dxa"/>
            <w:vAlign w:val="bottom"/>
          </w:tcPr>
          <w:p>
            <w:pPr>
              <w:spacing w:after="0"/>
              <w:rPr>
                <w:sz w:val="20"/>
                <w:szCs w:val="20"/>
                <w:color w:val="auto"/>
              </w:rPr>
            </w:pPr>
            <w:r>
              <w:rPr>
                <w:rFonts w:ascii="Arial" w:cs="Arial" w:eastAsia="Arial" w:hAnsi="Arial"/>
                <w:sz w:val="19"/>
                <w:szCs w:val="19"/>
                <w:color w:val="auto"/>
              </w:rPr>
              <w:t>Changes in operating assets and liabilities:</w:t>
            </w:r>
          </w:p>
        </w:tc>
        <w:tc>
          <w:tcPr>
            <w:tcW w:w="10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8640" w:type="dxa"/>
            <w:vAlign w:val="bottom"/>
          </w:tcPr>
          <w:p>
            <w:pPr>
              <w:ind w:left="500"/>
              <w:spacing w:after="0"/>
              <w:rPr>
                <w:sz w:val="20"/>
                <w:szCs w:val="20"/>
                <w:color w:val="auto"/>
              </w:rPr>
            </w:pPr>
            <w:r>
              <w:rPr>
                <w:rFonts w:ascii="Arial" w:cs="Arial" w:eastAsia="Arial" w:hAnsi="Arial"/>
                <w:sz w:val="19"/>
                <w:szCs w:val="19"/>
                <w:color w:val="auto"/>
              </w:rPr>
              <w:t>Accounts receivable</w:t>
            </w:r>
          </w:p>
        </w:tc>
        <w:tc>
          <w:tcPr>
            <w:tcW w:w="10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9"/>
                <w:szCs w:val="19"/>
                <w:color w:val="auto"/>
              </w:rPr>
              <w:t>(4,786,246)</w:t>
            </w:r>
          </w:p>
        </w:tc>
      </w:tr>
      <w:tr>
        <w:trPr>
          <w:trHeight w:val="230"/>
        </w:trPr>
        <w:tc>
          <w:tcPr>
            <w:tcW w:w="8640" w:type="dxa"/>
            <w:vAlign w:val="bottom"/>
          </w:tcPr>
          <w:p>
            <w:pPr>
              <w:ind w:left="500"/>
              <w:spacing w:after="0"/>
              <w:rPr>
                <w:sz w:val="20"/>
                <w:szCs w:val="20"/>
                <w:color w:val="auto"/>
              </w:rPr>
            </w:pPr>
            <w:r>
              <w:rPr>
                <w:rFonts w:ascii="Arial" w:cs="Arial" w:eastAsia="Arial" w:hAnsi="Arial"/>
                <w:sz w:val="19"/>
                <w:szCs w:val="19"/>
                <w:color w:val="auto"/>
              </w:rPr>
              <w:t>Prepaid expenses and other assets</w:t>
            </w:r>
          </w:p>
        </w:tc>
        <w:tc>
          <w:tcPr>
            <w:tcW w:w="1000" w:type="dxa"/>
            <w:vAlign w:val="bottom"/>
          </w:tcPr>
          <w:p>
            <w:pPr>
              <w:spacing w:after="0"/>
              <w:rPr>
                <w:sz w:val="19"/>
                <w:szCs w:val="19"/>
                <w:color w:val="auto"/>
              </w:rPr>
            </w:pPr>
          </w:p>
        </w:tc>
        <w:tc>
          <w:tcPr>
            <w:tcW w:w="1600" w:type="dxa"/>
            <w:vAlign w:val="bottom"/>
          </w:tcPr>
          <w:p>
            <w:pPr>
              <w:jc w:val="right"/>
              <w:ind w:right="46"/>
              <w:spacing w:after="0"/>
              <w:rPr>
                <w:sz w:val="20"/>
                <w:szCs w:val="20"/>
                <w:color w:val="auto"/>
              </w:rPr>
            </w:pPr>
            <w:r>
              <w:rPr>
                <w:rFonts w:ascii="Arial" w:cs="Arial" w:eastAsia="Arial" w:hAnsi="Arial"/>
                <w:sz w:val="19"/>
                <w:szCs w:val="19"/>
                <w:color w:val="auto"/>
              </w:rPr>
              <w:t>13,484</w:t>
            </w:r>
          </w:p>
        </w:tc>
      </w:tr>
      <w:tr>
        <w:trPr>
          <w:trHeight w:val="229"/>
        </w:trPr>
        <w:tc>
          <w:tcPr>
            <w:tcW w:w="8640" w:type="dxa"/>
            <w:vAlign w:val="bottom"/>
          </w:tcPr>
          <w:p>
            <w:pPr>
              <w:ind w:left="500"/>
              <w:spacing w:after="0"/>
              <w:rPr>
                <w:sz w:val="20"/>
                <w:szCs w:val="20"/>
                <w:color w:val="auto"/>
              </w:rPr>
            </w:pPr>
            <w:r>
              <w:rPr>
                <w:rFonts w:ascii="Arial" w:cs="Arial" w:eastAsia="Arial" w:hAnsi="Arial"/>
                <w:sz w:val="19"/>
                <w:szCs w:val="19"/>
                <w:color w:val="auto"/>
              </w:rPr>
              <w:t>Accounts payable and revenue payable</w:t>
            </w:r>
          </w:p>
        </w:tc>
        <w:tc>
          <w:tcPr>
            <w:tcW w:w="1000" w:type="dxa"/>
            <w:vAlign w:val="bottom"/>
          </w:tcPr>
          <w:p>
            <w:pPr>
              <w:spacing w:after="0"/>
              <w:rPr>
                <w:sz w:val="19"/>
                <w:szCs w:val="19"/>
                <w:color w:val="auto"/>
              </w:rPr>
            </w:pPr>
          </w:p>
        </w:tc>
        <w:tc>
          <w:tcPr>
            <w:tcW w:w="1600" w:type="dxa"/>
            <w:vAlign w:val="bottom"/>
          </w:tcPr>
          <w:p>
            <w:pPr>
              <w:jc w:val="right"/>
              <w:ind w:right="46"/>
              <w:spacing w:after="0"/>
              <w:rPr>
                <w:sz w:val="20"/>
                <w:szCs w:val="20"/>
                <w:color w:val="auto"/>
              </w:rPr>
            </w:pPr>
            <w:r>
              <w:rPr>
                <w:rFonts w:ascii="Arial" w:cs="Arial" w:eastAsia="Arial" w:hAnsi="Arial"/>
                <w:sz w:val="19"/>
                <w:szCs w:val="19"/>
                <w:color w:val="auto"/>
              </w:rPr>
              <w:t>20,944,181</w:t>
            </w:r>
          </w:p>
        </w:tc>
      </w:tr>
      <w:tr>
        <w:trPr>
          <w:trHeight w:val="230"/>
        </w:trPr>
        <w:tc>
          <w:tcPr>
            <w:tcW w:w="8640" w:type="dxa"/>
            <w:vAlign w:val="bottom"/>
          </w:tcPr>
          <w:p>
            <w:pPr>
              <w:ind w:left="500"/>
              <w:spacing w:after="0"/>
              <w:rPr>
                <w:sz w:val="20"/>
                <w:szCs w:val="20"/>
                <w:color w:val="auto"/>
              </w:rPr>
            </w:pPr>
            <w:r>
              <w:rPr>
                <w:rFonts w:ascii="Arial" w:cs="Arial" w:eastAsia="Arial" w:hAnsi="Arial"/>
                <w:sz w:val="19"/>
                <w:szCs w:val="19"/>
                <w:color w:val="auto"/>
              </w:rPr>
              <w:t>Drilling advances</w:t>
            </w:r>
          </w:p>
        </w:tc>
        <w:tc>
          <w:tcPr>
            <w:tcW w:w="1000" w:type="dxa"/>
            <w:vAlign w:val="bottom"/>
          </w:tcPr>
          <w:p>
            <w:pPr>
              <w:spacing w:after="0"/>
              <w:rPr>
                <w:sz w:val="19"/>
                <w:szCs w:val="19"/>
                <w:color w:val="auto"/>
              </w:rPr>
            </w:pPr>
          </w:p>
        </w:tc>
        <w:tc>
          <w:tcPr>
            <w:tcW w:w="1600" w:type="dxa"/>
            <w:vAlign w:val="bottom"/>
          </w:tcPr>
          <w:p>
            <w:pPr>
              <w:jc w:val="right"/>
              <w:ind w:right="46"/>
              <w:spacing w:after="0"/>
              <w:rPr>
                <w:sz w:val="20"/>
                <w:szCs w:val="20"/>
                <w:color w:val="auto"/>
              </w:rPr>
            </w:pPr>
            <w:r>
              <w:rPr>
                <w:rFonts w:ascii="Arial" w:cs="Arial" w:eastAsia="Arial" w:hAnsi="Arial"/>
                <w:sz w:val="19"/>
                <w:szCs w:val="19"/>
                <w:color w:val="auto"/>
              </w:rPr>
              <w:t>3,441,260</w:t>
            </w:r>
          </w:p>
        </w:tc>
      </w:tr>
      <w:tr>
        <w:trPr>
          <w:trHeight w:val="229"/>
        </w:trPr>
        <w:tc>
          <w:tcPr>
            <w:tcW w:w="8640" w:type="dxa"/>
            <w:vAlign w:val="bottom"/>
          </w:tcPr>
          <w:p>
            <w:pPr>
              <w:ind w:left="500"/>
              <w:spacing w:after="0"/>
              <w:rPr>
                <w:sz w:val="20"/>
                <w:szCs w:val="20"/>
                <w:color w:val="auto"/>
              </w:rPr>
            </w:pPr>
            <w:r>
              <w:rPr>
                <w:rFonts w:ascii="Arial" w:cs="Arial" w:eastAsia="Arial" w:hAnsi="Arial"/>
                <w:sz w:val="19"/>
                <w:szCs w:val="19"/>
                <w:color w:val="auto"/>
              </w:rPr>
              <w:t>Settlements of asset retirement obligations</w:t>
            </w:r>
          </w:p>
        </w:tc>
        <w:tc>
          <w:tcPr>
            <w:tcW w:w="10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9"/>
                <w:szCs w:val="19"/>
                <w:color w:val="auto"/>
              </w:rPr>
              <w:t>(400,446)</w:t>
            </w:r>
          </w:p>
        </w:tc>
      </w:tr>
      <w:tr>
        <w:trPr>
          <w:trHeight w:val="238"/>
        </w:trPr>
        <w:tc>
          <w:tcPr>
            <w:tcW w:w="8640" w:type="dxa"/>
            <w:vAlign w:val="bottom"/>
            <w:tcBorders>
              <w:bottom w:val="single" w:sz="8" w:color="auto"/>
            </w:tcBorders>
          </w:tcPr>
          <w:p>
            <w:pPr>
              <w:ind w:left="500"/>
              <w:spacing w:after="0"/>
              <w:rPr>
                <w:sz w:val="20"/>
                <w:szCs w:val="20"/>
                <w:color w:val="auto"/>
              </w:rPr>
            </w:pPr>
            <w:r>
              <w:rPr>
                <w:rFonts w:ascii="Arial" w:cs="Arial" w:eastAsia="Arial" w:hAnsi="Arial"/>
                <w:sz w:val="19"/>
                <w:szCs w:val="19"/>
                <w:color w:val="auto"/>
              </w:rPr>
              <w:t>Accrued liabilities</w:t>
            </w:r>
          </w:p>
        </w:tc>
        <w:tc>
          <w:tcPr>
            <w:tcW w:w="10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707,942</w:t>
            </w:r>
          </w:p>
        </w:tc>
      </w:tr>
      <w:tr>
        <w:trPr>
          <w:trHeight w:val="223"/>
        </w:trPr>
        <w:tc>
          <w:tcPr>
            <w:tcW w:w="86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Net Cash Provided by Operating Activities</w:t>
            </w:r>
          </w:p>
        </w:tc>
        <w:tc>
          <w:tcPr>
            <w:tcW w:w="10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23,818,123</w:t>
            </w:r>
          </w:p>
        </w:tc>
      </w:tr>
      <w:tr>
        <w:trPr>
          <w:trHeight w:val="214"/>
        </w:trPr>
        <w:tc>
          <w:tcPr>
            <w:tcW w:w="8640" w:type="dxa"/>
            <w:vAlign w:val="bottom"/>
          </w:tcPr>
          <w:p>
            <w:pPr>
              <w:spacing w:after="0" w:line="214" w:lineRule="exact"/>
              <w:rPr>
                <w:sz w:val="20"/>
                <w:szCs w:val="20"/>
                <w:color w:val="auto"/>
              </w:rPr>
            </w:pPr>
            <w:r>
              <w:rPr>
                <w:rFonts w:ascii="Arial" w:cs="Arial" w:eastAsia="Arial" w:hAnsi="Arial"/>
                <w:sz w:val="19"/>
                <w:szCs w:val="19"/>
                <w:b w:val="1"/>
                <w:bCs w:val="1"/>
                <w:color w:val="auto"/>
              </w:rPr>
              <w:t>Cash Flows from Investing Activities</w:t>
            </w:r>
          </w:p>
        </w:tc>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8640" w:type="dxa"/>
            <w:vAlign w:val="bottom"/>
          </w:tcPr>
          <w:p>
            <w:pPr>
              <w:ind w:left="260"/>
              <w:spacing w:after="0"/>
              <w:rPr>
                <w:sz w:val="20"/>
                <w:szCs w:val="20"/>
                <w:color w:val="auto"/>
              </w:rPr>
            </w:pPr>
            <w:r>
              <w:rPr>
                <w:rFonts w:ascii="Arial" w:cs="Arial" w:eastAsia="Arial" w:hAnsi="Arial"/>
                <w:sz w:val="19"/>
                <w:szCs w:val="19"/>
                <w:color w:val="auto"/>
              </w:rPr>
              <w:t>Payments for oil and natural gas properties and equipment</w:t>
            </w:r>
          </w:p>
        </w:tc>
        <w:tc>
          <w:tcPr>
            <w:tcW w:w="10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9"/>
                <w:szCs w:val="19"/>
                <w:color w:val="auto"/>
              </w:rPr>
              <w:t>(53,780,398)</w:t>
            </w:r>
          </w:p>
        </w:tc>
      </w:tr>
      <w:tr>
        <w:trPr>
          <w:trHeight w:val="229"/>
        </w:trPr>
        <w:tc>
          <w:tcPr>
            <w:tcW w:w="8640" w:type="dxa"/>
            <w:vAlign w:val="bottom"/>
          </w:tcPr>
          <w:p>
            <w:pPr>
              <w:ind w:left="260"/>
              <w:spacing w:after="0"/>
              <w:rPr>
                <w:sz w:val="20"/>
                <w:szCs w:val="20"/>
                <w:color w:val="auto"/>
              </w:rPr>
            </w:pPr>
            <w:r>
              <w:rPr>
                <w:rFonts w:ascii="Arial" w:cs="Arial" w:eastAsia="Arial" w:hAnsi="Arial"/>
                <w:sz w:val="19"/>
                <w:szCs w:val="19"/>
                <w:color w:val="auto"/>
              </w:rPr>
              <w:t>Proceeds from sales of oil and natural gas properties</w:t>
            </w:r>
          </w:p>
        </w:tc>
        <w:tc>
          <w:tcPr>
            <w:tcW w:w="1000" w:type="dxa"/>
            <w:vAlign w:val="bottom"/>
          </w:tcPr>
          <w:p>
            <w:pPr>
              <w:spacing w:after="0"/>
              <w:rPr>
                <w:sz w:val="19"/>
                <w:szCs w:val="19"/>
                <w:color w:val="auto"/>
              </w:rPr>
            </w:pPr>
          </w:p>
        </w:tc>
        <w:tc>
          <w:tcPr>
            <w:tcW w:w="1600" w:type="dxa"/>
            <w:vAlign w:val="bottom"/>
          </w:tcPr>
          <w:p>
            <w:pPr>
              <w:jc w:val="right"/>
              <w:ind w:right="46"/>
              <w:spacing w:after="0"/>
              <w:rPr>
                <w:sz w:val="20"/>
                <w:szCs w:val="20"/>
                <w:color w:val="auto"/>
              </w:rPr>
            </w:pPr>
            <w:r>
              <w:rPr>
                <w:rFonts w:ascii="Arial" w:cs="Arial" w:eastAsia="Arial" w:hAnsi="Arial"/>
                <w:sz w:val="19"/>
                <w:szCs w:val="19"/>
                <w:color w:val="auto"/>
              </w:rPr>
              <w:t>588,000</w:t>
            </w:r>
          </w:p>
        </w:tc>
      </w:tr>
      <w:tr>
        <w:trPr>
          <w:trHeight w:val="230"/>
        </w:trPr>
        <w:tc>
          <w:tcPr>
            <w:tcW w:w="8640" w:type="dxa"/>
            <w:vAlign w:val="bottom"/>
          </w:tcPr>
          <w:p>
            <w:pPr>
              <w:ind w:left="260"/>
              <w:spacing w:after="0"/>
              <w:rPr>
                <w:sz w:val="20"/>
                <w:szCs w:val="20"/>
                <w:color w:val="auto"/>
              </w:rPr>
            </w:pPr>
            <w:r>
              <w:rPr>
                <w:rFonts w:ascii="Arial" w:cs="Arial" w:eastAsia="Arial" w:hAnsi="Arial"/>
                <w:sz w:val="19"/>
                <w:szCs w:val="19"/>
                <w:color w:val="auto"/>
              </w:rPr>
              <w:t>Proceeds from sales of other property and equipment</w:t>
            </w:r>
          </w:p>
        </w:tc>
        <w:tc>
          <w:tcPr>
            <w:tcW w:w="1000" w:type="dxa"/>
            <w:vAlign w:val="bottom"/>
          </w:tcPr>
          <w:p>
            <w:pPr>
              <w:spacing w:after="0"/>
              <w:rPr>
                <w:sz w:val="19"/>
                <w:szCs w:val="19"/>
                <w:color w:val="auto"/>
              </w:rPr>
            </w:pPr>
          </w:p>
        </w:tc>
        <w:tc>
          <w:tcPr>
            <w:tcW w:w="1600" w:type="dxa"/>
            <w:vAlign w:val="bottom"/>
          </w:tcPr>
          <w:p>
            <w:pPr>
              <w:jc w:val="right"/>
              <w:ind w:right="46"/>
              <w:spacing w:after="0"/>
              <w:rPr>
                <w:sz w:val="20"/>
                <w:szCs w:val="20"/>
                <w:color w:val="auto"/>
              </w:rPr>
            </w:pPr>
            <w:r>
              <w:rPr>
                <w:rFonts w:ascii="Arial" w:cs="Arial" w:eastAsia="Arial" w:hAnsi="Arial"/>
                <w:sz w:val="19"/>
                <w:szCs w:val="19"/>
                <w:color w:val="auto"/>
              </w:rPr>
              <w:t>26,000</w:t>
            </w:r>
          </w:p>
        </w:tc>
      </w:tr>
      <w:tr>
        <w:trPr>
          <w:trHeight w:val="238"/>
        </w:trPr>
        <w:tc>
          <w:tcPr>
            <w:tcW w:w="864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Deposit and other assets</w:t>
            </w:r>
          </w:p>
        </w:tc>
        <w:tc>
          <w:tcPr>
            <w:tcW w:w="10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(41,500)</w:t>
            </w:r>
          </w:p>
        </w:tc>
      </w:tr>
      <w:tr>
        <w:trPr>
          <w:trHeight w:val="223"/>
        </w:trPr>
        <w:tc>
          <w:tcPr>
            <w:tcW w:w="86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Net Cash Used in Investing Activities</w:t>
            </w:r>
          </w:p>
        </w:tc>
        <w:tc>
          <w:tcPr>
            <w:tcW w:w="10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(53,207,898)</w:t>
            </w:r>
          </w:p>
        </w:tc>
      </w:tr>
      <w:tr>
        <w:trPr>
          <w:trHeight w:val="214"/>
        </w:trPr>
        <w:tc>
          <w:tcPr>
            <w:tcW w:w="8640" w:type="dxa"/>
            <w:vAlign w:val="bottom"/>
          </w:tcPr>
          <w:p>
            <w:pPr>
              <w:spacing w:after="0" w:line="214" w:lineRule="exact"/>
              <w:rPr>
                <w:sz w:val="20"/>
                <w:szCs w:val="20"/>
                <w:color w:val="auto"/>
              </w:rPr>
            </w:pPr>
            <w:r>
              <w:rPr>
                <w:rFonts w:ascii="Arial" w:cs="Arial" w:eastAsia="Arial" w:hAnsi="Arial"/>
                <w:sz w:val="19"/>
                <w:szCs w:val="19"/>
                <w:b w:val="1"/>
                <w:bCs w:val="1"/>
                <w:color w:val="auto"/>
              </w:rPr>
              <w:t>Cash Flows from Financing Activities</w:t>
            </w:r>
          </w:p>
        </w:tc>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8"/>
        </w:trPr>
        <w:tc>
          <w:tcPr>
            <w:tcW w:w="864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Proceeds from borrowings on long-term debt</w:t>
            </w:r>
          </w:p>
        </w:tc>
        <w:tc>
          <w:tcPr>
            <w:tcW w:w="10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30,000,000</w:t>
            </w:r>
          </w:p>
        </w:tc>
      </w:tr>
      <w:tr>
        <w:trPr>
          <w:trHeight w:val="223"/>
        </w:trPr>
        <w:tc>
          <w:tcPr>
            <w:tcW w:w="86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Net Cash Provided by Financing Activities</w:t>
            </w:r>
          </w:p>
        </w:tc>
        <w:tc>
          <w:tcPr>
            <w:tcW w:w="10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30,000,000</w:t>
            </w:r>
          </w:p>
        </w:tc>
      </w:tr>
      <w:tr>
        <w:trPr>
          <w:trHeight w:val="208"/>
        </w:trPr>
        <w:tc>
          <w:tcPr>
            <w:tcW w:w="8640" w:type="dxa"/>
            <w:vAlign w:val="bottom"/>
          </w:tcPr>
          <w:p>
            <w:pPr>
              <w:spacing w:after="0" w:line="208" w:lineRule="exact"/>
              <w:rPr>
                <w:sz w:val="20"/>
                <w:szCs w:val="20"/>
                <w:color w:val="auto"/>
              </w:rPr>
            </w:pPr>
            <w:r>
              <w:rPr>
                <w:rFonts w:ascii="Arial" w:cs="Arial" w:eastAsia="Arial" w:hAnsi="Arial"/>
                <w:sz w:val="19"/>
                <w:szCs w:val="19"/>
                <w:b w:val="1"/>
                <w:bCs w:val="1"/>
                <w:color w:val="auto"/>
              </w:rPr>
              <w:t>Net Increase in Cash, Cash Equivalents and Restricted Cash</w:t>
            </w:r>
          </w:p>
        </w:tc>
        <w:tc>
          <w:tcPr>
            <w:tcW w:w="1000" w:type="dxa"/>
            <w:vAlign w:val="bottom"/>
          </w:tcPr>
          <w:p>
            <w:pPr>
              <w:spacing w:after="0"/>
              <w:rPr>
                <w:sz w:val="18"/>
                <w:szCs w:val="18"/>
                <w:color w:val="auto"/>
              </w:rPr>
            </w:pPr>
          </w:p>
        </w:tc>
        <w:tc>
          <w:tcPr>
            <w:tcW w:w="1600" w:type="dxa"/>
            <w:vAlign w:val="bottom"/>
          </w:tcPr>
          <w:p>
            <w:pPr>
              <w:jc w:val="right"/>
              <w:ind w:right="46"/>
              <w:spacing w:after="0" w:line="208" w:lineRule="exact"/>
              <w:rPr>
                <w:sz w:val="20"/>
                <w:szCs w:val="20"/>
                <w:color w:val="auto"/>
              </w:rPr>
            </w:pPr>
            <w:r>
              <w:rPr>
                <w:rFonts w:ascii="Arial" w:cs="Arial" w:eastAsia="Arial" w:hAnsi="Arial"/>
                <w:sz w:val="19"/>
                <w:szCs w:val="19"/>
                <w:color w:val="auto"/>
              </w:rPr>
              <w:t>610,225</w:t>
            </w:r>
          </w:p>
        </w:tc>
      </w:tr>
      <w:tr>
        <w:trPr>
          <w:trHeight w:val="244"/>
        </w:trPr>
        <w:tc>
          <w:tcPr>
            <w:tcW w:w="86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Cash, Cash Equivalents and Restricted Cash - Beginning of Year</w:t>
            </w:r>
          </w:p>
        </w:tc>
        <w:tc>
          <w:tcPr>
            <w:tcW w:w="10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3,314,964</w:t>
            </w:r>
          </w:p>
        </w:tc>
      </w:tr>
      <w:tr>
        <w:trPr>
          <w:trHeight w:val="223"/>
        </w:trPr>
        <w:tc>
          <w:tcPr>
            <w:tcW w:w="86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Cash, Cash Equivalents and Restricted Cash - End of Year</w:t>
            </w:r>
          </w:p>
        </w:tc>
        <w:tc>
          <w:tcPr>
            <w:tcW w:w="1000" w:type="dxa"/>
            <w:vAlign w:val="bottom"/>
            <w:tcBorders>
              <w:bottom w:val="single" w:sz="8" w:color="auto"/>
            </w:tcBorders>
          </w:tcPr>
          <w:p>
            <w:pPr>
              <w:jc w:val="right"/>
              <w:ind w:right="246"/>
              <w:spacing w:after="0"/>
              <w:rPr>
                <w:sz w:val="20"/>
                <w:szCs w:val="20"/>
                <w:color w:val="auto"/>
              </w:rPr>
            </w:pPr>
            <w:r>
              <w:rPr>
                <w:rFonts w:ascii="Arial" w:cs="Arial" w:eastAsia="Arial" w:hAnsi="Arial"/>
                <w:sz w:val="19"/>
                <w:szCs w:val="19"/>
                <w:color w:val="auto"/>
              </w:rPr>
              <w:t>$</w:t>
            </w:r>
          </w:p>
        </w:tc>
        <w:tc>
          <w:tcPr>
            <w:tcW w:w="160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3,925,189</w:t>
            </w:r>
          </w:p>
        </w:tc>
      </w:tr>
      <w:tr>
        <w:trPr>
          <w:trHeight w:val="214"/>
        </w:trPr>
        <w:tc>
          <w:tcPr>
            <w:tcW w:w="8640" w:type="dxa"/>
            <w:vAlign w:val="bottom"/>
          </w:tcPr>
          <w:p>
            <w:pPr>
              <w:spacing w:after="0" w:line="214" w:lineRule="exact"/>
              <w:rPr>
                <w:sz w:val="20"/>
                <w:szCs w:val="20"/>
                <w:color w:val="auto"/>
              </w:rPr>
            </w:pPr>
            <w:r>
              <w:rPr>
                <w:rFonts w:ascii="Arial" w:cs="Arial" w:eastAsia="Arial" w:hAnsi="Arial"/>
                <w:sz w:val="19"/>
                <w:szCs w:val="19"/>
                <w:b w:val="1"/>
                <w:bCs w:val="1"/>
                <w:color w:val="auto"/>
              </w:rPr>
              <w:t>Supplemental Cash Flow Information</w:t>
            </w:r>
          </w:p>
        </w:tc>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3"/>
        </w:trPr>
        <w:tc>
          <w:tcPr>
            <w:tcW w:w="8640" w:type="dxa"/>
            <w:vAlign w:val="bottom"/>
          </w:tcPr>
          <w:p>
            <w:pPr>
              <w:ind w:left="260"/>
              <w:spacing w:after="0"/>
              <w:rPr>
                <w:sz w:val="20"/>
                <w:szCs w:val="20"/>
                <w:color w:val="auto"/>
              </w:rPr>
            </w:pPr>
            <w:r>
              <w:rPr>
                <w:rFonts w:ascii="Arial" w:cs="Arial" w:eastAsia="Arial" w:hAnsi="Arial"/>
                <w:sz w:val="19"/>
                <w:szCs w:val="19"/>
                <w:color w:val="auto"/>
              </w:rPr>
              <w:t>Cash paid for interest</w:t>
            </w:r>
          </w:p>
        </w:tc>
        <w:tc>
          <w:tcPr>
            <w:tcW w:w="1000" w:type="dxa"/>
            <w:vAlign w:val="bottom"/>
          </w:tcPr>
          <w:p>
            <w:pPr>
              <w:jc w:val="right"/>
              <w:ind w:right="246"/>
              <w:spacing w:after="0"/>
              <w:rPr>
                <w:sz w:val="20"/>
                <w:szCs w:val="20"/>
                <w:color w:val="auto"/>
              </w:rPr>
            </w:pPr>
            <w:r>
              <w:rPr>
                <w:rFonts w:ascii="Arial" w:cs="Arial" w:eastAsia="Arial" w:hAnsi="Arial"/>
                <w:sz w:val="19"/>
                <w:szCs w:val="19"/>
                <w:color w:val="auto"/>
              </w:rPr>
              <w:t>$</w:t>
            </w:r>
          </w:p>
        </w:tc>
        <w:tc>
          <w:tcPr>
            <w:tcW w:w="1600" w:type="dxa"/>
            <w:vAlign w:val="bottom"/>
          </w:tcPr>
          <w:p>
            <w:pPr>
              <w:jc w:val="right"/>
              <w:ind w:right="46"/>
              <w:spacing w:after="0"/>
              <w:rPr>
                <w:sz w:val="20"/>
                <w:szCs w:val="20"/>
                <w:color w:val="auto"/>
              </w:rPr>
            </w:pPr>
            <w:r>
              <w:rPr>
                <w:rFonts w:ascii="Arial" w:cs="Arial" w:eastAsia="Arial" w:hAnsi="Arial"/>
                <w:sz w:val="19"/>
                <w:szCs w:val="19"/>
                <w:color w:val="auto"/>
              </w:rPr>
              <w:t>5,217,778</w:t>
            </w:r>
          </w:p>
        </w:tc>
      </w:tr>
      <w:tr>
        <w:trPr>
          <w:trHeight w:val="236"/>
        </w:trPr>
        <w:tc>
          <w:tcPr>
            <w:tcW w:w="8640" w:type="dxa"/>
            <w:vAlign w:val="bottom"/>
          </w:tcPr>
          <w:p>
            <w:pPr>
              <w:spacing w:after="0"/>
              <w:rPr>
                <w:sz w:val="20"/>
                <w:szCs w:val="20"/>
                <w:color w:val="auto"/>
              </w:rPr>
            </w:pPr>
            <w:r>
              <w:rPr>
                <w:rFonts w:ascii="Arial" w:cs="Arial" w:eastAsia="Arial" w:hAnsi="Arial"/>
                <w:sz w:val="19"/>
                <w:szCs w:val="19"/>
                <w:b w:val="1"/>
                <w:bCs w:val="1"/>
                <w:color w:val="auto"/>
              </w:rPr>
              <w:t>Non-Cash Investing and Financing Activities</w:t>
            </w:r>
          </w:p>
        </w:tc>
        <w:tc>
          <w:tcPr>
            <w:tcW w:w="10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30"/>
        </w:trPr>
        <w:tc>
          <w:tcPr>
            <w:tcW w:w="8640" w:type="dxa"/>
            <w:vAlign w:val="bottom"/>
          </w:tcPr>
          <w:p>
            <w:pPr>
              <w:ind w:left="260"/>
              <w:spacing w:after="0"/>
              <w:rPr>
                <w:sz w:val="20"/>
                <w:szCs w:val="20"/>
                <w:color w:val="auto"/>
              </w:rPr>
            </w:pPr>
            <w:r>
              <w:rPr>
                <w:rFonts w:ascii="Arial" w:cs="Arial" w:eastAsia="Arial" w:hAnsi="Arial"/>
                <w:sz w:val="19"/>
                <w:szCs w:val="19"/>
                <w:color w:val="auto"/>
              </w:rPr>
              <w:t>Oil and natural gas properties accrued</w:t>
            </w:r>
          </w:p>
        </w:tc>
        <w:tc>
          <w:tcPr>
            <w:tcW w:w="1000" w:type="dxa"/>
            <w:vAlign w:val="bottom"/>
          </w:tcPr>
          <w:p>
            <w:pPr>
              <w:jc w:val="right"/>
              <w:ind w:right="246"/>
              <w:spacing w:after="0"/>
              <w:rPr>
                <w:sz w:val="20"/>
                <w:szCs w:val="20"/>
                <w:color w:val="auto"/>
              </w:rPr>
            </w:pPr>
            <w:r>
              <w:rPr>
                <w:rFonts w:ascii="Arial" w:cs="Arial" w:eastAsia="Arial" w:hAnsi="Arial"/>
                <w:sz w:val="19"/>
                <w:szCs w:val="19"/>
                <w:color w:val="auto"/>
              </w:rPr>
              <w:t>$</w:t>
            </w:r>
          </w:p>
        </w:tc>
        <w:tc>
          <w:tcPr>
            <w:tcW w:w="1600" w:type="dxa"/>
            <w:vAlign w:val="bottom"/>
          </w:tcPr>
          <w:p>
            <w:pPr>
              <w:jc w:val="right"/>
              <w:ind w:right="46"/>
              <w:spacing w:after="0"/>
              <w:rPr>
                <w:sz w:val="20"/>
                <w:szCs w:val="20"/>
                <w:color w:val="auto"/>
              </w:rPr>
            </w:pPr>
            <w:r>
              <w:rPr>
                <w:rFonts w:ascii="Arial" w:cs="Arial" w:eastAsia="Arial" w:hAnsi="Arial"/>
                <w:sz w:val="19"/>
                <w:szCs w:val="19"/>
                <w:color w:val="auto"/>
              </w:rPr>
              <w:t>2,102,034</w:t>
            </w:r>
          </w:p>
        </w:tc>
      </w:tr>
      <w:tr>
        <w:trPr>
          <w:trHeight w:val="238"/>
        </w:trPr>
        <w:tc>
          <w:tcPr>
            <w:tcW w:w="864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Asset retirement obligations</w:t>
            </w:r>
          </w:p>
        </w:tc>
        <w:tc>
          <w:tcPr>
            <w:tcW w:w="1000" w:type="dxa"/>
            <w:vAlign w:val="bottom"/>
            <w:tcBorders>
              <w:bottom w:val="single" w:sz="8" w:color="auto"/>
            </w:tcBorders>
          </w:tcPr>
          <w:p>
            <w:pPr>
              <w:jc w:val="right"/>
              <w:ind w:right="246"/>
              <w:spacing w:after="0"/>
              <w:rPr>
                <w:sz w:val="20"/>
                <w:szCs w:val="20"/>
                <w:color w:val="auto"/>
              </w:rPr>
            </w:pPr>
            <w:r>
              <w:rPr>
                <w:rFonts w:ascii="Arial" w:cs="Arial" w:eastAsia="Arial" w:hAnsi="Arial"/>
                <w:sz w:val="19"/>
                <w:szCs w:val="19"/>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(483,851)</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748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6" w:name="page157"/>
    <w:bookmarkEnd w:id="156"/>
    <w:p>
      <w:pPr>
        <w:jc w:val="center"/>
        <w:ind w:right="-19"/>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54" w:lineRule="exact"/>
        <w:rPr>
          <w:sz w:val="20"/>
          <w:szCs w:val="20"/>
          <w:color w:val="auto"/>
        </w:rPr>
      </w:pPr>
    </w:p>
    <w:p>
      <w:pPr>
        <w:ind w:left="440" w:hanging="432"/>
        <w:spacing w:after="0"/>
        <w:tabs>
          <w:tab w:leader="none" w:pos="440" w:val="left"/>
        </w:tabs>
        <w:numPr>
          <w:ilvl w:val="0"/>
          <w:numId w:val="148"/>
        </w:numPr>
        <w:rPr>
          <w:rFonts w:ascii="Arial" w:cs="Arial" w:eastAsia="Arial" w:hAnsi="Arial"/>
          <w:sz w:val="22"/>
          <w:szCs w:val="22"/>
          <w:b w:val="1"/>
          <w:bCs w:val="1"/>
          <w:color w:val="auto"/>
        </w:rPr>
      </w:pPr>
      <w:r>
        <w:rPr>
          <w:rFonts w:ascii="Arial" w:cs="Arial" w:eastAsia="Arial" w:hAnsi="Arial"/>
          <w:sz w:val="22"/>
          <w:szCs w:val="22"/>
          <w:b w:val="1"/>
          <w:bCs w:val="1"/>
          <w:color w:val="auto"/>
        </w:rPr>
        <w:t>Nature of Operations and Organization</w:t>
      </w:r>
    </w:p>
    <w:p>
      <w:pPr>
        <w:spacing w:after="0" w:line="198"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RAM Energy Holdings LLC (“Holdings”), formerly named PNNT RAM Energy LLC, is a Delaware limited liability company, wholly-owned by PennantPark Investment Corporation (“PennantPark”), and was formed in July 2014 as a holding company for interest ownership in RAM Energy LLC (“RAM”). RAM Fayette LLC (“Fayette”) was formed in September 2017 and Fayette Service Company LLC (“Service”) was formed in June 2018. As of September 30, 2019, both subsidiaries were wholly-owned by RAM. Holdings, RAM and its subsidiaries are herein referred to as the “Company.”</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RAM was formed in April 2012 as a privately held, independent oil and natural gas company engaged in the acquisition, exploration, exploitation, development and production of oil and natural gas.</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color w:val="auto"/>
        </w:rPr>
        <w:t>In August 2015, RAM became a wholly-owned and consolidated subsidiary of Holdings.</w:t>
      </w:r>
    </w:p>
    <w:p>
      <w:pPr>
        <w:spacing w:after="0" w:line="200"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In September 2017, Holdings issued PennantPark 61,606 common units in satisfaction of the $88 million of outstanding debt that RAM owed to PennantPark. Holdings then entered into a new $35 million term loan. In June 2018, the credit agreement was amended to add a $15 million revolving loan. The credit agreement was amended in January 2019 and May 2019 to increase the revolving loan to $40 million, and further amended in October 2019 to increase the revolving loan to $50 million. See Notes 6 and 9.</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In July 2018, the Company began a drilling program in the Austin Chalk formation. Fayette was formed to be an owner in the new wells drilled, and Service was formed to invest in gathering and facilities infrastructure.</w:t>
      </w:r>
    </w:p>
    <w:p>
      <w:pPr>
        <w:spacing w:after="0" w:line="159"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RAM operates exclusively in the upstream segment of the oil and gas industry with activities including the drilling, completion, and operation of oil and natural gas wells. RAM conducts the majority of its operations in the state of Texas, with minor operations in the states of Arkansas, New Mexico and Oklahoma.</w:t>
      </w:r>
    </w:p>
    <w:p>
      <w:pPr>
        <w:spacing w:after="0" w:line="206" w:lineRule="exact"/>
        <w:rPr>
          <w:sz w:val="20"/>
          <w:szCs w:val="20"/>
          <w:color w:val="auto"/>
        </w:rPr>
      </w:pPr>
    </w:p>
    <w:p>
      <w:pPr>
        <w:ind w:left="440" w:hanging="432"/>
        <w:spacing w:after="0"/>
        <w:tabs>
          <w:tab w:leader="none" w:pos="440" w:val="left"/>
        </w:tabs>
        <w:numPr>
          <w:ilvl w:val="0"/>
          <w:numId w:val="149"/>
        </w:numPr>
        <w:rPr>
          <w:rFonts w:ascii="Arial" w:cs="Arial" w:eastAsia="Arial" w:hAnsi="Arial"/>
          <w:sz w:val="22"/>
          <w:szCs w:val="22"/>
          <w:b w:val="1"/>
          <w:bCs w:val="1"/>
          <w:color w:val="auto"/>
        </w:rPr>
      </w:pPr>
      <w:r>
        <w:rPr>
          <w:rFonts w:ascii="Arial" w:cs="Arial" w:eastAsia="Arial" w:hAnsi="Arial"/>
          <w:sz w:val="22"/>
          <w:szCs w:val="22"/>
          <w:b w:val="1"/>
          <w:bCs w:val="1"/>
          <w:color w:val="auto"/>
        </w:rPr>
        <w:t>Liquidity</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The Company had a member’s deficit of $37.2 million and a working capital deficit of $23.9 million at September 30, 2019. The working capital deficit is largely due to the new drilling program.</w:t>
      </w:r>
    </w:p>
    <w:p>
      <w:pPr>
        <w:spacing w:after="0" w:line="159"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On October 16, 2019, RAM, in conjunction with Fayette and Service as co-borrowers, secured and closed a first-lien multi-draw $70 million term loan facility with Macquarie Investments US Inc. (“Macquarie”). At closing, RAM borrowed $30.5 million from Macquarie (“Tranche A”). The Tranche A use of proceeds was for working capital, for the completion of the four wells mentioned above and for fees and expenses of the facility.</w:t>
      </w:r>
    </w:p>
    <w:p>
      <w:pPr>
        <w:spacing w:after="0" w:line="13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At closing, Pennant Park invested an additional $10 million of equity, funded as an additional revolving advance to Holdings, for additional working capital support. Tranche B availability of $16 million, if utilized, along with cash flow from operations, is expected to be applied towards the drilling and completion costs of the Ranger Pad. Tranche B will become available when certain production targets are met by existing assets and the four wells currently being completed. The Company fully expects to meet Tranche B production targets. Tranche C is documented as $23.5 million and conditions of its draw and use of proceeds is to be determined at a later date.</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Macquarie term loan has a LIBOR plus 8% interest rate, payable monthly. Further, there is a variable amortization schedule with the first amortization payment due at the end of November 2019 with additional amortization payments after the Tranche B draw, to the extent it becomes available and is drawn. This debt facility has typical affirmative and negative covenant for a first-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748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lien oil and gas credit facility. Management believes that each of the agreed covenants will be met through November 2020.</w:t>
      </w:r>
    </w:p>
    <w:p>
      <w:pPr>
        <w:spacing w:after="0" w:line="208" w:lineRule="exact"/>
        <w:rPr>
          <w:sz w:val="20"/>
          <w:szCs w:val="20"/>
          <w:color w:val="auto"/>
        </w:rPr>
      </w:pPr>
    </w:p>
    <w:p>
      <w:pPr>
        <w:ind w:left="440" w:hanging="432"/>
        <w:spacing w:after="0"/>
        <w:tabs>
          <w:tab w:leader="none" w:pos="440" w:val="left"/>
        </w:tabs>
        <w:numPr>
          <w:ilvl w:val="0"/>
          <w:numId w:val="150"/>
        </w:numPr>
        <w:rPr>
          <w:rFonts w:ascii="Arial" w:cs="Arial" w:eastAsia="Arial" w:hAnsi="Arial"/>
          <w:sz w:val="22"/>
          <w:szCs w:val="22"/>
          <w:b w:val="1"/>
          <w:bCs w:val="1"/>
          <w:color w:val="auto"/>
        </w:rPr>
      </w:pPr>
      <w:r>
        <w:rPr>
          <w:rFonts w:ascii="Arial" w:cs="Arial" w:eastAsia="Arial" w:hAnsi="Arial"/>
          <w:sz w:val="22"/>
          <w:szCs w:val="22"/>
          <w:b w:val="1"/>
          <w:bCs w:val="1"/>
          <w:color w:val="auto"/>
        </w:rPr>
        <w:t>Summary of Significant Accounting Policies</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Basis of Presentation</w:t>
      </w:r>
    </w:p>
    <w:p>
      <w:pPr>
        <w:spacing w:after="0" w:line="106"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The accompanying consolidated financial statements include the accounts of Holdings, its wholly-owned subsidiary, RAM, and RAM’s wholly-owned subsidiaries, Fayette and Service. All significant intercompany accounts and transactions have been eliminated in consolidation.</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Property and Equipment</w:t>
      </w:r>
    </w:p>
    <w:p>
      <w:pPr>
        <w:spacing w:after="0" w:line="10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follows the full cost method of accounting for oil and natural gas properties. Under this method, all productive and nonproductive costs incurred in connection with the acquisition, exploration, and development of oil and natural gas reserves are capitalized. No gains or losses are recognized upon the sale or other disposition of oil and natural gas properties except in transactions that would significantly alter the relationship between capitalized costs and proved reserves. The costs of unevaluated oil and natural gas properties are excluded from the amortizable base until the time that either proven reserves are found or it has been determined that such properties are impaired. As properties become evaluated, the related costs are transferred to proved oil and natural gas properties.</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Under the full cost method, the net book value of oil and natural gas properties may not exceed the estimated after-tax future net revenues from proved oil and natural gas properties, discounted at 10% (the “Ceiling Limitation”). In arriving at estimated future net revenues, estimated lease operating expenses, development costs, and certain production-related and ad valorem taxes are deducted.</w:t>
      </w:r>
    </w:p>
    <w:p>
      <w:pPr>
        <w:spacing w:after="0" w:line="168"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In calculating future net revenues, prices and costs are held constant indefinitely, except for changes that are fixed and determinable by existing contracts. The net book value is compared to the Ceiling Limitation and the excess, if any, of the net book value above the Ceiling Limitation is charged to expense in the period in which it occurs and is not subsequently reinstated. At September 30, 2019, the net book value of the Company’s oil and natural gas properties did not exceed the Ceiling Limitation.</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costs directly associated with unevaluated oil and natural gas properties are not initially included in the amortization base and relate to unproved leasehold acreage, seismic data, wells and production facilities in progress and wells pending determination. Unevaluated leasehold costs are transferred to the amortization base once determination has been made or upon expiration of a lease. Geological and geophysical costs and cumulative drilling costs to date associated with a specific unevaluated property are transferred to the amortization base with the associated leasehold costs on a specific project basis. Costs associated with wells in progress and wells pending determination are transferred to the amortization base once a determination is made whether or not proved reserves can be assigned to the property. All costs included in the Company’s unevaluated property balance are assessed on a periodic basis for possible impairment or reduction in value. The assessment includes consideration of numerous factors, including intent to drill, remaining lease term, geological and geophysical evaluations, drilling results and activity, assignment of proved reserves and economic viability of development if proved reserves are assigned. Any impairments of unevaluated properties are transferred to the amortization base. The Company did not have any impairment of its unproved oil and gas properties for the year ended September 30, 2019.</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748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5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property and equipment consists principally of furniture and equipment and leasehold improvements. Other property and equipment and related accumulated depreciation and amortization are relieved upon retirement or sale and the gain or loss is included in operations. Renewals and replacements that extend the useful life of property and equipment are treated as capital additions. Depreciation expense of other property and equipment for the year ended September 30, 2019 was approximately $34 thousand.</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Depreciation, Depletion and Amortization</w:t>
      </w:r>
    </w:p>
    <w:p>
      <w:pPr>
        <w:spacing w:after="0" w:line="106"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All capitalized costs of oil and natural gas properties and equipment, including the estimated future costs to develop proved reserves, are amortized using the unit-of-production method based on total proved reserves. Depreciation of gathering assets and related facilities, and other equipment is computed on the straight-line method over the estimated useful lives of the assets, generally ranging from 3 to 30 years. Amortization of leasehold improvements is computed based on the straight-line method over the term of the associated lease or estimated useful life, whichever is shorter.</w:t>
      </w: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and Cash Equivalents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All highly liquid unrestricted investments with a maturity of three months or less when purchased are considered to be cash equivalents.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Restricted Cash</w:t>
      </w:r>
    </w:p>
    <w:p>
      <w:pPr>
        <w:spacing w:after="0" w:line="10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At September 30, 2019, the Company had approximately $733 thousand in certificates of deposit held as collateral for letters of credit for the beneficiary of states for the purpose of plugging and abandonment costs of the wells in which the Company has an interest. Such amounts are classified as restricted cash in the accompanying consolidated balance sheet.</w:t>
      </w:r>
    </w:p>
    <w:p>
      <w:pPr>
        <w:spacing w:after="0" w:line="184" w:lineRule="exact"/>
        <w:rPr>
          <w:sz w:val="20"/>
          <w:szCs w:val="20"/>
          <w:color w:val="auto"/>
        </w:rPr>
      </w:pPr>
    </w:p>
    <w:p>
      <w:pPr>
        <w:jc w:val="both"/>
        <w:ind w:right="20"/>
        <w:spacing w:after="0" w:line="261" w:lineRule="auto"/>
        <w:rPr>
          <w:sz w:val="20"/>
          <w:szCs w:val="20"/>
          <w:color w:val="auto"/>
        </w:rPr>
      </w:pPr>
      <w:r>
        <w:rPr>
          <w:rFonts w:ascii="Arial" w:cs="Arial" w:eastAsia="Arial" w:hAnsi="Arial"/>
          <w:sz w:val="19"/>
          <w:szCs w:val="19"/>
          <w:color w:val="auto"/>
        </w:rPr>
        <w:t>The following table provides a reconciliation of cash, cash equivalents, and restricted cash reported within the statement of financial position that sum to the total of the same such amounts shown in the statement of cash flows (</w:t>
      </w:r>
      <w:r>
        <w:rPr>
          <w:rFonts w:ascii="Arial" w:cs="Arial" w:eastAsia="Arial" w:hAnsi="Arial"/>
          <w:sz w:val="19"/>
          <w:szCs w:val="19"/>
          <w:i w:val="1"/>
          <w:iCs w:val="1"/>
          <w:color w:val="auto"/>
        </w:rPr>
        <w:t>in thousands</w:t>
      </w:r>
      <w:r>
        <w:rPr>
          <w:rFonts w:ascii="Arial" w:cs="Arial" w:eastAsia="Arial" w:hAnsi="Arial"/>
          <w:sz w:val="19"/>
          <w:szCs w:val="19"/>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52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i w:val="1"/>
                <w:iCs w:val="1"/>
                <w:color w:val="auto"/>
              </w:rPr>
              <w:t>September 30,</w:t>
            </w:r>
          </w:p>
        </w:tc>
        <w:tc>
          <w:tcPr>
            <w:tcW w:w="3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766"/>
              <w:spacing w:after="0"/>
              <w:rPr>
                <w:sz w:val="20"/>
                <w:szCs w:val="20"/>
                <w:color w:val="auto"/>
              </w:rPr>
            </w:pPr>
            <w:r>
              <w:rPr>
                <w:rFonts w:ascii="Arial" w:cs="Arial" w:eastAsia="Arial" w:hAnsi="Arial"/>
                <w:sz w:val="19"/>
                <w:szCs w:val="19"/>
                <w:b w:val="1"/>
                <w:bCs w:val="1"/>
                <w:color w:val="auto"/>
              </w:rPr>
              <w:t>2019</w:t>
            </w:r>
          </w:p>
        </w:tc>
      </w:tr>
      <w:tr>
        <w:trPr>
          <w:trHeight w:val="214"/>
        </w:trPr>
        <w:tc>
          <w:tcPr>
            <w:tcW w:w="6520" w:type="dxa"/>
            <w:vAlign w:val="bottom"/>
          </w:tcPr>
          <w:p>
            <w:pPr>
              <w:spacing w:after="0" w:line="214" w:lineRule="exact"/>
              <w:rPr>
                <w:sz w:val="20"/>
                <w:szCs w:val="20"/>
                <w:color w:val="auto"/>
              </w:rPr>
            </w:pPr>
            <w:r>
              <w:rPr>
                <w:rFonts w:ascii="Arial" w:cs="Arial" w:eastAsia="Arial" w:hAnsi="Arial"/>
                <w:sz w:val="19"/>
                <w:szCs w:val="19"/>
                <w:color w:val="auto"/>
              </w:rPr>
              <w:t>Cash and cash equivalents</w:t>
            </w:r>
          </w:p>
        </w:tc>
        <w:tc>
          <w:tcPr>
            <w:tcW w:w="3160" w:type="dxa"/>
            <w:vAlign w:val="bottom"/>
          </w:tcPr>
          <w:p>
            <w:pPr>
              <w:jc w:val="right"/>
              <w:ind w:right="226"/>
              <w:spacing w:after="0" w:line="214" w:lineRule="exact"/>
              <w:rPr>
                <w:sz w:val="20"/>
                <w:szCs w:val="20"/>
                <w:color w:val="auto"/>
              </w:rPr>
            </w:pPr>
            <w:r>
              <w:rPr>
                <w:rFonts w:ascii="Arial" w:cs="Arial" w:eastAsia="Arial" w:hAnsi="Arial"/>
                <w:sz w:val="19"/>
                <w:szCs w:val="19"/>
                <w:color w:val="auto"/>
              </w:rPr>
              <w:t>$</w:t>
            </w:r>
          </w:p>
        </w:tc>
        <w:tc>
          <w:tcPr>
            <w:tcW w:w="1560" w:type="dxa"/>
            <w:vAlign w:val="bottom"/>
          </w:tcPr>
          <w:p>
            <w:pPr>
              <w:jc w:val="right"/>
              <w:ind w:right="26"/>
              <w:spacing w:after="0" w:line="214" w:lineRule="exact"/>
              <w:rPr>
                <w:sz w:val="20"/>
                <w:szCs w:val="20"/>
                <w:color w:val="auto"/>
              </w:rPr>
            </w:pPr>
            <w:r>
              <w:rPr>
                <w:rFonts w:ascii="Arial" w:cs="Arial" w:eastAsia="Arial" w:hAnsi="Arial"/>
                <w:sz w:val="19"/>
                <w:szCs w:val="19"/>
                <w:color w:val="auto"/>
              </w:rPr>
              <w:t>3,192</w:t>
            </w:r>
          </w:p>
        </w:tc>
      </w:tr>
      <w:tr>
        <w:trPr>
          <w:trHeight w:val="238"/>
        </w:trPr>
        <w:tc>
          <w:tcPr>
            <w:tcW w:w="652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Restricted cash included in other long-term assets</w:t>
            </w:r>
          </w:p>
        </w:tc>
        <w:tc>
          <w:tcPr>
            <w:tcW w:w="3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733</w:t>
            </w:r>
          </w:p>
        </w:tc>
      </w:tr>
      <w:tr>
        <w:trPr>
          <w:trHeight w:val="214"/>
        </w:trPr>
        <w:tc>
          <w:tcPr>
            <w:tcW w:w="6520" w:type="dxa"/>
            <w:vAlign w:val="bottom"/>
          </w:tcPr>
          <w:p>
            <w:pPr>
              <w:spacing w:after="0" w:line="214" w:lineRule="exact"/>
              <w:rPr>
                <w:sz w:val="20"/>
                <w:szCs w:val="20"/>
                <w:color w:val="auto"/>
              </w:rPr>
            </w:pPr>
            <w:r>
              <w:rPr>
                <w:rFonts w:ascii="Arial" w:cs="Arial" w:eastAsia="Arial" w:hAnsi="Arial"/>
                <w:sz w:val="19"/>
                <w:szCs w:val="19"/>
                <w:color w:val="auto"/>
              </w:rPr>
              <w:t>Total cash, cash equivalents, and restricted cash</w:t>
            </w:r>
          </w:p>
        </w:tc>
        <w:tc>
          <w:tcPr>
            <w:tcW w:w="31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8"/>
        </w:trPr>
        <w:tc>
          <w:tcPr>
            <w:tcW w:w="652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shown in the statement of cash flows</w:t>
            </w:r>
          </w:p>
        </w:tc>
        <w:tc>
          <w:tcPr>
            <w:tcW w:w="3160" w:type="dxa"/>
            <w:vAlign w:val="bottom"/>
            <w:tcBorders>
              <w:bottom w:val="single" w:sz="8" w:color="auto"/>
            </w:tcBorders>
          </w:tcPr>
          <w:p>
            <w:pPr>
              <w:jc w:val="right"/>
              <w:ind w:right="226"/>
              <w:spacing w:after="0"/>
              <w:rPr>
                <w:sz w:val="20"/>
                <w:szCs w:val="20"/>
                <w:color w:val="auto"/>
              </w:rPr>
            </w:pPr>
            <w:r>
              <w:rPr>
                <w:rFonts w:ascii="Arial" w:cs="Arial" w:eastAsia="Arial" w:hAnsi="Arial"/>
                <w:sz w:val="19"/>
                <w:szCs w:val="19"/>
                <w:color w:val="auto"/>
              </w:rPr>
              <w:t>$</w:t>
            </w: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3,925</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Concentrations of Credit Risk</w:t>
      </w:r>
    </w:p>
    <w:p>
      <w:pPr>
        <w:spacing w:after="0" w:line="1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Company sells oil and natural gas to various customers and participates with other parties in the drilling, completion and operation of oil and natural gas wells. Joint interest and oil and natural gas sales receivables related to these operations are generally unsecured. For the year ended September 30, 2019, over 83% of total revenues and total receivables were from two customers. The Company provides an allowance for doubtful accounts for certain purchasers and certain joint interest owners’ receivable balances when the Company believes the receivable balance may not be collected. Accounts receivable are presented net of the related allowance for doubtful accounts. At September 30, 2019, the allowance for doubtful accounts was $8 thousand.</w:t>
      </w:r>
    </w:p>
    <w:p>
      <w:pPr>
        <w:spacing w:after="0" w:line="190"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In 2019, the Company had cash deposits in certain banks that at times exceeded the maximum insured by the Federal Deposit Insurance Corporation. The Company monitors the financial condition of the banks and has experienced no losses on these accounts.</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 and Administrative Expenses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748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9"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The Company receives fees for the operation of jointly owned oil and natural gas properties and records such reimbursements as reductions of general and administrative expenses. Such fees totaled approximately $0.7 million for the year ended September 30, 2019.</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Use of Estimates</w:t>
      </w:r>
    </w:p>
    <w:p>
      <w:pPr>
        <w:spacing w:after="0" w:line="10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Estimates and assumptions that, in the opinion of management are significant, include oil and natural gas reserves, depreciation, depletion and amortization related to oil and natural gas properties, asset retirement obligations and derivative instrument valuations. The Company evaluates its estimates and assumptions on a regular basis. Estimates are based on historical experience and various other assumptions that are believed to be reasonable under the circumstances. Actual results may differ from these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Oil and Natural Gas Reserves Estimates</w:t>
      </w:r>
    </w:p>
    <w:p>
      <w:pPr>
        <w:spacing w:after="0" w:line="10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Independent petroleum and geological engineers prepare estimates of the Company’s oil and natural gas reserves. Proved reserves and the estimated future net revenues are estimated based upon a combination of historical data and estimates of future activity. Consistent with Topic 932 of the Codification, at September 30, 2019, the Company calculated its estimate of proved reserves using a twelve month average price, calculated as the unweighted arithmetic average of the first-day-of-the-month price for each period within the twelve-month period prior to the end of the reporting period. The reserve estimates are used in the assessment of the Company’s ceiling limitation and in calculating depreciation, depletion and amortization. Significant assumptions are required in the valuation of proved oil and natural gas reserves which, as described herein, may affect the amount at which oil and natural gas properties are recorded. Actual results could differ materially from these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Asset Retirement Obligations</w:t>
      </w:r>
    </w:p>
    <w:p>
      <w:pPr>
        <w:spacing w:after="0" w:line="106"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The fair value of a liability for an asset retirement obligation is recognized in the period in which it is incurred if a reasonable estimate of fair value can be made, and the associated asset retirement costs are capitalized as part of the carrying amount of the long-lived asset. The Company determines its asset retirement obligations on its oil and natural gas properties by calculating the present value of the estimated cash flows related to the estimated liability. Periodic accretion of the discount of the estimated liability associated with the Company’s oil and natural gas properties is recorded in the consolidated statement of operations.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748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540" w:type="dxa"/>
            <w:vAlign w:val="bottom"/>
          </w:tcPr>
          <w:p>
            <w:pPr>
              <w:spacing w:after="0"/>
              <w:rPr>
                <w:sz w:val="20"/>
                <w:szCs w:val="20"/>
                <w:color w:val="auto"/>
              </w:rPr>
            </w:pPr>
            <w:r>
              <w:rPr>
                <w:rFonts w:ascii="Arial" w:cs="Arial" w:eastAsia="Arial" w:hAnsi="Arial"/>
                <w:sz w:val="19"/>
                <w:szCs w:val="19"/>
                <w:color w:val="auto"/>
                <w:w w:val="99"/>
              </w:rPr>
              <w:t>The Company recorded the following activity related to the asset retirement obligations (</w:t>
            </w:r>
            <w:r>
              <w:rPr>
                <w:rFonts w:ascii="Arial" w:cs="Arial" w:eastAsia="Arial" w:hAnsi="Arial"/>
                <w:sz w:val="19"/>
                <w:szCs w:val="19"/>
                <w:i w:val="1"/>
                <w:iCs w:val="1"/>
                <w:color w:val="auto"/>
                <w:w w:val="99"/>
              </w:rPr>
              <w:t>in thousands</w:t>
            </w:r>
            <w:r>
              <w:rPr>
                <w:rFonts w:ascii="Arial" w:cs="Arial" w:eastAsia="Arial" w:hAnsi="Arial"/>
                <w:sz w:val="19"/>
                <w:szCs w:val="19"/>
                <w:color w:val="auto"/>
                <w:w w:val="99"/>
              </w:rPr>
              <w:t>):</w:t>
            </w:r>
          </w:p>
        </w:tc>
        <w:tc>
          <w:tcPr>
            <w:tcW w:w="11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43"/>
        </w:trPr>
        <w:tc>
          <w:tcPr>
            <w:tcW w:w="85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i w:val="1"/>
                <w:iCs w:val="1"/>
                <w:color w:val="auto"/>
              </w:rPr>
              <w:t>Year Ended September 30,</w:t>
            </w:r>
          </w:p>
        </w:tc>
        <w:tc>
          <w:tcPr>
            <w:tcW w:w="1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766"/>
              <w:spacing w:after="0"/>
              <w:rPr>
                <w:sz w:val="20"/>
                <w:szCs w:val="20"/>
                <w:color w:val="auto"/>
              </w:rPr>
            </w:pPr>
            <w:r>
              <w:rPr>
                <w:rFonts w:ascii="Arial" w:cs="Arial" w:eastAsia="Arial" w:hAnsi="Arial"/>
                <w:sz w:val="19"/>
                <w:szCs w:val="19"/>
                <w:b w:val="1"/>
                <w:bCs w:val="1"/>
                <w:color w:val="auto"/>
              </w:rPr>
              <w:t>2019</w:t>
            </w:r>
          </w:p>
        </w:tc>
      </w:tr>
      <w:tr>
        <w:trPr>
          <w:trHeight w:val="214"/>
        </w:trPr>
        <w:tc>
          <w:tcPr>
            <w:tcW w:w="8540" w:type="dxa"/>
            <w:vAlign w:val="bottom"/>
          </w:tcPr>
          <w:p>
            <w:pPr>
              <w:spacing w:after="0" w:line="214" w:lineRule="exact"/>
              <w:rPr>
                <w:sz w:val="20"/>
                <w:szCs w:val="20"/>
                <w:color w:val="auto"/>
              </w:rPr>
            </w:pPr>
            <w:r>
              <w:rPr>
                <w:rFonts w:ascii="Arial" w:cs="Arial" w:eastAsia="Arial" w:hAnsi="Arial"/>
                <w:sz w:val="19"/>
                <w:szCs w:val="19"/>
                <w:b w:val="1"/>
                <w:bCs w:val="1"/>
                <w:color w:val="auto"/>
              </w:rPr>
              <w:t>Liability for Asset Retirement Obligations, Beginning of Year</w:t>
            </w:r>
          </w:p>
        </w:tc>
        <w:tc>
          <w:tcPr>
            <w:tcW w:w="1140" w:type="dxa"/>
            <w:vAlign w:val="bottom"/>
          </w:tcPr>
          <w:p>
            <w:pPr>
              <w:jc w:val="right"/>
              <w:ind w:right="226"/>
              <w:spacing w:after="0" w:line="214" w:lineRule="exact"/>
              <w:rPr>
                <w:sz w:val="20"/>
                <w:szCs w:val="20"/>
                <w:color w:val="auto"/>
              </w:rPr>
            </w:pPr>
            <w:r>
              <w:rPr>
                <w:rFonts w:ascii="Arial" w:cs="Arial" w:eastAsia="Arial" w:hAnsi="Arial"/>
                <w:sz w:val="19"/>
                <w:szCs w:val="19"/>
                <w:color w:val="auto"/>
              </w:rPr>
              <w:t>$</w:t>
            </w:r>
          </w:p>
        </w:tc>
        <w:tc>
          <w:tcPr>
            <w:tcW w:w="1560" w:type="dxa"/>
            <w:vAlign w:val="bottom"/>
          </w:tcPr>
          <w:p>
            <w:pPr>
              <w:jc w:val="right"/>
              <w:ind w:right="26"/>
              <w:spacing w:after="0" w:line="214" w:lineRule="exact"/>
              <w:rPr>
                <w:sz w:val="20"/>
                <w:szCs w:val="20"/>
                <w:color w:val="auto"/>
              </w:rPr>
            </w:pPr>
            <w:r>
              <w:rPr>
                <w:rFonts w:ascii="Arial" w:cs="Arial" w:eastAsia="Arial" w:hAnsi="Arial"/>
                <w:sz w:val="19"/>
                <w:szCs w:val="19"/>
                <w:color w:val="auto"/>
              </w:rPr>
              <w:t>5,325</w:t>
            </w:r>
          </w:p>
        </w:tc>
      </w:tr>
      <w:tr>
        <w:trPr>
          <w:trHeight w:val="229"/>
        </w:trPr>
        <w:tc>
          <w:tcPr>
            <w:tcW w:w="8540" w:type="dxa"/>
            <w:vAlign w:val="bottom"/>
          </w:tcPr>
          <w:p>
            <w:pPr>
              <w:ind w:left="260"/>
              <w:spacing w:after="0"/>
              <w:rPr>
                <w:sz w:val="20"/>
                <w:szCs w:val="20"/>
                <w:color w:val="auto"/>
              </w:rPr>
            </w:pPr>
            <w:r>
              <w:rPr>
                <w:rFonts w:ascii="Arial" w:cs="Arial" w:eastAsia="Arial" w:hAnsi="Arial"/>
                <w:sz w:val="19"/>
                <w:szCs w:val="19"/>
                <w:color w:val="auto"/>
              </w:rPr>
              <w:t>Accretion expense</w:t>
            </w:r>
          </w:p>
        </w:tc>
        <w:tc>
          <w:tcPr>
            <w:tcW w:w="114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643</w:t>
            </w:r>
          </w:p>
        </w:tc>
      </w:tr>
      <w:tr>
        <w:trPr>
          <w:trHeight w:val="229"/>
        </w:trPr>
        <w:tc>
          <w:tcPr>
            <w:tcW w:w="8540" w:type="dxa"/>
            <w:vAlign w:val="bottom"/>
          </w:tcPr>
          <w:p>
            <w:pPr>
              <w:ind w:left="260"/>
              <w:spacing w:after="0"/>
              <w:rPr>
                <w:sz w:val="20"/>
                <w:szCs w:val="20"/>
                <w:color w:val="auto"/>
              </w:rPr>
            </w:pPr>
            <w:r>
              <w:rPr>
                <w:rFonts w:ascii="Arial" w:cs="Arial" w:eastAsia="Arial" w:hAnsi="Arial"/>
                <w:sz w:val="19"/>
                <w:szCs w:val="19"/>
                <w:color w:val="auto"/>
              </w:rPr>
              <w:t>Additions</w:t>
            </w:r>
          </w:p>
        </w:tc>
        <w:tc>
          <w:tcPr>
            <w:tcW w:w="114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173</w:t>
            </w:r>
          </w:p>
        </w:tc>
      </w:tr>
      <w:tr>
        <w:trPr>
          <w:trHeight w:val="230"/>
        </w:trPr>
        <w:tc>
          <w:tcPr>
            <w:tcW w:w="8540" w:type="dxa"/>
            <w:vAlign w:val="bottom"/>
          </w:tcPr>
          <w:p>
            <w:pPr>
              <w:ind w:left="260"/>
              <w:spacing w:after="0"/>
              <w:rPr>
                <w:sz w:val="20"/>
                <w:szCs w:val="20"/>
                <w:color w:val="auto"/>
              </w:rPr>
            </w:pPr>
            <w:r>
              <w:rPr>
                <w:rFonts w:ascii="Arial" w:cs="Arial" w:eastAsia="Arial" w:hAnsi="Arial"/>
                <w:sz w:val="19"/>
                <w:szCs w:val="19"/>
                <w:color w:val="auto"/>
              </w:rPr>
              <w:t>Obligations for wells sold</w:t>
            </w:r>
          </w:p>
        </w:tc>
        <w:tc>
          <w:tcPr>
            <w:tcW w:w="1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(257)</w:t>
            </w:r>
          </w:p>
        </w:tc>
      </w:tr>
      <w:tr>
        <w:trPr>
          <w:trHeight w:val="229"/>
        </w:trPr>
        <w:tc>
          <w:tcPr>
            <w:tcW w:w="8540" w:type="dxa"/>
            <w:vAlign w:val="bottom"/>
          </w:tcPr>
          <w:p>
            <w:pPr>
              <w:ind w:left="260"/>
              <w:spacing w:after="0"/>
              <w:rPr>
                <w:sz w:val="20"/>
                <w:szCs w:val="20"/>
                <w:color w:val="auto"/>
              </w:rPr>
            </w:pPr>
            <w:r>
              <w:rPr>
                <w:rFonts w:ascii="Arial" w:cs="Arial" w:eastAsia="Arial" w:hAnsi="Arial"/>
                <w:sz w:val="19"/>
                <w:szCs w:val="19"/>
                <w:color w:val="auto"/>
              </w:rPr>
              <w:t>Settlements</w:t>
            </w:r>
          </w:p>
        </w:tc>
        <w:tc>
          <w:tcPr>
            <w:tcW w:w="1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(400)</w:t>
            </w:r>
          </w:p>
        </w:tc>
      </w:tr>
      <w:tr>
        <w:trPr>
          <w:trHeight w:val="238"/>
        </w:trPr>
        <w:tc>
          <w:tcPr>
            <w:tcW w:w="854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Changes in estimates</w:t>
            </w:r>
          </w:p>
        </w:tc>
        <w:tc>
          <w:tcPr>
            <w:tcW w:w="1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w:t>
            </w:r>
          </w:p>
        </w:tc>
      </w:tr>
      <w:tr>
        <w:trPr>
          <w:trHeight w:val="214"/>
        </w:trPr>
        <w:tc>
          <w:tcPr>
            <w:tcW w:w="8540" w:type="dxa"/>
            <w:vAlign w:val="bottom"/>
          </w:tcPr>
          <w:p>
            <w:pPr>
              <w:spacing w:after="0" w:line="214" w:lineRule="exact"/>
              <w:rPr>
                <w:sz w:val="20"/>
                <w:szCs w:val="20"/>
                <w:color w:val="auto"/>
              </w:rPr>
            </w:pPr>
            <w:r>
              <w:rPr>
                <w:rFonts w:ascii="Arial" w:cs="Arial" w:eastAsia="Arial" w:hAnsi="Arial"/>
                <w:sz w:val="19"/>
                <w:szCs w:val="19"/>
                <w:b w:val="1"/>
                <w:bCs w:val="1"/>
                <w:color w:val="auto"/>
              </w:rPr>
              <w:t>Liability for Asset Retirement Obligations, End of Year</w:t>
            </w:r>
          </w:p>
        </w:tc>
        <w:tc>
          <w:tcPr>
            <w:tcW w:w="1140" w:type="dxa"/>
            <w:vAlign w:val="bottom"/>
          </w:tcPr>
          <w:p>
            <w:pPr>
              <w:spacing w:after="0"/>
              <w:rPr>
                <w:sz w:val="18"/>
                <w:szCs w:val="18"/>
                <w:color w:val="auto"/>
              </w:rPr>
            </w:pPr>
          </w:p>
        </w:tc>
        <w:tc>
          <w:tcPr>
            <w:tcW w:w="1560" w:type="dxa"/>
            <w:vAlign w:val="bottom"/>
          </w:tcPr>
          <w:p>
            <w:pPr>
              <w:jc w:val="right"/>
              <w:ind w:right="26"/>
              <w:spacing w:after="0" w:line="214" w:lineRule="exact"/>
              <w:rPr>
                <w:sz w:val="20"/>
                <w:szCs w:val="20"/>
                <w:color w:val="auto"/>
              </w:rPr>
            </w:pPr>
            <w:r>
              <w:rPr>
                <w:rFonts w:ascii="Arial" w:cs="Arial" w:eastAsia="Arial" w:hAnsi="Arial"/>
                <w:sz w:val="19"/>
                <w:szCs w:val="19"/>
                <w:color w:val="auto"/>
              </w:rPr>
              <w:t>5,484</w:t>
            </w:r>
          </w:p>
        </w:tc>
      </w:tr>
      <w:tr>
        <w:trPr>
          <w:trHeight w:val="238"/>
        </w:trPr>
        <w:tc>
          <w:tcPr>
            <w:tcW w:w="85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Less: current asset retirement obligations</w:t>
            </w:r>
          </w:p>
        </w:tc>
        <w:tc>
          <w:tcPr>
            <w:tcW w:w="1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493</w:t>
            </w:r>
          </w:p>
        </w:tc>
      </w:tr>
      <w:tr>
        <w:trPr>
          <w:trHeight w:val="223"/>
        </w:trPr>
        <w:tc>
          <w:tcPr>
            <w:tcW w:w="85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Long-Term Asset Retirement Obligations</w:t>
            </w:r>
          </w:p>
        </w:tc>
        <w:tc>
          <w:tcPr>
            <w:tcW w:w="1140" w:type="dxa"/>
            <w:vAlign w:val="bottom"/>
            <w:tcBorders>
              <w:bottom w:val="single" w:sz="8" w:color="auto"/>
            </w:tcBorders>
          </w:tcPr>
          <w:p>
            <w:pPr>
              <w:jc w:val="right"/>
              <w:ind w:right="226"/>
              <w:spacing w:after="0"/>
              <w:rPr>
                <w:sz w:val="20"/>
                <w:szCs w:val="20"/>
                <w:color w:val="auto"/>
              </w:rPr>
            </w:pPr>
            <w:r>
              <w:rPr>
                <w:rFonts w:ascii="Arial" w:cs="Arial" w:eastAsia="Arial" w:hAnsi="Arial"/>
                <w:sz w:val="19"/>
                <w:szCs w:val="19"/>
                <w:color w:val="auto"/>
              </w:rPr>
              <w:t>$</w:t>
            </w: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4,991</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Revenue Recognition</w:t>
      </w:r>
    </w:p>
    <w:p>
      <w:pPr>
        <w:spacing w:after="0" w:line="106" w:lineRule="exact"/>
        <w:rPr>
          <w:sz w:val="20"/>
          <w:szCs w:val="20"/>
          <w:color w:val="auto"/>
        </w:rPr>
      </w:pPr>
    </w:p>
    <w:p>
      <w:pPr>
        <w:jc w:val="both"/>
        <w:ind w:right="160"/>
        <w:spacing w:after="0" w:line="258" w:lineRule="auto"/>
        <w:rPr>
          <w:sz w:val="20"/>
          <w:szCs w:val="20"/>
          <w:color w:val="auto"/>
        </w:rPr>
      </w:pPr>
      <w:r>
        <w:rPr>
          <w:rFonts w:ascii="Arial" w:cs="Arial" w:eastAsia="Arial" w:hAnsi="Arial"/>
          <w:sz w:val="18"/>
          <w:szCs w:val="18"/>
          <w:color w:val="auto"/>
        </w:rPr>
        <w:t>Oil and natural gas sales are recognized when production is sold to a purchaser at a fixed or determinable price, delivery has occurred, title has transferred, and collectability of the revenue is probable. Delivery occurs and title is transferred when production has been delivered to a pipeline, railcar or truck. The sales method of accounting is used for oil and natural gas sales such that revenues are recognized based on the Company’s share of actual proceeds from the oil and natural gas sold to purchasers. Oil and natural gas imbalances are generated on properties for which two or more owners have the right to take production “in-kind” and, in doing so take more or less than their respective entitled percentage. As of September 30, 2019, there were no significant oil and natural gas imbalances.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Income Taxes</w:t>
      </w:r>
    </w:p>
    <w:p>
      <w:pPr>
        <w:spacing w:after="0" w:line="106"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RAM and its subsidiaries are disregarded subsidiaries of Holdings. As Holdings has elected to be classified as a corporation, a tax benefit has been calculated for the year ended September 30, 2019.</w:t>
      </w:r>
    </w:p>
    <w:p>
      <w:pPr>
        <w:spacing w:after="0" w:line="173"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benefit for income taxes differs from the amount computed by applying the statutory federal income tax rate to loss before provision for income taxes. For the year ended September 30, 2019, the Company had a benefit for income taxes of $26 thousand, which was completely offset by a valuation allowance. The significant differences between pre-tax book income and taxable book income relate to non-deductible expenses, state income taxes, change in valuation allowance, and other adjustments to deferred tax balances.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480" w:type="dxa"/>
            <w:vAlign w:val="bottom"/>
          </w:tcPr>
          <w:p>
            <w:pPr>
              <w:spacing w:after="0"/>
              <w:rPr>
                <w:sz w:val="20"/>
                <w:szCs w:val="20"/>
                <w:color w:val="auto"/>
              </w:rPr>
            </w:pPr>
            <w:r>
              <w:rPr>
                <w:rFonts w:ascii="Arial" w:cs="Arial" w:eastAsia="Arial" w:hAnsi="Arial"/>
                <w:sz w:val="19"/>
                <w:szCs w:val="19"/>
                <w:color w:val="auto"/>
              </w:rPr>
              <w:t>The sources and tax effects of the differences are as follows (</w:t>
            </w:r>
            <w:r>
              <w:rPr>
                <w:rFonts w:ascii="Arial" w:cs="Arial" w:eastAsia="Arial" w:hAnsi="Arial"/>
                <w:sz w:val="19"/>
                <w:szCs w:val="19"/>
                <w:i w:val="1"/>
                <w:iCs w:val="1"/>
                <w:color w:val="auto"/>
              </w:rPr>
              <w:t>in thousands</w:t>
            </w:r>
            <w:r>
              <w:rPr>
                <w:rFonts w:ascii="Arial" w:cs="Arial" w:eastAsia="Arial" w:hAnsi="Arial"/>
                <w:sz w:val="19"/>
                <w:szCs w:val="19"/>
                <w:color w:val="auto"/>
              </w:rPr>
              <w:t>):</w:t>
            </w:r>
          </w:p>
        </w:tc>
        <w:tc>
          <w:tcPr>
            <w:tcW w:w="22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43"/>
        </w:trPr>
        <w:tc>
          <w:tcPr>
            <w:tcW w:w="748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i w:val="1"/>
                <w:iCs w:val="1"/>
                <w:color w:val="auto"/>
              </w:rPr>
              <w:t>Year Ended September 30,</w:t>
            </w:r>
          </w:p>
        </w:tc>
        <w:tc>
          <w:tcPr>
            <w:tcW w:w="2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766"/>
              <w:spacing w:after="0"/>
              <w:rPr>
                <w:sz w:val="20"/>
                <w:szCs w:val="20"/>
                <w:color w:val="auto"/>
              </w:rPr>
            </w:pPr>
            <w:r>
              <w:rPr>
                <w:rFonts w:ascii="Arial" w:cs="Arial" w:eastAsia="Arial" w:hAnsi="Arial"/>
                <w:sz w:val="19"/>
                <w:szCs w:val="19"/>
                <w:b w:val="1"/>
                <w:bCs w:val="1"/>
                <w:color w:val="auto"/>
              </w:rPr>
              <w:t>2019</w:t>
            </w:r>
          </w:p>
        </w:tc>
      </w:tr>
      <w:tr>
        <w:trPr>
          <w:trHeight w:val="214"/>
        </w:trPr>
        <w:tc>
          <w:tcPr>
            <w:tcW w:w="7480" w:type="dxa"/>
            <w:vAlign w:val="bottom"/>
          </w:tcPr>
          <w:p>
            <w:pPr>
              <w:spacing w:after="0" w:line="214" w:lineRule="exact"/>
              <w:rPr>
                <w:sz w:val="20"/>
                <w:szCs w:val="20"/>
                <w:color w:val="auto"/>
              </w:rPr>
            </w:pPr>
            <w:r>
              <w:rPr>
                <w:rFonts w:ascii="Arial" w:cs="Arial" w:eastAsia="Arial" w:hAnsi="Arial"/>
                <w:sz w:val="19"/>
                <w:szCs w:val="19"/>
                <w:color w:val="auto"/>
              </w:rPr>
              <w:t>Income tax benefit at the federal statutory rate (21%)</w:t>
            </w:r>
          </w:p>
        </w:tc>
        <w:tc>
          <w:tcPr>
            <w:tcW w:w="2200" w:type="dxa"/>
            <w:vAlign w:val="bottom"/>
          </w:tcPr>
          <w:p>
            <w:pPr>
              <w:jc w:val="right"/>
              <w:ind w:right="226"/>
              <w:spacing w:after="0" w:line="214" w:lineRule="exact"/>
              <w:rPr>
                <w:sz w:val="20"/>
                <w:szCs w:val="20"/>
                <w:color w:val="auto"/>
              </w:rPr>
            </w:pPr>
            <w:r>
              <w:rPr>
                <w:rFonts w:ascii="Arial" w:cs="Arial" w:eastAsia="Arial" w:hAnsi="Arial"/>
                <w:sz w:val="19"/>
                <w:szCs w:val="19"/>
                <w:color w:val="auto"/>
              </w:rPr>
              <w:t>$</w:t>
            </w:r>
          </w:p>
        </w:tc>
        <w:tc>
          <w:tcPr>
            <w:tcW w:w="1560" w:type="dxa"/>
            <w:vAlign w:val="bottom"/>
          </w:tcPr>
          <w:p>
            <w:pPr>
              <w:jc w:val="right"/>
              <w:spacing w:after="0" w:line="214" w:lineRule="exact"/>
              <w:rPr>
                <w:sz w:val="20"/>
                <w:szCs w:val="20"/>
                <w:color w:val="auto"/>
              </w:rPr>
            </w:pPr>
            <w:r>
              <w:rPr>
                <w:rFonts w:ascii="Arial" w:cs="Arial" w:eastAsia="Arial" w:hAnsi="Arial"/>
                <w:sz w:val="19"/>
                <w:szCs w:val="19"/>
                <w:color w:val="auto"/>
              </w:rPr>
              <w:t>(1,332)</w:t>
            </w:r>
          </w:p>
        </w:tc>
      </w:tr>
      <w:tr>
        <w:trPr>
          <w:trHeight w:val="230"/>
        </w:trPr>
        <w:tc>
          <w:tcPr>
            <w:tcW w:w="7480" w:type="dxa"/>
            <w:vAlign w:val="bottom"/>
          </w:tcPr>
          <w:p>
            <w:pPr>
              <w:spacing w:after="0"/>
              <w:rPr>
                <w:sz w:val="20"/>
                <w:szCs w:val="20"/>
                <w:color w:val="auto"/>
              </w:rPr>
            </w:pPr>
            <w:r>
              <w:rPr>
                <w:rFonts w:ascii="Arial" w:cs="Arial" w:eastAsia="Arial" w:hAnsi="Arial"/>
                <w:sz w:val="19"/>
                <w:szCs w:val="19"/>
                <w:color w:val="auto"/>
              </w:rPr>
              <w:t>Return to provision adjustments</w:t>
            </w:r>
          </w:p>
        </w:tc>
        <w:tc>
          <w:tcPr>
            <w:tcW w:w="220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1,380</w:t>
            </w:r>
          </w:p>
        </w:tc>
      </w:tr>
      <w:tr>
        <w:trPr>
          <w:trHeight w:val="229"/>
        </w:trPr>
        <w:tc>
          <w:tcPr>
            <w:tcW w:w="7480" w:type="dxa"/>
            <w:vAlign w:val="bottom"/>
          </w:tcPr>
          <w:p>
            <w:pPr>
              <w:spacing w:after="0"/>
              <w:rPr>
                <w:sz w:val="20"/>
                <w:szCs w:val="20"/>
                <w:color w:val="auto"/>
              </w:rPr>
            </w:pPr>
            <w:r>
              <w:rPr>
                <w:rFonts w:ascii="Arial" w:cs="Arial" w:eastAsia="Arial" w:hAnsi="Arial"/>
                <w:sz w:val="19"/>
                <w:szCs w:val="19"/>
                <w:color w:val="auto"/>
              </w:rPr>
              <w:t>State income tax expense, net of federal benefit</w:t>
            </w:r>
          </w:p>
        </w:tc>
        <w:tc>
          <w:tcPr>
            <w:tcW w:w="2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(78)</w:t>
            </w:r>
          </w:p>
        </w:tc>
      </w:tr>
      <w:tr>
        <w:trPr>
          <w:trHeight w:val="230"/>
        </w:trPr>
        <w:tc>
          <w:tcPr>
            <w:tcW w:w="7480" w:type="dxa"/>
            <w:vAlign w:val="bottom"/>
          </w:tcPr>
          <w:p>
            <w:pPr>
              <w:spacing w:after="0"/>
              <w:rPr>
                <w:sz w:val="20"/>
                <w:szCs w:val="20"/>
                <w:color w:val="auto"/>
              </w:rPr>
            </w:pPr>
            <w:r>
              <w:rPr>
                <w:rFonts w:ascii="Arial" w:cs="Arial" w:eastAsia="Arial" w:hAnsi="Arial"/>
                <w:sz w:val="19"/>
                <w:szCs w:val="19"/>
                <w:color w:val="auto"/>
              </w:rPr>
              <w:t>Other</w:t>
            </w:r>
          </w:p>
        </w:tc>
        <w:tc>
          <w:tcPr>
            <w:tcW w:w="220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4</w:t>
            </w:r>
          </w:p>
        </w:tc>
      </w:tr>
      <w:tr>
        <w:trPr>
          <w:trHeight w:val="238"/>
        </w:trPr>
        <w:tc>
          <w:tcPr>
            <w:tcW w:w="74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Change in valuation allowance</w:t>
            </w:r>
          </w:p>
        </w:tc>
        <w:tc>
          <w:tcPr>
            <w:tcW w:w="2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26</w:t>
            </w:r>
          </w:p>
        </w:tc>
      </w:tr>
      <w:tr>
        <w:trPr>
          <w:trHeight w:val="223"/>
        </w:trPr>
        <w:tc>
          <w:tcPr>
            <w:tcW w:w="748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Income tax benefit</w:t>
            </w:r>
          </w:p>
        </w:tc>
        <w:tc>
          <w:tcPr>
            <w:tcW w:w="2200" w:type="dxa"/>
            <w:vAlign w:val="bottom"/>
            <w:tcBorders>
              <w:bottom w:val="single" w:sz="8" w:color="auto"/>
            </w:tcBorders>
          </w:tcPr>
          <w:p>
            <w:pPr>
              <w:jc w:val="right"/>
              <w:ind w:right="226"/>
              <w:spacing w:after="0"/>
              <w:rPr>
                <w:sz w:val="20"/>
                <w:szCs w:val="20"/>
                <w:color w:val="auto"/>
              </w:rPr>
            </w:pPr>
            <w:r>
              <w:rPr>
                <w:rFonts w:ascii="Arial" w:cs="Arial" w:eastAsia="Arial" w:hAnsi="Arial"/>
                <w:sz w:val="19"/>
                <w:szCs w:val="19"/>
                <w:color w:val="auto"/>
              </w:rPr>
              <w:t>$</w:t>
            </w: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w:t>
            </w:r>
          </w:p>
        </w:tc>
      </w:tr>
    </w:tbl>
    <w:p>
      <w:pPr>
        <w:spacing w:after="0" w:line="19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Company’s income tax benefit was computed based on the federal statutory rate and the average state statutory rates, net of the related federal benefit. Deferred income taxes reflect the net tax effects of temporary differences between the carrying amounts of assets and liabilities for financial reporting purposes and the amounts used for income tax purposes.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748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620" w:type="dxa"/>
            <w:vAlign w:val="bottom"/>
          </w:tcPr>
          <w:p>
            <w:pPr>
              <w:spacing w:after="0"/>
              <w:rPr>
                <w:sz w:val="20"/>
                <w:szCs w:val="20"/>
                <w:color w:val="auto"/>
              </w:rPr>
            </w:pPr>
            <w:r>
              <w:rPr>
                <w:rFonts w:ascii="Arial" w:cs="Arial" w:eastAsia="Arial" w:hAnsi="Arial"/>
                <w:sz w:val="19"/>
                <w:szCs w:val="19"/>
                <w:color w:val="auto"/>
                <w:w w:val="97"/>
              </w:rPr>
              <w:t>Significant components of the Company’s deferred tax assets and liabilities are as follows (</w:t>
            </w:r>
            <w:r>
              <w:rPr>
                <w:rFonts w:ascii="Arial" w:cs="Arial" w:eastAsia="Arial" w:hAnsi="Arial"/>
                <w:sz w:val="19"/>
                <w:szCs w:val="19"/>
                <w:i w:val="1"/>
                <w:iCs w:val="1"/>
                <w:color w:val="auto"/>
                <w:w w:val="97"/>
              </w:rPr>
              <w:t>in thousands</w:t>
            </w:r>
            <w:r>
              <w:rPr>
                <w:rFonts w:ascii="Arial" w:cs="Arial" w:eastAsia="Arial" w:hAnsi="Arial"/>
                <w:sz w:val="19"/>
                <w:szCs w:val="19"/>
                <w:color w:val="auto"/>
                <w:w w:val="97"/>
              </w:rPr>
              <w:t>):</w:t>
            </w:r>
          </w:p>
        </w:tc>
        <w:tc>
          <w:tcPr>
            <w:tcW w:w="10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44"/>
        </w:trPr>
        <w:tc>
          <w:tcPr>
            <w:tcW w:w="862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i w:val="1"/>
                <w:iCs w:val="1"/>
                <w:color w:val="auto"/>
              </w:rPr>
              <w:t>Year Ended September 30,</w:t>
            </w:r>
          </w:p>
        </w:tc>
        <w:tc>
          <w:tcPr>
            <w:tcW w:w="10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766"/>
              <w:spacing w:after="0"/>
              <w:rPr>
                <w:sz w:val="20"/>
                <w:szCs w:val="20"/>
                <w:color w:val="auto"/>
              </w:rPr>
            </w:pPr>
            <w:r>
              <w:rPr>
                <w:rFonts w:ascii="Arial" w:cs="Arial" w:eastAsia="Arial" w:hAnsi="Arial"/>
                <w:sz w:val="19"/>
                <w:szCs w:val="19"/>
                <w:b w:val="1"/>
                <w:bCs w:val="1"/>
                <w:color w:val="auto"/>
              </w:rPr>
              <w:t>2019</w:t>
            </w:r>
          </w:p>
        </w:tc>
      </w:tr>
      <w:tr>
        <w:trPr>
          <w:trHeight w:val="214"/>
        </w:trPr>
        <w:tc>
          <w:tcPr>
            <w:tcW w:w="8620" w:type="dxa"/>
            <w:vAlign w:val="bottom"/>
          </w:tcPr>
          <w:p>
            <w:pPr>
              <w:spacing w:after="0" w:line="214" w:lineRule="exact"/>
              <w:rPr>
                <w:sz w:val="20"/>
                <w:szCs w:val="20"/>
                <w:color w:val="auto"/>
              </w:rPr>
            </w:pPr>
            <w:r>
              <w:rPr>
                <w:rFonts w:ascii="Arial" w:cs="Arial" w:eastAsia="Arial" w:hAnsi="Arial"/>
                <w:sz w:val="19"/>
                <w:szCs w:val="19"/>
                <w:color w:val="auto"/>
              </w:rPr>
              <w:t>Depreciable/depletable property, plant and equipment</w:t>
            </w:r>
          </w:p>
        </w:tc>
        <w:tc>
          <w:tcPr>
            <w:tcW w:w="1060" w:type="dxa"/>
            <w:vAlign w:val="bottom"/>
          </w:tcPr>
          <w:p>
            <w:pPr>
              <w:jc w:val="right"/>
              <w:ind w:right="226"/>
              <w:spacing w:after="0" w:line="214" w:lineRule="exact"/>
              <w:rPr>
                <w:sz w:val="20"/>
                <w:szCs w:val="20"/>
                <w:color w:val="auto"/>
              </w:rPr>
            </w:pPr>
            <w:r>
              <w:rPr>
                <w:rFonts w:ascii="Arial" w:cs="Arial" w:eastAsia="Arial" w:hAnsi="Arial"/>
                <w:sz w:val="19"/>
                <w:szCs w:val="19"/>
                <w:color w:val="auto"/>
              </w:rPr>
              <w:t>$</w:t>
            </w:r>
          </w:p>
        </w:tc>
        <w:tc>
          <w:tcPr>
            <w:tcW w:w="1560" w:type="dxa"/>
            <w:vAlign w:val="bottom"/>
          </w:tcPr>
          <w:p>
            <w:pPr>
              <w:jc w:val="right"/>
              <w:ind w:right="26"/>
              <w:spacing w:after="0" w:line="214" w:lineRule="exact"/>
              <w:rPr>
                <w:sz w:val="20"/>
                <w:szCs w:val="20"/>
                <w:color w:val="auto"/>
              </w:rPr>
            </w:pPr>
            <w:r>
              <w:rPr>
                <w:rFonts w:ascii="Arial" w:cs="Arial" w:eastAsia="Arial" w:hAnsi="Arial"/>
                <w:sz w:val="19"/>
                <w:szCs w:val="19"/>
                <w:color w:val="auto"/>
              </w:rPr>
              <w:t>6,595</w:t>
            </w:r>
          </w:p>
        </w:tc>
      </w:tr>
      <w:tr>
        <w:trPr>
          <w:trHeight w:val="230"/>
        </w:trPr>
        <w:tc>
          <w:tcPr>
            <w:tcW w:w="8620" w:type="dxa"/>
            <w:vAlign w:val="bottom"/>
          </w:tcPr>
          <w:p>
            <w:pPr>
              <w:spacing w:after="0"/>
              <w:rPr>
                <w:sz w:val="20"/>
                <w:szCs w:val="20"/>
                <w:color w:val="auto"/>
              </w:rPr>
            </w:pPr>
            <w:r>
              <w:rPr>
                <w:rFonts w:ascii="Arial" w:cs="Arial" w:eastAsia="Arial" w:hAnsi="Arial"/>
                <w:sz w:val="19"/>
                <w:szCs w:val="19"/>
                <w:color w:val="auto"/>
              </w:rPr>
              <w:t>Asset retirement obligation</w:t>
            </w:r>
          </w:p>
        </w:tc>
        <w:tc>
          <w:tcPr>
            <w:tcW w:w="106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1,874</w:t>
            </w:r>
          </w:p>
        </w:tc>
      </w:tr>
      <w:tr>
        <w:trPr>
          <w:trHeight w:val="229"/>
        </w:trPr>
        <w:tc>
          <w:tcPr>
            <w:tcW w:w="8620" w:type="dxa"/>
            <w:vAlign w:val="bottom"/>
          </w:tcPr>
          <w:p>
            <w:pPr>
              <w:spacing w:after="0"/>
              <w:rPr>
                <w:sz w:val="20"/>
                <w:szCs w:val="20"/>
                <w:color w:val="auto"/>
              </w:rPr>
            </w:pPr>
            <w:r>
              <w:rPr>
                <w:rFonts w:ascii="Arial" w:cs="Arial" w:eastAsia="Arial" w:hAnsi="Arial"/>
                <w:sz w:val="19"/>
                <w:szCs w:val="19"/>
                <w:color w:val="auto"/>
              </w:rPr>
              <w:t>Interest expense</w:t>
            </w:r>
          </w:p>
        </w:tc>
        <w:tc>
          <w:tcPr>
            <w:tcW w:w="106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1,129</w:t>
            </w:r>
          </w:p>
        </w:tc>
      </w:tr>
      <w:tr>
        <w:trPr>
          <w:trHeight w:val="230"/>
        </w:trPr>
        <w:tc>
          <w:tcPr>
            <w:tcW w:w="8620" w:type="dxa"/>
            <w:vAlign w:val="bottom"/>
          </w:tcPr>
          <w:p>
            <w:pPr>
              <w:spacing w:after="0"/>
              <w:rPr>
                <w:sz w:val="20"/>
                <w:szCs w:val="20"/>
                <w:color w:val="auto"/>
              </w:rPr>
            </w:pPr>
            <w:r>
              <w:rPr>
                <w:rFonts w:ascii="Arial" w:cs="Arial" w:eastAsia="Arial" w:hAnsi="Arial"/>
                <w:sz w:val="19"/>
                <w:szCs w:val="19"/>
                <w:color w:val="auto"/>
              </w:rPr>
              <w:t>Derivative assets</w:t>
            </w:r>
          </w:p>
        </w:tc>
        <w:tc>
          <w:tcPr>
            <w:tcW w:w="106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472</w:t>
            </w:r>
          </w:p>
        </w:tc>
      </w:tr>
      <w:tr>
        <w:trPr>
          <w:trHeight w:val="229"/>
        </w:trPr>
        <w:tc>
          <w:tcPr>
            <w:tcW w:w="8620" w:type="dxa"/>
            <w:vAlign w:val="bottom"/>
          </w:tcPr>
          <w:p>
            <w:pPr>
              <w:spacing w:after="0"/>
              <w:rPr>
                <w:sz w:val="20"/>
                <w:szCs w:val="20"/>
                <w:color w:val="auto"/>
              </w:rPr>
            </w:pPr>
            <w:r>
              <w:rPr>
                <w:rFonts w:ascii="Arial" w:cs="Arial" w:eastAsia="Arial" w:hAnsi="Arial"/>
                <w:sz w:val="19"/>
                <w:szCs w:val="19"/>
                <w:color w:val="auto"/>
              </w:rPr>
              <w:t>Reserves and other</w:t>
            </w:r>
          </w:p>
        </w:tc>
        <w:tc>
          <w:tcPr>
            <w:tcW w:w="1060" w:type="dxa"/>
            <w:vAlign w:val="bottom"/>
          </w:tcPr>
          <w:p>
            <w:pPr>
              <w:spacing w:after="0"/>
              <w:rPr>
                <w:sz w:val="19"/>
                <w:szCs w:val="19"/>
                <w:color w:val="auto"/>
              </w:rPr>
            </w:pPr>
          </w:p>
        </w:tc>
        <w:tc>
          <w:tcPr>
            <w:tcW w:w="1560" w:type="dxa"/>
            <w:vAlign w:val="bottom"/>
          </w:tcPr>
          <w:p>
            <w:pPr>
              <w:jc w:val="right"/>
              <w:ind w:right="26"/>
              <w:spacing w:after="0"/>
              <w:rPr>
                <w:sz w:val="20"/>
                <w:szCs w:val="20"/>
                <w:color w:val="auto"/>
              </w:rPr>
            </w:pPr>
            <w:r>
              <w:rPr>
                <w:rFonts w:ascii="Arial" w:cs="Arial" w:eastAsia="Arial" w:hAnsi="Arial"/>
                <w:sz w:val="19"/>
                <w:szCs w:val="19"/>
                <w:color w:val="auto"/>
              </w:rPr>
              <w:t>19</w:t>
            </w:r>
          </w:p>
        </w:tc>
      </w:tr>
      <w:tr>
        <w:trPr>
          <w:trHeight w:val="238"/>
        </w:trPr>
        <w:tc>
          <w:tcPr>
            <w:tcW w:w="862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Net operating loss carryforward</w:t>
            </w:r>
          </w:p>
        </w:tc>
        <w:tc>
          <w:tcPr>
            <w:tcW w:w="10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12,752</w:t>
            </w:r>
          </w:p>
        </w:tc>
      </w:tr>
      <w:tr>
        <w:trPr>
          <w:trHeight w:val="214"/>
        </w:trPr>
        <w:tc>
          <w:tcPr>
            <w:tcW w:w="8620" w:type="dxa"/>
            <w:vAlign w:val="bottom"/>
          </w:tcPr>
          <w:p>
            <w:pPr>
              <w:spacing w:after="0" w:line="214" w:lineRule="exact"/>
              <w:rPr>
                <w:sz w:val="20"/>
                <w:szCs w:val="20"/>
                <w:color w:val="auto"/>
              </w:rPr>
            </w:pPr>
            <w:r>
              <w:rPr>
                <w:rFonts w:ascii="Arial" w:cs="Arial" w:eastAsia="Arial" w:hAnsi="Arial"/>
                <w:sz w:val="19"/>
                <w:szCs w:val="19"/>
                <w:color w:val="auto"/>
              </w:rPr>
              <w:t>Total noncurrent deferred tax assets</w:t>
            </w:r>
          </w:p>
        </w:tc>
        <w:tc>
          <w:tcPr>
            <w:tcW w:w="1060" w:type="dxa"/>
            <w:vAlign w:val="bottom"/>
          </w:tcPr>
          <w:p>
            <w:pPr>
              <w:spacing w:after="0"/>
              <w:rPr>
                <w:sz w:val="18"/>
                <w:szCs w:val="18"/>
                <w:color w:val="auto"/>
              </w:rPr>
            </w:pPr>
          </w:p>
        </w:tc>
        <w:tc>
          <w:tcPr>
            <w:tcW w:w="1560" w:type="dxa"/>
            <w:vAlign w:val="bottom"/>
          </w:tcPr>
          <w:p>
            <w:pPr>
              <w:jc w:val="right"/>
              <w:ind w:right="26"/>
              <w:spacing w:after="0" w:line="214" w:lineRule="exact"/>
              <w:rPr>
                <w:sz w:val="20"/>
                <w:szCs w:val="20"/>
                <w:color w:val="auto"/>
              </w:rPr>
            </w:pPr>
            <w:r>
              <w:rPr>
                <w:rFonts w:ascii="Arial" w:cs="Arial" w:eastAsia="Arial" w:hAnsi="Arial"/>
                <w:sz w:val="19"/>
                <w:szCs w:val="19"/>
                <w:color w:val="auto"/>
              </w:rPr>
              <w:t>22,841</w:t>
            </w:r>
          </w:p>
        </w:tc>
      </w:tr>
      <w:tr>
        <w:trPr>
          <w:trHeight w:val="238"/>
        </w:trPr>
        <w:tc>
          <w:tcPr>
            <w:tcW w:w="862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Valuation allowance</w:t>
            </w:r>
          </w:p>
        </w:tc>
        <w:tc>
          <w:tcPr>
            <w:tcW w:w="10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(22,841)</w:t>
            </w:r>
          </w:p>
        </w:tc>
      </w:tr>
      <w:tr>
        <w:trPr>
          <w:trHeight w:val="223"/>
        </w:trPr>
        <w:tc>
          <w:tcPr>
            <w:tcW w:w="862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Net noncurrent deferred tax assets</w:t>
            </w:r>
          </w:p>
        </w:tc>
        <w:tc>
          <w:tcPr>
            <w:tcW w:w="1060" w:type="dxa"/>
            <w:vAlign w:val="bottom"/>
            <w:tcBorders>
              <w:bottom w:val="single" w:sz="8" w:color="auto"/>
            </w:tcBorders>
          </w:tcPr>
          <w:p>
            <w:pPr>
              <w:jc w:val="right"/>
              <w:ind w:right="226"/>
              <w:spacing w:after="0"/>
              <w:rPr>
                <w:sz w:val="20"/>
                <w:szCs w:val="20"/>
                <w:color w:val="auto"/>
              </w:rPr>
            </w:pPr>
            <w:r>
              <w:rPr>
                <w:rFonts w:ascii="Arial" w:cs="Arial" w:eastAsia="Arial" w:hAnsi="Arial"/>
                <w:sz w:val="19"/>
                <w:szCs w:val="19"/>
                <w:color w:val="auto"/>
              </w:rPr>
              <w:t>$</w:t>
            </w: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w:t>
            </w:r>
          </w:p>
        </w:tc>
      </w:tr>
    </w:tbl>
    <w:p>
      <w:pPr>
        <w:spacing w:after="0" w:line="194" w:lineRule="exact"/>
        <w:rPr>
          <w:sz w:val="20"/>
          <w:szCs w:val="20"/>
          <w:color w:val="auto"/>
        </w:rPr>
      </w:pPr>
    </w:p>
    <w:p>
      <w:pPr>
        <w:jc w:val="both"/>
        <w:spacing w:after="0"/>
        <w:rPr>
          <w:sz w:val="20"/>
          <w:szCs w:val="20"/>
          <w:color w:val="auto"/>
        </w:rPr>
      </w:pPr>
      <w:r>
        <w:rPr>
          <w:rFonts w:ascii="Arial" w:cs="Arial" w:eastAsia="Arial" w:hAnsi="Arial"/>
          <w:sz w:val="19"/>
          <w:szCs w:val="19"/>
          <w:color w:val="auto"/>
        </w:rPr>
        <w:t>As of September 30, 2019, the Company has a net operating loss carryforward of approximately $57.4 million for federal income tax reporting purposes. Of this amount, $31.4 million will begin to expire in 2036 and $26 million has an indefinite carryforward period, but only has the availability to offset future income of up to 80% in any single year. The 2018 Tax Cuts and Jobs Act changed the rules related to uses and limitations of net operating loss carryforwards created in tax years beginning after December 31, 2017. Based on the history of losses of the predecessor entity and the continued depression of oil and gas prices, the Company concluded it was not more likely than not that the net operating losses would be utilized; accordingly, a valuation allowance was recorded. In addition, the Company has generated a net operating loss carryforward for state income tax purposes, which the Company believes will not be realized during the relevant carryforward periods; however, such amounts have not been separately disclosed in the consolidated financial statements as the Company does not believe that these net operating losses are material to the amounts presented herein.</w:t>
      </w:r>
    </w:p>
    <w:p>
      <w:pPr>
        <w:spacing w:after="0" w:line="194"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A valuation allowance has been established with respect to the portion of the deferred tax asset associated with tax basis in excess of carrying value of the Company’s assets for which the Company currently does not reasonably believe under the deferred tax asset realization criteria set forth in Topic 740 that it will more likely than not realize a benefit in future periods. During the year ended September 30, 2019, the Company recorded a valuation allowance of $22.8 million.</w:t>
      </w:r>
    </w:p>
    <w:p>
      <w:pPr>
        <w:spacing w:after="0" w:line="18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Each income tax position is assessed using a two-step process. A determination is first made as to whether it is more likely than not that the income tax position will be sustained, based upon technical merits, upon examination by the taxing authorities. If the income tax position is expected to meet the more likely than not criteria, the benefit recorded in the consolidated financial statements equals the largest amount that is greater than 50 percent likely to be realized upon its ultimate settlement. The Company had no uncertain tax positions as of September 30, 2019.</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color w:val="auto"/>
        </w:rPr>
        <w:t>The Company’s federal and state tax returns from its inception remain subject to examination by the applicable tax authorities.</w:t>
      </w:r>
    </w:p>
    <w:p>
      <w:pPr>
        <w:spacing w:after="0" w:line="208" w:lineRule="exact"/>
        <w:rPr>
          <w:sz w:val="20"/>
          <w:szCs w:val="20"/>
          <w:color w:val="auto"/>
        </w:rPr>
      </w:pPr>
    </w:p>
    <w:p>
      <w:pPr>
        <w:ind w:left="440" w:hanging="432"/>
        <w:spacing w:after="0"/>
        <w:tabs>
          <w:tab w:leader="none" w:pos="440" w:val="left"/>
        </w:tabs>
        <w:numPr>
          <w:ilvl w:val="0"/>
          <w:numId w:val="151"/>
        </w:numPr>
        <w:rPr>
          <w:rFonts w:ascii="Arial" w:cs="Arial" w:eastAsia="Arial" w:hAnsi="Arial"/>
          <w:sz w:val="22"/>
          <w:szCs w:val="22"/>
          <w:b w:val="1"/>
          <w:bCs w:val="1"/>
          <w:color w:val="auto"/>
        </w:rPr>
      </w:pPr>
      <w:r>
        <w:rPr>
          <w:rFonts w:ascii="Arial" w:cs="Arial" w:eastAsia="Arial" w:hAnsi="Arial"/>
          <w:sz w:val="22"/>
          <w:szCs w:val="22"/>
          <w:b w:val="1"/>
          <w:bCs w:val="1"/>
          <w:color w:val="auto"/>
        </w:rPr>
        <w:t>Fair Value Measurements</w:t>
      </w:r>
    </w:p>
    <w:p>
      <w:pPr>
        <w:spacing w:after="0" w:line="211"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There is a three-level valuation hierarchy for disclosure of fair value measurements. The valuation hierarchy categorizes assets and liabilities measured at fair value into one of three different levels depending on the observability of the inputs employed in the measurement. The three levels are defined as follows: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748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5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inputs to the valuation methodology are quoted prices (unadjusted) for identical  assets or liabilities in active markets.</w:t>
      </w:r>
    </w:p>
    <w:p>
      <w:pPr>
        <w:spacing w:after="0" w:line="212" w:lineRule="exact"/>
        <w:rPr>
          <w:sz w:val="20"/>
          <w:szCs w:val="20"/>
          <w:color w:val="auto"/>
        </w:rPr>
      </w:pPr>
    </w:p>
    <w:p>
      <w:pPr>
        <w:jc w:val="both"/>
        <w:ind w:left="640" w:right="440"/>
        <w:spacing w:after="0" w:line="252" w:lineRule="auto"/>
        <w:rPr>
          <w:sz w:val="20"/>
          <w:szCs w:val="20"/>
          <w:color w:val="auto"/>
        </w:rPr>
      </w:pPr>
      <w:r>
        <w:rPr>
          <w:rFonts w:ascii="Arial" w:cs="Arial" w:eastAsia="Arial" w:hAnsi="Arial"/>
          <w:sz w:val="19"/>
          <w:szCs w:val="19"/>
          <w:b w:val="1"/>
          <w:bCs w:val="1"/>
          <w:color w:val="auto"/>
        </w:rPr>
        <w:t xml:space="preserve">Level 2 </w:t>
      </w:r>
      <w:r>
        <w:rPr>
          <w:rFonts w:ascii="Arial" w:cs="Arial" w:eastAsia="Arial" w:hAnsi="Arial"/>
          <w:sz w:val="19"/>
          <w:szCs w:val="19"/>
          <w:color w:val="auto"/>
        </w:rPr>
        <w:t>- inputs to the valuation methodology include quoted prices for similar assets and liabilities in active markets, and</w:t>
      </w:r>
      <w:r>
        <w:rPr>
          <w:rFonts w:ascii="Arial" w:cs="Arial" w:eastAsia="Arial" w:hAnsi="Arial"/>
          <w:sz w:val="19"/>
          <w:szCs w:val="19"/>
          <w:b w:val="1"/>
          <w:bCs w:val="1"/>
          <w:color w:val="auto"/>
        </w:rPr>
        <w:t xml:space="preserve"> </w:t>
      </w:r>
      <w:r>
        <w:rPr>
          <w:rFonts w:ascii="Arial" w:cs="Arial" w:eastAsia="Arial" w:hAnsi="Arial"/>
          <w:sz w:val="19"/>
          <w:szCs w:val="19"/>
          <w:color w:val="auto"/>
        </w:rPr>
        <w:t>inputs that are observable for the asset or liability, either directly or indirectly, for substantially the full term of the financial instrument.</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auto"/>
        </w:rPr>
        <w:t xml:space="preserve">Level 3 </w:t>
      </w:r>
      <w:r>
        <w:rPr>
          <w:rFonts w:ascii="Arial" w:cs="Arial" w:eastAsia="Arial" w:hAnsi="Arial"/>
          <w:sz w:val="19"/>
          <w:szCs w:val="19"/>
          <w:color w:val="auto"/>
        </w:rPr>
        <w:t>- inputs to the valuation methodology are unobservable and significant to the fair  value measurement.</w:t>
      </w: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A financial instrument’s categorization within the valuation hierarchy is based upon the lowest level of input that is significant to the fair value measurement. The Company’s assessment of the significance of a particular input to the fair value measurement in its entirety requires judgment and considers factors specific to the asset or liability.</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The Company had no assets or liabilities measured at fair value on a recurring basis, by level, as of September 30, 2019.</w:t>
      </w:r>
    </w:p>
    <w:p>
      <w:pPr>
        <w:spacing w:after="0" w:line="214"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At September 30, 2019, the carrying value of cash, restricted cash, receivables and payables reflected in the Company’s consolidated financial statements approximates fair value due to their short-term nature. Additionally, we believe that the carrying value of the Company’s long-term debt under the credit facility approximates fair value because the credit facility carries an interest rate that approximates current market rates. The long-term debt is classified as Level 2.</w:t>
      </w:r>
    </w:p>
    <w:p>
      <w:pPr>
        <w:spacing w:after="0" w:line="183" w:lineRule="exact"/>
        <w:rPr>
          <w:sz w:val="20"/>
          <w:szCs w:val="20"/>
          <w:color w:val="auto"/>
        </w:rPr>
      </w:pPr>
    </w:p>
    <w:p>
      <w:pPr>
        <w:ind w:left="440" w:hanging="432"/>
        <w:spacing w:after="0"/>
        <w:tabs>
          <w:tab w:leader="none" w:pos="440" w:val="left"/>
        </w:tabs>
        <w:numPr>
          <w:ilvl w:val="0"/>
          <w:numId w:val="152"/>
        </w:numPr>
        <w:rPr>
          <w:rFonts w:ascii="Arial" w:cs="Arial" w:eastAsia="Arial" w:hAnsi="Arial"/>
          <w:sz w:val="22"/>
          <w:szCs w:val="22"/>
          <w:b w:val="1"/>
          <w:bCs w:val="1"/>
          <w:color w:val="auto"/>
        </w:rPr>
      </w:pPr>
      <w:r>
        <w:rPr>
          <w:rFonts w:ascii="Arial" w:cs="Arial" w:eastAsia="Arial" w:hAnsi="Arial"/>
          <w:sz w:val="22"/>
          <w:szCs w:val="22"/>
          <w:b w:val="1"/>
          <w:bCs w:val="1"/>
          <w:color w:val="auto"/>
        </w:rPr>
        <w:t>Acquisitions and Divestitures</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McMullen County Disposition</w:t>
      </w:r>
    </w:p>
    <w:p>
      <w:pPr>
        <w:spacing w:after="0" w:line="214" w:lineRule="exact"/>
        <w:rPr>
          <w:sz w:val="20"/>
          <w:szCs w:val="20"/>
          <w:color w:val="auto"/>
        </w:rPr>
      </w:pPr>
    </w:p>
    <w:p>
      <w:pPr>
        <w:ind w:right="1060"/>
        <w:spacing w:after="0" w:line="261" w:lineRule="auto"/>
        <w:rPr>
          <w:sz w:val="20"/>
          <w:szCs w:val="20"/>
          <w:color w:val="auto"/>
        </w:rPr>
      </w:pPr>
      <w:r>
        <w:rPr>
          <w:rFonts w:ascii="Arial" w:cs="Arial" w:eastAsia="Arial" w:hAnsi="Arial"/>
          <w:sz w:val="19"/>
          <w:szCs w:val="19"/>
          <w:color w:val="auto"/>
        </w:rPr>
        <w:t>In January 2019, the Company closed on the sale of certain oil and natural gas properties located in McMullen County, Texas for $260 thousand. The full cost pool was reduced by the net proceeds.</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Lavaca County Disposition</w:t>
      </w:r>
    </w:p>
    <w:p>
      <w:pPr>
        <w:spacing w:after="0" w:line="214" w:lineRule="exact"/>
        <w:rPr>
          <w:sz w:val="20"/>
          <w:szCs w:val="20"/>
          <w:color w:val="auto"/>
        </w:rPr>
      </w:pPr>
    </w:p>
    <w:p>
      <w:pPr>
        <w:ind w:right="60"/>
        <w:spacing w:after="0" w:line="261" w:lineRule="auto"/>
        <w:rPr>
          <w:sz w:val="20"/>
          <w:szCs w:val="20"/>
          <w:color w:val="auto"/>
        </w:rPr>
      </w:pPr>
      <w:r>
        <w:rPr>
          <w:rFonts w:ascii="Arial" w:cs="Arial" w:eastAsia="Arial" w:hAnsi="Arial"/>
          <w:sz w:val="19"/>
          <w:szCs w:val="19"/>
          <w:color w:val="auto"/>
        </w:rPr>
        <w:t>In April 2019, the Company closed on the sale of certain oil and natural gas properties located in Lavaca County, Texas. The Company received no proceeds but was relieved of $193 thousand of plugging liability.</w:t>
      </w:r>
    </w:p>
    <w:p>
      <w:pPr>
        <w:spacing w:after="0" w:line="168" w:lineRule="exact"/>
        <w:rPr>
          <w:sz w:val="20"/>
          <w:szCs w:val="20"/>
          <w:color w:val="auto"/>
        </w:rPr>
      </w:pPr>
    </w:p>
    <w:p>
      <w:pPr>
        <w:ind w:left="440" w:hanging="432"/>
        <w:spacing w:after="0"/>
        <w:tabs>
          <w:tab w:leader="none" w:pos="440" w:val="left"/>
        </w:tabs>
        <w:numPr>
          <w:ilvl w:val="0"/>
          <w:numId w:val="153"/>
        </w:numPr>
        <w:rPr>
          <w:rFonts w:ascii="Arial" w:cs="Arial" w:eastAsia="Arial" w:hAnsi="Arial"/>
          <w:sz w:val="22"/>
          <w:szCs w:val="22"/>
          <w:b w:val="1"/>
          <w:bCs w:val="1"/>
          <w:color w:val="auto"/>
        </w:rPr>
      </w:pPr>
      <w:r>
        <w:rPr>
          <w:rFonts w:ascii="Arial" w:cs="Arial" w:eastAsia="Arial" w:hAnsi="Arial"/>
          <w:sz w:val="22"/>
          <w:szCs w:val="22"/>
          <w:b w:val="1"/>
          <w:bCs w:val="1"/>
          <w:color w:val="auto"/>
        </w:rPr>
        <w:t>Long-Term Debt - Affiliate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340" w:type="dxa"/>
            <w:vAlign w:val="bottom"/>
            <w:gridSpan w:val="2"/>
          </w:tcPr>
          <w:p>
            <w:pPr>
              <w:spacing w:after="0"/>
              <w:rPr>
                <w:sz w:val="20"/>
                <w:szCs w:val="20"/>
                <w:color w:val="auto"/>
              </w:rPr>
            </w:pPr>
            <w:r>
              <w:rPr>
                <w:rFonts w:ascii="Arial" w:cs="Arial" w:eastAsia="Arial" w:hAnsi="Arial"/>
                <w:sz w:val="19"/>
                <w:szCs w:val="19"/>
                <w:color w:val="auto"/>
              </w:rPr>
              <w:t>Long-term debt - affiliate consists of the following (</w:t>
            </w:r>
            <w:r>
              <w:rPr>
                <w:rFonts w:ascii="Arial" w:cs="Arial" w:eastAsia="Arial" w:hAnsi="Arial"/>
                <w:sz w:val="19"/>
                <w:szCs w:val="19"/>
                <w:i w:val="1"/>
                <w:iCs w:val="1"/>
                <w:color w:val="auto"/>
              </w:rPr>
              <w:t>in thousands</w:t>
            </w:r>
            <w:r>
              <w:rPr>
                <w:rFonts w:ascii="Arial" w:cs="Arial" w:eastAsia="Arial" w:hAnsi="Arial"/>
                <w:sz w:val="19"/>
                <w:szCs w:val="19"/>
                <w:color w:val="auto"/>
              </w:rPr>
              <w:t>):</w:t>
            </w:r>
          </w:p>
        </w:tc>
        <w:tc>
          <w:tcPr>
            <w:tcW w:w="17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44"/>
        </w:trPr>
        <w:tc>
          <w:tcPr>
            <w:tcW w:w="6340" w:type="dxa"/>
            <w:vAlign w:val="bottom"/>
            <w:tcBorders>
              <w:bottom w:val="single" w:sz="8" w:color="auto"/>
            </w:tcBorders>
            <w:gridSpan w:val="2"/>
          </w:tcPr>
          <w:p>
            <w:pPr>
              <w:spacing w:after="0"/>
              <w:rPr>
                <w:sz w:val="20"/>
                <w:szCs w:val="20"/>
                <w:color w:val="auto"/>
              </w:rPr>
            </w:pPr>
            <w:r>
              <w:rPr>
                <w:rFonts w:ascii="Arial" w:cs="Arial" w:eastAsia="Arial" w:hAnsi="Arial"/>
                <w:sz w:val="19"/>
                <w:szCs w:val="19"/>
                <w:b w:val="1"/>
                <w:bCs w:val="1"/>
                <w:i w:val="1"/>
                <w:iCs w:val="1"/>
                <w:color w:val="auto"/>
              </w:rPr>
              <w:t>September 30,</w:t>
            </w:r>
          </w:p>
        </w:tc>
        <w:tc>
          <w:tcPr>
            <w:tcW w:w="1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46"/>
              <w:spacing w:after="0"/>
              <w:rPr>
                <w:sz w:val="20"/>
                <w:szCs w:val="20"/>
                <w:color w:val="auto"/>
              </w:rPr>
            </w:pPr>
            <w:r>
              <w:rPr>
                <w:rFonts w:ascii="Arial" w:cs="Arial" w:eastAsia="Arial" w:hAnsi="Arial"/>
                <w:sz w:val="19"/>
                <w:szCs w:val="19"/>
                <w:b w:val="1"/>
                <w:bCs w:val="1"/>
                <w:color w:val="auto"/>
              </w:rPr>
              <w:t>2019</w:t>
            </w:r>
          </w:p>
        </w:tc>
        <w:tc>
          <w:tcPr>
            <w:tcW w:w="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26"/>
              <w:spacing w:after="0"/>
              <w:rPr>
                <w:sz w:val="20"/>
                <w:szCs w:val="20"/>
                <w:color w:val="auto"/>
              </w:rPr>
            </w:pPr>
            <w:r>
              <w:rPr>
                <w:rFonts w:ascii="Arial" w:cs="Arial" w:eastAsia="Arial" w:hAnsi="Arial"/>
                <w:sz w:val="19"/>
                <w:szCs w:val="19"/>
                <w:b w:val="1"/>
                <w:bCs w:val="1"/>
                <w:color w:val="auto"/>
              </w:rPr>
              <w:t>2018</w:t>
            </w:r>
          </w:p>
        </w:tc>
      </w:tr>
      <w:tr>
        <w:trPr>
          <w:trHeight w:val="214"/>
        </w:trPr>
        <w:tc>
          <w:tcPr>
            <w:tcW w:w="400" w:type="dxa"/>
            <w:vAlign w:val="bottom"/>
          </w:tcPr>
          <w:p>
            <w:pPr>
              <w:spacing w:after="0" w:line="214" w:lineRule="exact"/>
              <w:rPr>
                <w:sz w:val="20"/>
                <w:szCs w:val="20"/>
                <w:color w:val="auto"/>
              </w:rPr>
            </w:pPr>
            <w:r>
              <w:rPr>
                <w:rFonts w:ascii="Arial" w:cs="Arial" w:eastAsia="Arial" w:hAnsi="Arial"/>
                <w:sz w:val="19"/>
                <w:szCs w:val="19"/>
                <w:color w:val="auto"/>
                <w:w w:val="89"/>
              </w:rPr>
              <w:t>2017</w:t>
            </w:r>
          </w:p>
        </w:tc>
        <w:tc>
          <w:tcPr>
            <w:tcW w:w="5940" w:type="dxa"/>
            <w:vAlign w:val="bottom"/>
          </w:tcPr>
          <w:p>
            <w:pPr>
              <w:ind w:left="40"/>
              <w:spacing w:after="0" w:line="214" w:lineRule="exact"/>
              <w:rPr>
                <w:sz w:val="20"/>
                <w:szCs w:val="20"/>
                <w:color w:val="auto"/>
              </w:rPr>
            </w:pPr>
            <w:r>
              <w:rPr>
                <w:rFonts w:ascii="Arial" w:cs="Arial" w:eastAsia="Arial" w:hAnsi="Arial"/>
                <w:sz w:val="19"/>
                <w:szCs w:val="19"/>
                <w:color w:val="auto"/>
              </w:rPr>
              <w:t>Term Loan</w:t>
            </w:r>
          </w:p>
        </w:tc>
        <w:tc>
          <w:tcPr>
            <w:tcW w:w="1720" w:type="dxa"/>
            <w:vAlign w:val="bottom"/>
          </w:tcPr>
          <w:p>
            <w:pPr>
              <w:jc w:val="right"/>
              <w:ind w:right="146"/>
              <w:spacing w:after="0" w:line="214" w:lineRule="exact"/>
              <w:rPr>
                <w:sz w:val="20"/>
                <w:szCs w:val="20"/>
                <w:color w:val="auto"/>
              </w:rPr>
            </w:pPr>
            <w:r>
              <w:rPr>
                <w:rFonts w:ascii="Arial" w:cs="Arial" w:eastAsia="Arial" w:hAnsi="Arial"/>
                <w:sz w:val="19"/>
                <w:szCs w:val="19"/>
                <w:color w:val="auto"/>
              </w:rPr>
              <w:t>$</w:t>
            </w:r>
          </w:p>
        </w:tc>
        <w:tc>
          <w:tcPr>
            <w:tcW w:w="1360" w:type="dxa"/>
            <w:vAlign w:val="bottom"/>
          </w:tcPr>
          <w:p>
            <w:pPr>
              <w:jc w:val="right"/>
              <w:ind w:right="66"/>
              <w:spacing w:after="0" w:line="214" w:lineRule="exact"/>
              <w:rPr>
                <w:sz w:val="20"/>
                <w:szCs w:val="20"/>
                <w:color w:val="auto"/>
              </w:rPr>
            </w:pPr>
            <w:r>
              <w:rPr>
                <w:rFonts w:ascii="Arial" w:cs="Arial" w:eastAsia="Arial" w:hAnsi="Arial"/>
                <w:sz w:val="19"/>
                <w:szCs w:val="19"/>
                <w:color w:val="auto"/>
              </w:rPr>
              <w:t>35,000</w:t>
            </w:r>
          </w:p>
        </w:tc>
        <w:tc>
          <w:tcPr>
            <w:tcW w:w="480" w:type="dxa"/>
            <w:vAlign w:val="bottom"/>
          </w:tcPr>
          <w:p>
            <w:pPr>
              <w:jc w:val="right"/>
              <w:ind w:right="146"/>
              <w:spacing w:after="0" w:line="214" w:lineRule="exact"/>
              <w:rPr>
                <w:sz w:val="20"/>
                <w:szCs w:val="20"/>
                <w:color w:val="auto"/>
              </w:rPr>
            </w:pPr>
            <w:r>
              <w:rPr>
                <w:rFonts w:ascii="Arial" w:cs="Arial" w:eastAsia="Arial" w:hAnsi="Arial"/>
                <w:sz w:val="19"/>
                <w:szCs w:val="19"/>
                <w:color w:val="auto"/>
              </w:rPr>
              <w:t>$</w:t>
            </w:r>
          </w:p>
        </w:tc>
        <w:tc>
          <w:tcPr>
            <w:tcW w:w="1340" w:type="dxa"/>
            <w:vAlign w:val="bottom"/>
          </w:tcPr>
          <w:p>
            <w:pPr>
              <w:jc w:val="right"/>
              <w:ind w:right="46"/>
              <w:spacing w:after="0" w:line="214" w:lineRule="exact"/>
              <w:rPr>
                <w:sz w:val="20"/>
                <w:szCs w:val="20"/>
                <w:color w:val="auto"/>
              </w:rPr>
            </w:pPr>
            <w:r>
              <w:rPr>
                <w:rFonts w:ascii="Arial" w:cs="Arial" w:eastAsia="Arial" w:hAnsi="Arial"/>
                <w:sz w:val="19"/>
                <w:szCs w:val="19"/>
                <w:color w:val="auto"/>
              </w:rPr>
              <w:t>35,000</w:t>
            </w:r>
          </w:p>
        </w:tc>
      </w:tr>
      <w:tr>
        <w:trPr>
          <w:trHeight w:val="238"/>
        </w:trPr>
        <w:tc>
          <w:tcPr>
            <w:tcW w:w="400" w:type="dxa"/>
            <w:vAlign w:val="bottom"/>
            <w:tcBorders>
              <w:bottom w:val="single" w:sz="8" w:color="auto"/>
            </w:tcBorders>
          </w:tcPr>
          <w:p>
            <w:pPr>
              <w:spacing w:after="0"/>
              <w:rPr>
                <w:sz w:val="20"/>
                <w:szCs w:val="20"/>
                <w:color w:val="auto"/>
              </w:rPr>
            </w:pPr>
            <w:r>
              <w:rPr>
                <w:rFonts w:ascii="Arial" w:cs="Arial" w:eastAsia="Arial" w:hAnsi="Arial"/>
                <w:sz w:val="19"/>
                <w:szCs w:val="19"/>
                <w:color w:val="auto"/>
                <w:w w:val="89"/>
              </w:rPr>
              <w:t>2018</w:t>
            </w:r>
          </w:p>
        </w:tc>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rPr>
              <w:t>Revolving Loan</w:t>
            </w:r>
          </w:p>
        </w:tc>
        <w:tc>
          <w:tcPr>
            <w:tcW w:w="17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6"/>
              <w:spacing w:after="0"/>
              <w:rPr>
                <w:sz w:val="20"/>
                <w:szCs w:val="20"/>
                <w:color w:val="auto"/>
              </w:rPr>
            </w:pPr>
            <w:r>
              <w:rPr>
                <w:rFonts w:ascii="Arial" w:cs="Arial" w:eastAsia="Arial" w:hAnsi="Arial"/>
                <w:sz w:val="19"/>
                <w:szCs w:val="19"/>
                <w:color w:val="auto"/>
              </w:rPr>
              <w:t>40,000</w:t>
            </w:r>
          </w:p>
        </w:tc>
        <w:tc>
          <w:tcPr>
            <w:tcW w:w="4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10,000</w:t>
            </w:r>
          </w:p>
        </w:tc>
      </w:tr>
      <w:tr>
        <w:trPr>
          <w:trHeight w:val="223"/>
        </w:trPr>
        <w:tc>
          <w:tcPr>
            <w:tcW w:w="400" w:type="dxa"/>
            <w:vAlign w:val="bottom"/>
            <w:tcBorders>
              <w:bottom w:val="single" w:sz="8" w:color="auto"/>
            </w:tcBorders>
          </w:tcPr>
          <w:p>
            <w:pPr>
              <w:spacing w:after="0"/>
              <w:rPr>
                <w:sz w:val="19"/>
                <w:szCs w:val="19"/>
                <w:color w:val="auto"/>
              </w:rPr>
            </w:pPr>
          </w:p>
        </w:tc>
        <w:tc>
          <w:tcPr>
            <w:tcW w:w="59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46"/>
              <w:spacing w:after="0"/>
              <w:rPr>
                <w:sz w:val="20"/>
                <w:szCs w:val="20"/>
                <w:color w:val="auto"/>
              </w:rPr>
            </w:pPr>
            <w:r>
              <w:rPr>
                <w:rFonts w:ascii="Arial" w:cs="Arial" w:eastAsia="Arial" w:hAnsi="Arial"/>
                <w:sz w:val="19"/>
                <w:szCs w:val="19"/>
                <w:color w:val="auto"/>
              </w:rPr>
              <w:t>$</w:t>
            </w:r>
          </w:p>
        </w:tc>
        <w:tc>
          <w:tcPr>
            <w:tcW w:w="1360" w:type="dxa"/>
            <w:vAlign w:val="bottom"/>
            <w:tcBorders>
              <w:bottom w:val="single" w:sz="8" w:color="auto"/>
            </w:tcBorders>
          </w:tcPr>
          <w:p>
            <w:pPr>
              <w:jc w:val="right"/>
              <w:ind w:right="66"/>
              <w:spacing w:after="0"/>
              <w:rPr>
                <w:sz w:val="20"/>
                <w:szCs w:val="20"/>
                <w:color w:val="auto"/>
              </w:rPr>
            </w:pPr>
            <w:r>
              <w:rPr>
                <w:rFonts w:ascii="Arial" w:cs="Arial" w:eastAsia="Arial" w:hAnsi="Arial"/>
                <w:sz w:val="19"/>
                <w:szCs w:val="19"/>
                <w:color w:val="auto"/>
              </w:rPr>
              <w:t>75,000</w:t>
            </w:r>
          </w:p>
        </w:tc>
        <w:tc>
          <w:tcPr>
            <w:tcW w:w="480" w:type="dxa"/>
            <w:vAlign w:val="bottom"/>
            <w:tcBorders>
              <w:bottom w:val="single" w:sz="8" w:color="auto"/>
            </w:tcBorders>
          </w:tcPr>
          <w:p>
            <w:pPr>
              <w:jc w:val="right"/>
              <w:ind w:right="146"/>
              <w:spacing w:after="0"/>
              <w:rPr>
                <w:sz w:val="20"/>
                <w:szCs w:val="20"/>
                <w:color w:val="auto"/>
              </w:rPr>
            </w:pPr>
            <w:r>
              <w:rPr>
                <w:rFonts w:ascii="Arial" w:cs="Arial" w:eastAsia="Arial" w:hAnsi="Arial"/>
                <w:sz w:val="19"/>
                <w:szCs w:val="19"/>
                <w:color w:val="auto"/>
              </w:rPr>
              <w:t>$</w:t>
            </w:r>
          </w:p>
        </w:tc>
        <w:tc>
          <w:tcPr>
            <w:tcW w:w="134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45,000</w:t>
            </w:r>
          </w:p>
        </w:tc>
      </w:tr>
    </w:tbl>
    <w:p>
      <w:pPr>
        <w:spacing w:after="0" w:line="194" w:lineRule="exact"/>
        <w:rPr>
          <w:sz w:val="20"/>
          <w:szCs w:val="20"/>
          <w:color w:val="auto"/>
        </w:rPr>
      </w:pPr>
    </w:p>
    <w:p>
      <w:pPr>
        <w:jc w:val="both"/>
        <w:spacing w:after="0" w:line="320" w:lineRule="auto"/>
        <w:rPr>
          <w:sz w:val="20"/>
          <w:szCs w:val="20"/>
          <w:color w:val="auto"/>
        </w:rPr>
      </w:pPr>
      <w:r>
        <w:rPr>
          <w:rFonts w:ascii="Arial" w:cs="Arial" w:eastAsia="Arial" w:hAnsi="Arial"/>
          <w:sz w:val="17"/>
          <w:szCs w:val="17"/>
          <w:color w:val="auto"/>
        </w:rPr>
        <w:t>On September 29, 2017, the Company entered into a term loan of $35 million under a loan agreement with PennantPark. The loan agreement was made effective July 1, 2017 and matures on July 2, 2022. The term loan carries an interest rate of 8% with a 50% paid-in-kind interest option.</w:t>
      </w:r>
    </w:p>
    <w:p>
      <w:pPr>
        <w:spacing w:after="0" w:line="127" w:lineRule="exact"/>
        <w:rPr>
          <w:sz w:val="20"/>
          <w:szCs w:val="20"/>
          <w:color w:val="auto"/>
        </w:rPr>
      </w:pPr>
    </w:p>
    <w:p>
      <w:pPr>
        <w:jc w:val="both"/>
        <w:ind w:right="20"/>
        <w:spacing w:after="0" w:line="261" w:lineRule="auto"/>
        <w:rPr>
          <w:sz w:val="20"/>
          <w:szCs w:val="20"/>
          <w:color w:val="auto"/>
        </w:rPr>
      </w:pPr>
      <w:r>
        <w:rPr>
          <w:rFonts w:ascii="Arial" w:cs="Arial" w:eastAsia="Arial" w:hAnsi="Arial"/>
          <w:sz w:val="19"/>
          <w:szCs w:val="19"/>
          <w:color w:val="auto"/>
        </w:rPr>
        <w:t>On June 5, 2018, the loan agreement was amended to add a revolving loan with a total commitment of $15 million. The loan agreement was further amended on January 7, 2019 and May 10, 2019, to</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748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9"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increase the revolving loan commitment to $35 million and $40 million, respectively. The loan agreement was amended a fourth time in October 2019, as discussed in Note 9. Borrowings on the revolving loan must be at a minimum of $1 million and in $1 million increments, and carries an interest rate of 8%.</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The loan agreement includes representations, warranties, and customary covenants, including certain financial covenants for minimum liquidity and maximum annual capital expenditures. As of September 30, 2019, the Company was in compliance with its financial covenants.</w:t>
      </w:r>
    </w:p>
    <w:p>
      <w:pPr>
        <w:spacing w:after="0" w:line="171" w:lineRule="exact"/>
        <w:rPr>
          <w:sz w:val="20"/>
          <w:szCs w:val="20"/>
          <w:color w:val="auto"/>
        </w:rPr>
      </w:pPr>
    </w:p>
    <w:p>
      <w:pPr>
        <w:ind w:left="440" w:hanging="432"/>
        <w:spacing w:after="0"/>
        <w:tabs>
          <w:tab w:leader="none" w:pos="440" w:val="left"/>
        </w:tabs>
        <w:numPr>
          <w:ilvl w:val="0"/>
          <w:numId w:val="154"/>
        </w:numPr>
        <w:rPr>
          <w:rFonts w:ascii="Arial" w:cs="Arial" w:eastAsia="Arial" w:hAnsi="Arial"/>
          <w:sz w:val="22"/>
          <w:szCs w:val="22"/>
          <w:b w:val="1"/>
          <w:bCs w:val="1"/>
          <w:color w:val="auto"/>
        </w:rPr>
      </w:pPr>
      <w:r>
        <w:rPr>
          <w:rFonts w:ascii="Arial" w:cs="Arial" w:eastAsia="Arial" w:hAnsi="Arial"/>
          <w:sz w:val="22"/>
          <w:szCs w:val="22"/>
          <w:b w:val="1"/>
          <w:bCs w:val="1"/>
          <w:color w:val="auto"/>
        </w:rPr>
        <w:t>Commitments and Contingencies</w:t>
      </w:r>
    </w:p>
    <w:p>
      <w:pPr>
        <w:spacing w:after="0" w:line="211" w:lineRule="exact"/>
        <w:rPr>
          <w:sz w:val="20"/>
          <w:szCs w:val="20"/>
          <w:color w:val="auto"/>
        </w:rPr>
      </w:pPr>
    </w:p>
    <w:p>
      <w:pPr>
        <w:spacing w:after="0" w:line="320" w:lineRule="auto"/>
        <w:rPr>
          <w:sz w:val="20"/>
          <w:szCs w:val="20"/>
          <w:color w:val="auto"/>
        </w:rPr>
      </w:pPr>
      <w:r>
        <w:rPr>
          <w:rFonts w:ascii="Arial" w:cs="Arial" w:eastAsia="Arial" w:hAnsi="Arial"/>
          <w:sz w:val="17"/>
          <w:szCs w:val="17"/>
          <w:color w:val="auto"/>
        </w:rPr>
        <w:t>From time to time the Company may be involved in claims and litigation arising in the ordinary course of business. In the opinion of management, the outcome of all existing matters will not have a material adverse effect on the Company’s financial position or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Leases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RAM leases office space and certain equipment under non-cancelable operating lease agreements that expire on various dates through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2024. Approximate future minimum lease payments as of September 30, 2019 are as follows (</w:t>
      </w:r>
      <w:r>
        <w:rPr>
          <w:rFonts w:ascii="Arial" w:cs="Arial" w:eastAsia="Arial" w:hAnsi="Arial"/>
          <w:sz w:val="19"/>
          <w:szCs w:val="19"/>
          <w:i w:val="1"/>
          <w:iCs w:val="1"/>
          <w:color w:val="auto"/>
        </w:rPr>
        <w:t>in thousands</w:t>
      </w:r>
      <w:r>
        <w:rPr>
          <w:rFonts w:ascii="Arial" w:cs="Arial" w:eastAsia="Arial" w:hAnsi="Arial"/>
          <w:sz w:val="19"/>
          <w:szCs w:val="19"/>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Year Ending September 30,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820" w:type="dxa"/>
            <w:vAlign w:val="bottom"/>
            <w:tcBorders>
              <w:top w:val="single" w:sz="8" w:color="auto"/>
            </w:tcBorders>
          </w:tcPr>
          <w:p>
            <w:pPr>
              <w:jc w:val="right"/>
              <w:ind w:right="4346"/>
              <w:spacing w:after="0" w:line="214" w:lineRule="exact"/>
              <w:rPr>
                <w:sz w:val="20"/>
                <w:szCs w:val="20"/>
                <w:color w:val="auto"/>
              </w:rPr>
            </w:pPr>
            <w:r>
              <w:rPr>
                <w:rFonts w:ascii="Arial" w:cs="Arial" w:eastAsia="Arial" w:hAnsi="Arial"/>
                <w:sz w:val="19"/>
                <w:szCs w:val="19"/>
                <w:color w:val="auto"/>
                <w:w w:val="85"/>
              </w:rPr>
              <w:t>2020</w:t>
            </w:r>
          </w:p>
        </w:tc>
        <w:tc>
          <w:tcPr>
            <w:tcW w:w="5280" w:type="dxa"/>
            <w:vAlign w:val="bottom"/>
            <w:tcBorders>
              <w:top w:val="single" w:sz="8" w:color="auto"/>
            </w:tcBorders>
          </w:tcPr>
          <w:p>
            <w:pPr>
              <w:jc w:val="right"/>
              <w:ind w:right="646"/>
              <w:spacing w:after="0" w:line="214" w:lineRule="exact"/>
              <w:rPr>
                <w:sz w:val="20"/>
                <w:szCs w:val="20"/>
                <w:color w:val="auto"/>
              </w:rPr>
            </w:pPr>
            <w:r>
              <w:rPr>
                <w:rFonts w:ascii="Arial" w:cs="Arial" w:eastAsia="Arial" w:hAnsi="Arial"/>
                <w:sz w:val="19"/>
                <w:szCs w:val="19"/>
                <w:color w:val="auto"/>
              </w:rPr>
              <w:t>$</w:t>
            </w:r>
          </w:p>
        </w:tc>
        <w:tc>
          <w:tcPr>
            <w:tcW w:w="1140" w:type="dxa"/>
            <w:vAlign w:val="bottom"/>
            <w:tcBorders>
              <w:top w:val="single" w:sz="8" w:color="auto"/>
            </w:tcBorders>
          </w:tcPr>
          <w:p>
            <w:pPr>
              <w:jc w:val="right"/>
              <w:ind w:right="26"/>
              <w:spacing w:after="0" w:line="214" w:lineRule="exact"/>
              <w:rPr>
                <w:sz w:val="20"/>
                <w:szCs w:val="20"/>
                <w:color w:val="auto"/>
              </w:rPr>
            </w:pPr>
            <w:r>
              <w:rPr>
                <w:rFonts w:ascii="Arial" w:cs="Arial" w:eastAsia="Arial" w:hAnsi="Arial"/>
                <w:sz w:val="19"/>
                <w:szCs w:val="19"/>
                <w:color w:val="auto"/>
              </w:rPr>
              <w:t>347</w:t>
            </w:r>
          </w:p>
        </w:tc>
      </w:tr>
      <w:tr>
        <w:trPr>
          <w:trHeight w:val="230"/>
        </w:trPr>
        <w:tc>
          <w:tcPr>
            <w:tcW w:w="4820" w:type="dxa"/>
            <w:vAlign w:val="bottom"/>
          </w:tcPr>
          <w:p>
            <w:pPr>
              <w:jc w:val="right"/>
              <w:ind w:right="4346"/>
              <w:spacing w:after="0"/>
              <w:rPr>
                <w:sz w:val="20"/>
                <w:szCs w:val="20"/>
                <w:color w:val="auto"/>
              </w:rPr>
            </w:pPr>
            <w:r>
              <w:rPr>
                <w:rFonts w:ascii="Arial" w:cs="Arial" w:eastAsia="Arial" w:hAnsi="Arial"/>
                <w:sz w:val="19"/>
                <w:szCs w:val="19"/>
                <w:color w:val="auto"/>
                <w:w w:val="85"/>
              </w:rPr>
              <w:t>2021</w:t>
            </w:r>
          </w:p>
        </w:tc>
        <w:tc>
          <w:tcPr>
            <w:tcW w:w="5280" w:type="dxa"/>
            <w:vAlign w:val="bottom"/>
          </w:tcPr>
          <w:p>
            <w:pPr>
              <w:spacing w:after="0"/>
              <w:rPr>
                <w:sz w:val="19"/>
                <w:szCs w:val="19"/>
                <w:color w:val="auto"/>
              </w:rPr>
            </w:pPr>
          </w:p>
        </w:tc>
        <w:tc>
          <w:tcPr>
            <w:tcW w:w="1140" w:type="dxa"/>
            <w:vAlign w:val="bottom"/>
          </w:tcPr>
          <w:p>
            <w:pPr>
              <w:jc w:val="right"/>
              <w:ind w:right="26"/>
              <w:spacing w:after="0"/>
              <w:rPr>
                <w:sz w:val="20"/>
                <w:szCs w:val="20"/>
                <w:color w:val="auto"/>
              </w:rPr>
            </w:pPr>
            <w:r>
              <w:rPr>
                <w:rFonts w:ascii="Arial" w:cs="Arial" w:eastAsia="Arial" w:hAnsi="Arial"/>
                <w:sz w:val="19"/>
                <w:szCs w:val="19"/>
                <w:color w:val="auto"/>
              </w:rPr>
              <w:t>214</w:t>
            </w:r>
          </w:p>
        </w:tc>
      </w:tr>
      <w:tr>
        <w:trPr>
          <w:trHeight w:val="229"/>
        </w:trPr>
        <w:tc>
          <w:tcPr>
            <w:tcW w:w="4820" w:type="dxa"/>
            <w:vAlign w:val="bottom"/>
          </w:tcPr>
          <w:p>
            <w:pPr>
              <w:jc w:val="right"/>
              <w:ind w:right="4346"/>
              <w:spacing w:after="0"/>
              <w:rPr>
                <w:sz w:val="20"/>
                <w:szCs w:val="20"/>
                <w:color w:val="auto"/>
              </w:rPr>
            </w:pPr>
            <w:r>
              <w:rPr>
                <w:rFonts w:ascii="Arial" w:cs="Arial" w:eastAsia="Arial" w:hAnsi="Arial"/>
                <w:sz w:val="19"/>
                <w:szCs w:val="19"/>
                <w:color w:val="auto"/>
                <w:w w:val="85"/>
              </w:rPr>
              <w:t>2022</w:t>
            </w:r>
          </w:p>
        </w:tc>
        <w:tc>
          <w:tcPr>
            <w:tcW w:w="5280" w:type="dxa"/>
            <w:vAlign w:val="bottom"/>
          </w:tcPr>
          <w:p>
            <w:pPr>
              <w:spacing w:after="0"/>
              <w:rPr>
                <w:sz w:val="19"/>
                <w:szCs w:val="19"/>
                <w:color w:val="auto"/>
              </w:rPr>
            </w:pPr>
          </w:p>
        </w:tc>
        <w:tc>
          <w:tcPr>
            <w:tcW w:w="1140" w:type="dxa"/>
            <w:vAlign w:val="bottom"/>
          </w:tcPr>
          <w:p>
            <w:pPr>
              <w:jc w:val="right"/>
              <w:ind w:right="26"/>
              <w:spacing w:after="0"/>
              <w:rPr>
                <w:sz w:val="20"/>
                <w:szCs w:val="20"/>
                <w:color w:val="auto"/>
              </w:rPr>
            </w:pPr>
            <w:r>
              <w:rPr>
                <w:rFonts w:ascii="Arial" w:cs="Arial" w:eastAsia="Arial" w:hAnsi="Arial"/>
                <w:sz w:val="19"/>
                <w:szCs w:val="19"/>
                <w:color w:val="auto"/>
              </w:rPr>
              <w:t>215</w:t>
            </w:r>
          </w:p>
        </w:tc>
      </w:tr>
      <w:tr>
        <w:trPr>
          <w:trHeight w:val="229"/>
        </w:trPr>
        <w:tc>
          <w:tcPr>
            <w:tcW w:w="4820" w:type="dxa"/>
            <w:vAlign w:val="bottom"/>
          </w:tcPr>
          <w:p>
            <w:pPr>
              <w:jc w:val="right"/>
              <w:ind w:right="4346"/>
              <w:spacing w:after="0"/>
              <w:rPr>
                <w:sz w:val="20"/>
                <w:szCs w:val="20"/>
                <w:color w:val="auto"/>
              </w:rPr>
            </w:pPr>
            <w:r>
              <w:rPr>
                <w:rFonts w:ascii="Arial" w:cs="Arial" w:eastAsia="Arial" w:hAnsi="Arial"/>
                <w:sz w:val="19"/>
                <w:szCs w:val="19"/>
                <w:color w:val="auto"/>
                <w:w w:val="85"/>
              </w:rPr>
              <w:t>2023</w:t>
            </w:r>
          </w:p>
        </w:tc>
        <w:tc>
          <w:tcPr>
            <w:tcW w:w="5280" w:type="dxa"/>
            <w:vAlign w:val="bottom"/>
          </w:tcPr>
          <w:p>
            <w:pPr>
              <w:spacing w:after="0"/>
              <w:rPr>
                <w:sz w:val="19"/>
                <w:szCs w:val="19"/>
                <w:color w:val="auto"/>
              </w:rPr>
            </w:pPr>
          </w:p>
        </w:tc>
        <w:tc>
          <w:tcPr>
            <w:tcW w:w="1140" w:type="dxa"/>
            <w:vAlign w:val="bottom"/>
          </w:tcPr>
          <w:p>
            <w:pPr>
              <w:jc w:val="right"/>
              <w:ind w:right="26"/>
              <w:spacing w:after="0"/>
              <w:rPr>
                <w:sz w:val="20"/>
                <w:szCs w:val="20"/>
                <w:color w:val="auto"/>
              </w:rPr>
            </w:pPr>
            <w:r>
              <w:rPr>
                <w:rFonts w:ascii="Arial" w:cs="Arial" w:eastAsia="Arial" w:hAnsi="Arial"/>
                <w:sz w:val="19"/>
                <w:szCs w:val="19"/>
                <w:color w:val="auto"/>
              </w:rPr>
              <w:t>20</w:t>
            </w:r>
          </w:p>
        </w:tc>
      </w:tr>
      <w:tr>
        <w:trPr>
          <w:trHeight w:val="238"/>
        </w:trPr>
        <w:tc>
          <w:tcPr>
            <w:tcW w:w="4820" w:type="dxa"/>
            <w:vAlign w:val="bottom"/>
            <w:tcBorders>
              <w:bottom w:val="single" w:sz="8" w:color="auto"/>
            </w:tcBorders>
          </w:tcPr>
          <w:p>
            <w:pPr>
              <w:jc w:val="right"/>
              <w:ind w:right="4346"/>
              <w:spacing w:after="0"/>
              <w:rPr>
                <w:sz w:val="20"/>
                <w:szCs w:val="20"/>
                <w:color w:val="auto"/>
              </w:rPr>
            </w:pPr>
            <w:r>
              <w:rPr>
                <w:rFonts w:ascii="Arial" w:cs="Arial" w:eastAsia="Arial" w:hAnsi="Arial"/>
                <w:sz w:val="19"/>
                <w:szCs w:val="19"/>
                <w:color w:val="auto"/>
                <w:w w:val="85"/>
              </w:rPr>
              <w:t>2024</w:t>
            </w:r>
          </w:p>
        </w:tc>
        <w:tc>
          <w:tcPr>
            <w:tcW w:w="5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2</w:t>
            </w:r>
          </w:p>
        </w:tc>
      </w:tr>
      <w:tr>
        <w:trPr>
          <w:trHeight w:val="223"/>
        </w:trPr>
        <w:tc>
          <w:tcPr>
            <w:tcW w:w="4820" w:type="dxa"/>
            <w:vAlign w:val="bottom"/>
            <w:tcBorders>
              <w:bottom w:val="single" w:sz="8" w:color="auto"/>
            </w:tcBorders>
          </w:tcPr>
          <w:p>
            <w:pPr>
              <w:spacing w:after="0"/>
              <w:rPr>
                <w:sz w:val="19"/>
                <w:szCs w:val="19"/>
                <w:color w:val="auto"/>
              </w:rPr>
            </w:pPr>
          </w:p>
        </w:tc>
        <w:tc>
          <w:tcPr>
            <w:tcW w:w="5280" w:type="dxa"/>
            <w:vAlign w:val="bottom"/>
            <w:tcBorders>
              <w:bottom w:val="single" w:sz="8" w:color="auto"/>
            </w:tcBorders>
          </w:tcPr>
          <w:p>
            <w:pPr>
              <w:jc w:val="right"/>
              <w:ind w:right="646"/>
              <w:spacing w:after="0"/>
              <w:rPr>
                <w:sz w:val="20"/>
                <w:szCs w:val="20"/>
                <w:color w:val="auto"/>
              </w:rPr>
            </w:pPr>
            <w:r>
              <w:rPr>
                <w:rFonts w:ascii="Arial" w:cs="Arial" w:eastAsia="Arial" w:hAnsi="Arial"/>
                <w:sz w:val="19"/>
                <w:szCs w:val="19"/>
                <w:color w:val="auto"/>
              </w:rPr>
              <w:t>$</w:t>
            </w:r>
          </w:p>
        </w:tc>
        <w:tc>
          <w:tcPr>
            <w:tcW w:w="114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798</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auto"/>
        </w:rPr>
        <w:t>Rent expense of approximately $0.5 million was incurred under operating leases for the year ended September 30, 2019.</w:t>
      </w:r>
    </w:p>
    <w:p>
      <w:pPr>
        <w:spacing w:after="0" w:line="208" w:lineRule="exact"/>
        <w:rPr>
          <w:sz w:val="20"/>
          <w:szCs w:val="20"/>
          <w:color w:val="auto"/>
        </w:rPr>
      </w:pPr>
    </w:p>
    <w:p>
      <w:pPr>
        <w:ind w:left="440" w:hanging="432"/>
        <w:spacing w:after="0"/>
        <w:tabs>
          <w:tab w:leader="none" w:pos="440" w:val="left"/>
        </w:tabs>
        <w:numPr>
          <w:ilvl w:val="0"/>
          <w:numId w:val="155"/>
        </w:numPr>
        <w:rPr>
          <w:rFonts w:ascii="Arial" w:cs="Arial" w:eastAsia="Arial" w:hAnsi="Arial"/>
          <w:sz w:val="22"/>
          <w:szCs w:val="22"/>
          <w:b w:val="1"/>
          <w:bCs w:val="1"/>
          <w:color w:val="auto"/>
        </w:rPr>
      </w:pPr>
      <w:r>
        <w:rPr>
          <w:rFonts w:ascii="Arial" w:cs="Arial" w:eastAsia="Arial" w:hAnsi="Arial"/>
          <w:sz w:val="22"/>
          <w:szCs w:val="22"/>
          <w:b w:val="1"/>
          <w:bCs w:val="1"/>
          <w:color w:val="auto"/>
        </w:rPr>
        <w:t>Related Party Transactions</w:t>
      </w:r>
    </w:p>
    <w:p>
      <w:pPr>
        <w:spacing w:after="0" w:line="211"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RAM made certain payments on behalf of an officer totaling $53 thousand in 2019, which are due to the Company as of September 30, 2019. LEL Energy, a company owned by an officer of RAM, made payments on behalf of RAM totaling $18 thousand in 2019, which are payables on RAM’s books as of September 30, 2019.</w:t>
      </w:r>
    </w:p>
    <w:p>
      <w:pPr>
        <w:spacing w:after="0" w:line="206" w:lineRule="exact"/>
        <w:rPr>
          <w:sz w:val="20"/>
          <w:szCs w:val="20"/>
          <w:color w:val="auto"/>
        </w:rPr>
      </w:pPr>
    </w:p>
    <w:p>
      <w:pPr>
        <w:ind w:left="440" w:hanging="432"/>
        <w:spacing w:after="0"/>
        <w:tabs>
          <w:tab w:leader="none" w:pos="440" w:val="left"/>
        </w:tabs>
        <w:numPr>
          <w:ilvl w:val="0"/>
          <w:numId w:val="156"/>
        </w:numPr>
        <w:rPr>
          <w:rFonts w:ascii="Arial" w:cs="Arial" w:eastAsia="Arial" w:hAnsi="Arial"/>
          <w:sz w:val="22"/>
          <w:szCs w:val="22"/>
          <w:b w:val="1"/>
          <w:bCs w:val="1"/>
          <w:color w:val="auto"/>
        </w:rPr>
      </w:pPr>
      <w:r>
        <w:rPr>
          <w:rFonts w:ascii="Arial" w:cs="Arial" w:eastAsia="Arial" w:hAnsi="Arial"/>
          <w:sz w:val="22"/>
          <w:szCs w:val="22"/>
          <w:b w:val="1"/>
          <w:bCs w:val="1"/>
          <w:color w:val="auto"/>
        </w:rPr>
        <w:t>Subsequent Events</w:t>
      </w:r>
    </w:p>
    <w:p>
      <w:pPr>
        <w:spacing w:after="0" w:line="211"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Company evaluates events and transactions occurring after the balance sheet date and before the consolidated financial statements are available for issuance. Such events and transactions have been evaluated through November 15, 2019, the date the consolidated financial statements were available to be issued.</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On October 11, 2019, the loan agreement with PennantPark was amended to increase the revolving loan commitment to $50 million. The Company borrowed an additional $10 million on the revolving loan, bringing the total borrowings on the revolving loan to $50 million.</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Macquarie Credit Facility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748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October 16, 2019, RAM, Fayette and Service, as co-borrowers, entered into a $70 million credit facility with Macquarie Investments US Inc. (“Macquarie”) as Administrative Agent for itself. The amount funded at closing was $30.5 million, net of deferred loan costs. The facility includes a $30.5 million Tranche A term loan, a $16 million Tranche B term loan and a $23.5 million Tranche C term loan. Wells that are currently drilling are identified as Tranche A wells. Tranche B and Tranche C wells are identified in RAM’s future development plan. Tranche A was funded at closing, and will be used to pay a working capital deficit and other development and operating costs of Tranche A wells. Tranches B and C will be available when certain wells satisfy production targets and other conditions are met.</w:t>
      </w:r>
    </w:p>
    <w:p>
      <w:pPr>
        <w:spacing w:after="0" w:line="177"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The Tranche A term loan provides for monthly payments of interest and principal during its term. Interest is charged at LIBOR plus the Applicable Margin of 8.0%. The Tranche A monthly amortization payments vary based on production of the new Fayette wells. The first principal repayment is due November 30, 2019. The Tranche B term loan provides for incremental monthly amortization payments, upon such date the Tranche B loan should become available.</w:t>
      </w:r>
    </w:p>
    <w:p>
      <w:pPr>
        <w:spacing w:after="0" w:line="188"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The facility is secured by liens on substantially all properties and assets of the borrowers. The loan agreement contains representations, warranties and covenants customary in transactions of this nature, including financial covenants relating to a current ratio, a maximum leverage ratio and a PDP coverage ratio. The facility further provides for certain hedging requirements, and the Company entered into hedging agreements during October 2019.</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Hedging contracts entered during October 2019 are summarized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ind w:right="206"/>
              <w:spacing w:after="0" w:line="214" w:lineRule="exact"/>
              <w:rPr>
                <w:sz w:val="20"/>
                <w:szCs w:val="20"/>
                <w:color w:val="auto"/>
              </w:rPr>
            </w:pPr>
            <w:r>
              <w:rPr>
                <w:rFonts w:ascii="Arial" w:cs="Arial" w:eastAsia="Arial" w:hAnsi="Arial"/>
                <w:sz w:val="19"/>
                <w:szCs w:val="19"/>
                <w:b w:val="1"/>
                <w:bCs w:val="1"/>
                <w:color w:val="auto"/>
                <w:w w:val="87"/>
              </w:rPr>
              <w:t>Average</w:t>
            </w:r>
          </w:p>
        </w:tc>
      </w:tr>
      <w:tr>
        <w:trPr>
          <w:trHeight w:val="216"/>
        </w:trPr>
        <w:tc>
          <w:tcPr>
            <w:tcW w:w="1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540" w:type="dxa"/>
            <w:vAlign w:val="bottom"/>
          </w:tcPr>
          <w:p>
            <w:pPr>
              <w:jc w:val="right"/>
              <w:ind w:right="286"/>
              <w:spacing w:after="0" w:line="216" w:lineRule="exact"/>
              <w:rPr>
                <w:sz w:val="20"/>
                <w:szCs w:val="20"/>
                <w:color w:val="auto"/>
              </w:rPr>
            </w:pPr>
            <w:r>
              <w:rPr>
                <w:rFonts w:ascii="Arial" w:cs="Arial" w:eastAsia="Arial" w:hAnsi="Arial"/>
                <w:sz w:val="19"/>
                <w:szCs w:val="19"/>
                <w:b w:val="1"/>
                <w:bCs w:val="1"/>
                <w:color w:val="auto"/>
              </w:rPr>
              <w:t>Notional</w:t>
            </w: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jc w:val="center"/>
              <w:ind w:right="206"/>
              <w:spacing w:after="0" w:line="216" w:lineRule="exact"/>
              <w:rPr>
                <w:sz w:val="20"/>
                <w:szCs w:val="20"/>
                <w:color w:val="auto"/>
              </w:rPr>
            </w:pPr>
            <w:r>
              <w:rPr>
                <w:rFonts w:ascii="Arial" w:cs="Arial" w:eastAsia="Arial" w:hAnsi="Arial"/>
                <w:sz w:val="19"/>
                <w:szCs w:val="19"/>
                <w:b w:val="1"/>
                <w:bCs w:val="1"/>
                <w:color w:val="auto"/>
                <w:w w:val="94"/>
              </w:rPr>
              <w:t>Strike</w:t>
            </w:r>
          </w:p>
        </w:tc>
      </w:tr>
      <w:tr>
        <w:trPr>
          <w:trHeight w:val="244"/>
        </w:trPr>
        <w:tc>
          <w:tcPr>
            <w:tcW w:w="15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ind w:left="620"/>
              <w:spacing w:after="0"/>
              <w:rPr>
                <w:sz w:val="20"/>
                <w:szCs w:val="20"/>
                <w:color w:val="auto"/>
              </w:rPr>
            </w:pPr>
            <w:r>
              <w:rPr>
                <w:rFonts w:ascii="Arial" w:cs="Arial" w:eastAsia="Arial" w:hAnsi="Arial"/>
                <w:sz w:val="19"/>
                <w:szCs w:val="19"/>
                <w:b w:val="1"/>
                <w:bCs w:val="1"/>
                <w:color w:val="auto"/>
              </w:rPr>
              <w:t>Start Date</w:t>
            </w:r>
          </w:p>
        </w:tc>
        <w:tc>
          <w:tcPr>
            <w:tcW w:w="1340" w:type="dxa"/>
            <w:vAlign w:val="bottom"/>
            <w:tcBorders>
              <w:bottom w:val="single" w:sz="8" w:color="auto"/>
            </w:tcBorders>
          </w:tcPr>
          <w:p>
            <w:pPr>
              <w:ind w:left="340"/>
              <w:spacing w:after="0"/>
              <w:rPr>
                <w:sz w:val="20"/>
                <w:szCs w:val="20"/>
                <w:color w:val="auto"/>
              </w:rPr>
            </w:pPr>
            <w:r>
              <w:rPr>
                <w:rFonts w:ascii="Arial" w:cs="Arial" w:eastAsia="Arial" w:hAnsi="Arial"/>
                <w:sz w:val="19"/>
                <w:szCs w:val="19"/>
                <w:b w:val="1"/>
                <w:bCs w:val="1"/>
                <w:color w:val="auto"/>
              </w:rPr>
              <w:t>End Date</w:t>
            </w:r>
          </w:p>
        </w:tc>
        <w:tc>
          <w:tcPr>
            <w:tcW w:w="2180" w:type="dxa"/>
            <w:vAlign w:val="bottom"/>
            <w:tcBorders>
              <w:bottom w:val="single" w:sz="8" w:color="auto"/>
            </w:tcBorders>
          </w:tcPr>
          <w:p>
            <w:pPr>
              <w:ind w:left="180"/>
              <w:spacing w:after="0"/>
              <w:rPr>
                <w:sz w:val="20"/>
                <w:szCs w:val="20"/>
                <w:color w:val="auto"/>
              </w:rPr>
            </w:pPr>
            <w:r>
              <w:rPr>
                <w:rFonts w:ascii="Arial" w:cs="Arial" w:eastAsia="Arial" w:hAnsi="Arial"/>
                <w:sz w:val="19"/>
                <w:szCs w:val="19"/>
                <w:b w:val="1"/>
                <w:bCs w:val="1"/>
                <w:color w:val="auto"/>
              </w:rPr>
              <w:t>Commodity</w:t>
            </w:r>
          </w:p>
        </w:tc>
        <w:tc>
          <w:tcPr>
            <w:tcW w:w="1540" w:type="dxa"/>
            <w:vAlign w:val="bottom"/>
            <w:tcBorders>
              <w:bottom w:val="single" w:sz="8" w:color="auto"/>
            </w:tcBorders>
          </w:tcPr>
          <w:p>
            <w:pPr>
              <w:jc w:val="right"/>
              <w:ind w:right="266"/>
              <w:spacing w:after="0"/>
              <w:rPr>
                <w:sz w:val="20"/>
                <w:szCs w:val="20"/>
                <w:color w:val="auto"/>
              </w:rPr>
            </w:pPr>
            <w:r>
              <w:rPr>
                <w:rFonts w:ascii="Arial" w:cs="Arial" w:eastAsia="Arial" w:hAnsi="Arial"/>
                <w:sz w:val="19"/>
                <w:szCs w:val="19"/>
                <w:b w:val="1"/>
                <w:bCs w:val="1"/>
                <w:color w:val="auto"/>
              </w:rPr>
              <w:t>Quantity</w:t>
            </w:r>
          </w:p>
        </w:tc>
        <w:tc>
          <w:tcPr>
            <w:tcW w:w="12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206"/>
              <w:spacing w:after="0"/>
              <w:rPr>
                <w:sz w:val="20"/>
                <w:szCs w:val="20"/>
                <w:color w:val="auto"/>
              </w:rPr>
            </w:pPr>
            <w:r>
              <w:rPr>
                <w:rFonts w:ascii="Arial" w:cs="Arial" w:eastAsia="Arial" w:hAnsi="Arial"/>
                <w:sz w:val="19"/>
                <w:szCs w:val="19"/>
                <w:b w:val="1"/>
                <w:bCs w:val="1"/>
                <w:color w:val="auto"/>
                <w:w w:val="90"/>
              </w:rPr>
              <w:t>Price</w:t>
            </w:r>
          </w:p>
        </w:tc>
      </w:tr>
      <w:tr>
        <w:trPr>
          <w:trHeight w:val="208"/>
        </w:trPr>
        <w:tc>
          <w:tcPr>
            <w:tcW w:w="1500" w:type="dxa"/>
            <w:vAlign w:val="bottom"/>
          </w:tcPr>
          <w:p>
            <w:pPr>
              <w:spacing w:after="0" w:line="208" w:lineRule="exact"/>
              <w:rPr>
                <w:sz w:val="20"/>
                <w:szCs w:val="20"/>
                <w:color w:val="auto"/>
              </w:rPr>
            </w:pPr>
            <w:r>
              <w:rPr>
                <w:rFonts w:ascii="Arial" w:cs="Arial" w:eastAsia="Arial" w:hAnsi="Arial"/>
                <w:sz w:val="19"/>
                <w:szCs w:val="19"/>
                <w:b w:val="1"/>
                <w:bCs w:val="1"/>
                <w:color w:val="auto"/>
              </w:rPr>
              <w:t>Contract 1</w:t>
            </w:r>
          </w:p>
        </w:tc>
        <w:tc>
          <w:tcPr>
            <w:tcW w:w="1760" w:type="dxa"/>
            <w:vAlign w:val="bottom"/>
          </w:tcPr>
          <w:p>
            <w:pPr>
              <w:jc w:val="center"/>
              <w:ind w:left="226"/>
              <w:spacing w:after="0" w:line="208" w:lineRule="exact"/>
              <w:rPr>
                <w:sz w:val="20"/>
                <w:szCs w:val="20"/>
                <w:color w:val="auto"/>
              </w:rPr>
            </w:pPr>
            <w:r>
              <w:rPr>
                <w:rFonts w:ascii="Arial" w:cs="Arial" w:eastAsia="Arial" w:hAnsi="Arial"/>
                <w:sz w:val="19"/>
                <w:szCs w:val="19"/>
                <w:color w:val="auto"/>
                <w:w w:val="89"/>
              </w:rPr>
              <w:t>11/1/2019</w:t>
            </w:r>
          </w:p>
        </w:tc>
        <w:tc>
          <w:tcPr>
            <w:tcW w:w="1340" w:type="dxa"/>
            <w:vAlign w:val="bottom"/>
          </w:tcPr>
          <w:p>
            <w:pPr>
              <w:jc w:val="center"/>
              <w:ind w:left="26"/>
              <w:spacing w:after="0" w:line="208" w:lineRule="exact"/>
              <w:rPr>
                <w:sz w:val="20"/>
                <w:szCs w:val="20"/>
                <w:color w:val="auto"/>
              </w:rPr>
            </w:pPr>
            <w:r>
              <w:rPr>
                <w:rFonts w:ascii="Arial" w:cs="Arial" w:eastAsia="Arial" w:hAnsi="Arial"/>
                <w:sz w:val="19"/>
                <w:szCs w:val="19"/>
                <w:color w:val="auto"/>
                <w:w w:val="90"/>
              </w:rPr>
              <w:t>10/31/2022</w:t>
            </w:r>
          </w:p>
        </w:tc>
        <w:tc>
          <w:tcPr>
            <w:tcW w:w="2180" w:type="dxa"/>
            <w:vAlign w:val="bottom"/>
          </w:tcPr>
          <w:p>
            <w:pPr>
              <w:ind w:left="180"/>
              <w:spacing w:after="0" w:line="208" w:lineRule="exact"/>
              <w:rPr>
                <w:sz w:val="20"/>
                <w:szCs w:val="20"/>
                <w:color w:val="auto"/>
              </w:rPr>
            </w:pPr>
            <w:r>
              <w:rPr>
                <w:rFonts w:ascii="Arial" w:cs="Arial" w:eastAsia="Arial" w:hAnsi="Arial"/>
                <w:sz w:val="19"/>
                <w:szCs w:val="19"/>
                <w:color w:val="auto"/>
              </w:rPr>
              <w:t>Crude Oil</w:t>
            </w:r>
          </w:p>
        </w:tc>
        <w:tc>
          <w:tcPr>
            <w:tcW w:w="1540" w:type="dxa"/>
            <w:vAlign w:val="bottom"/>
          </w:tcPr>
          <w:p>
            <w:pPr>
              <w:jc w:val="right"/>
              <w:ind w:right="46"/>
              <w:spacing w:after="0" w:line="208" w:lineRule="exact"/>
              <w:rPr>
                <w:sz w:val="20"/>
                <w:szCs w:val="20"/>
                <w:color w:val="auto"/>
              </w:rPr>
            </w:pPr>
            <w:r>
              <w:rPr>
                <w:rFonts w:ascii="Arial" w:cs="Arial" w:eastAsia="Arial" w:hAnsi="Arial"/>
                <w:sz w:val="19"/>
                <w:szCs w:val="19"/>
                <w:color w:val="auto"/>
              </w:rPr>
              <w:t>378,996</w:t>
            </w:r>
          </w:p>
        </w:tc>
        <w:tc>
          <w:tcPr>
            <w:tcW w:w="1220" w:type="dxa"/>
            <w:vAlign w:val="bottom"/>
          </w:tcPr>
          <w:p>
            <w:pPr>
              <w:ind w:left="120"/>
              <w:spacing w:after="0" w:line="208" w:lineRule="exact"/>
              <w:rPr>
                <w:sz w:val="20"/>
                <w:szCs w:val="20"/>
                <w:color w:val="auto"/>
              </w:rPr>
            </w:pPr>
            <w:r>
              <w:rPr>
                <w:rFonts w:ascii="Arial" w:cs="Arial" w:eastAsia="Arial" w:hAnsi="Arial"/>
                <w:sz w:val="19"/>
                <w:szCs w:val="19"/>
                <w:color w:val="auto"/>
              </w:rPr>
              <w:t>BBL</w:t>
            </w:r>
          </w:p>
        </w:tc>
        <w:tc>
          <w:tcPr>
            <w:tcW w:w="540" w:type="dxa"/>
            <w:vAlign w:val="bottom"/>
          </w:tcPr>
          <w:p>
            <w:pPr>
              <w:jc w:val="right"/>
              <w:spacing w:after="0" w:line="208" w:lineRule="exact"/>
              <w:rPr>
                <w:sz w:val="20"/>
                <w:szCs w:val="20"/>
                <w:color w:val="auto"/>
              </w:rPr>
            </w:pPr>
            <w:r>
              <w:rPr>
                <w:rFonts w:ascii="Arial" w:cs="Arial" w:eastAsia="Arial" w:hAnsi="Arial"/>
                <w:sz w:val="19"/>
                <w:szCs w:val="19"/>
                <w:color w:val="auto"/>
              </w:rPr>
              <w:t>$</w:t>
            </w:r>
          </w:p>
        </w:tc>
        <w:tc>
          <w:tcPr>
            <w:tcW w:w="1160" w:type="dxa"/>
            <w:vAlign w:val="bottom"/>
          </w:tcPr>
          <w:p>
            <w:pPr>
              <w:jc w:val="right"/>
              <w:ind w:right="46"/>
              <w:spacing w:after="0" w:line="208" w:lineRule="exact"/>
              <w:rPr>
                <w:sz w:val="20"/>
                <w:szCs w:val="20"/>
                <w:color w:val="auto"/>
              </w:rPr>
            </w:pPr>
            <w:r>
              <w:rPr>
                <w:rFonts w:ascii="Arial" w:cs="Arial" w:eastAsia="Arial" w:hAnsi="Arial"/>
                <w:sz w:val="19"/>
                <w:szCs w:val="19"/>
                <w:color w:val="auto"/>
              </w:rPr>
              <w:t>51.097</w:t>
            </w:r>
          </w:p>
        </w:tc>
      </w:tr>
      <w:tr>
        <w:trPr>
          <w:trHeight w:val="230"/>
        </w:trPr>
        <w:tc>
          <w:tcPr>
            <w:tcW w:w="1500" w:type="dxa"/>
            <w:vAlign w:val="bottom"/>
          </w:tcPr>
          <w:p>
            <w:pPr>
              <w:spacing w:after="0"/>
              <w:rPr>
                <w:sz w:val="20"/>
                <w:szCs w:val="20"/>
                <w:color w:val="auto"/>
              </w:rPr>
            </w:pPr>
            <w:r>
              <w:rPr>
                <w:rFonts w:ascii="Arial" w:cs="Arial" w:eastAsia="Arial" w:hAnsi="Arial"/>
                <w:sz w:val="19"/>
                <w:szCs w:val="19"/>
                <w:b w:val="1"/>
                <w:bCs w:val="1"/>
                <w:color w:val="auto"/>
              </w:rPr>
              <w:t>Contract 2</w:t>
            </w:r>
          </w:p>
        </w:tc>
        <w:tc>
          <w:tcPr>
            <w:tcW w:w="1760" w:type="dxa"/>
            <w:vAlign w:val="bottom"/>
          </w:tcPr>
          <w:p>
            <w:pPr>
              <w:jc w:val="center"/>
              <w:ind w:left="226"/>
              <w:spacing w:after="0"/>
              <w:rPr>
                <w:sz w:val="20"/>
                <w:szCs w:val="20"/>
                <w:color w:val="auto"/>
              </w:rPr>
            </w:pPr>
            <w:r>
              <w:rPr>
                <w:rFonts w:ascii="Arial" w:cs="Arial" w:eastAsia="Arial" w:hAnsi="Arial"/>
                <w:sz w:val="19"/>
                <w:szCs w:val="19"/>
                <w:color w:val="auto"/>
                <w:w w:val="89"/>
              </w:rPr>
              <w:t>11/1/2019</w:t>
            </w:r>
          </w:p>
        </w:tc>
        <w:tc>
          <w:tcPr>
            <w:tcW w:w="1340" w:type="dxa"/>
            <w:vAlign w:val="bottom"/>
          </w:tcPr>
          <w:p>
            <w:pPr>
              <w:jc w:val="center"/>
              <w:ind w:left="26"/>
              <w:spacing w:after="0"/>
              <w:rPr>
                <w:sz w:val="20"/>
                <w:szCs w:val="20"/>
                <w:color w:val="auto"/>
              </w:rPr>
            </w:pPr>
            <w:r>
              <w:rPr>
                <w:rFonts w:ascii="Arial" w:cs="Arial" w:eastAsia="Arial" w:hAnsi="Arial"/>
                <w:sz w:val="19"/>
                <w:szCs w:val="19"/>
                <w:color w:val="auto"/>
                <w:w w:val="90"/>
              </w:rPr>
              <w:t>10/31/2020</w:t>
            </w:r>
          </w:p>
        </w:tc>
        <w:tc>
          <w:tcPr>
            <w:tcW w:w="2180" w:type="dxa"/>
            <w:vAlign w:val="bottom"/>
          </w:tcPr>
          <w:p>
            <w:pPr>
              <w:ind w:left="180"/>
              <w:spacing w:after="0"/>
              <w:rPr>
                <w:sz w:val="20"/>
                <w:szCs w:val="20"/>
                <w:color w:val="auto"/>
              </w:rPr>
            </w:pPr>
            <w:r>
              <w:rPr>
                <w:rFonts w:ascii="Arial" w:cs="Arial" w:eastAsia="Arial" w:hAnsi="Arial"/>
                <w:sz w:val="19"/>
                <w:szCs w:val="19"/>
                <w:color w:val="auto"/>
              </w:rPr>
              <w:t>Natural Gas</w:t>
            </w:r>
          </w:p>
        </w:tc>
        <w:tc>
          <w:tcPr>
            <w:tcW w:w="1540" w:type="dxa"/>
            <w:vAlign w:val="bottom"/>
          </w:tcPr>
          <w:p>
            <w:pPr>
              <w:jc w:val="right"/>
              <w:ind w:right="46"/>
              <w:spacing w:after="0"/>
              <w:rPr>
                <w:sz w:val="20"/>
                <w:szCs w:val="20"/>
                <w:color w:val="auto"/>
              </w:rPr>
            </w:pPr>
            <w:r>
              <w:rPr>
                <w:rFonts w:ascii="Arial" w:cs="Arial" w:eastAsia="Arial" w:hAnsi="Arial"/>
                <w:sz w:val="19"/>
                <w:szCs w:val="19"/>
                <w:color w:val="auto"/>
              </w:rPr>
              <w:t>1,816,546</w:t>
            </w:r>
          </w:p>
        </w:tc>
        <w:tc>
          <w:tcPr>
            <w:tcW w:w="1220" w:type="dxa"/>
            <w:vAlign w:val="bottom"/>
          </w:tcPr>
          <w:p>
            <w:pPr>
              <w:ind w:left="120"/>
              <w:spacing w:after="0"/>
              <w:rPr>
                <w:sz w:val="20"/>
                <w:szCs w:val="20"/>
                <w:color w:val="auto"/>
              </w:rPr>
            </w:pPr>
            <w:r>
              <w:rPr>
                <w:rFonts w:ascii="Arial" w:cs="Arial" w:eastAsia="Arial" w:hAnsi="Arial"/>
                <w:sz w:val="19"/>
                <w:szCs w:val="19"/>
                <w:color w:val="auto"/>
              </w:rPr>
              <w:t>MMBTU</w:t>
            </w:r>
          </w:p>
        </w:tc>
        <w:tc>
          <w:tcPr>
            <w:tcW w:w="540" w:type="dxa"/>
            <w:vAlign w:val="bottom"/>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ind w:right="46"/>
              <w:spacing w:after="0"/>
              <w:rPr>
                <w:sz w:val="20"/>
                <w:szCs w:val="20"/>
                <w:color w:val="auto"/>
              </w:rPr>
            </w:pPr>
            <w:r>
              <w:rPr>
                <w:rFonts w:ascii="Arial" w:cs="Arial" w:eastAsia="Arial" w:hAnsi="Arial"/>
                <w:sz w:val="19"/>
                <w:szCs w:val="19"/>
                <w:color w:val="auto"/>
              </w:rPr>
              <w:t>2.304</w:t>
            </w:r>
          </w:p>
        </w:tc>
      </w:tr>
      <w:tr>
        <w:trPr>
          <w:trHeight w:val="229"/>
        </w:trPr>
        <w:tc>
          <w:tcPr>
            <w:tcW w:w="1500" w:type="dxa"/>
            <w:vAlign w:val="bottom"/>
          </w:tcPr>
          <w:p>
            <w:pPr>
              <w:spacing w:after="0"/>
              <w:rPr>
                <w:sz w:val="20"/>
                <w:szCs w:val="20"/>
                <w:color w:val="auto"/>
              </w:rPr>
            </w:pPr>
            <w:r>
              <w:rPr>
                <w:rFonts w:ascii="Arial" w:cs="Arial" w:eastAsia="Arial" w:hAnsi="Arial"/>
                <w:sz w:val="19"/>
                <w:szCs w:val="19"/>
                <w:b w:val="1"/>
                <w:bCs w:val="1"/>
                <w:color w:val="auto"/>
              </w:rPr>
              <w:t>Contract 3</w:t>
            </w:r>
          </w:p>
        </w:tc>
        <w:tc>
          <w:tcPr>
            <w:tcW w:w="1760" w:type="dxa"/>
            <w:vAlign w:val="bottom"/>
          </w:tcPr>
          <w:p>
            <w:pPr>
              <w:jc w:val="center"/>
              <w:ind w:left="206"/>
              <w:spacing w:after="0"/>
              <w:rPr>
                <w:sz w:val="20"/>
                <w:szCs w:val="20"/>
                <w:color w:val="auto"/>
              </w:rPr>
            </w:pPr>
            <w:r>
              <w:rPr>
                <w:rFonts w:ascii="Arial" w:cs="Arial" w:eastAsia="Arial" w:hAnsi="Arial"/>
                <w:sz w:val="19"/>
                <w:szCs w:val="19"/>
                <w:color w:val="auto"/>
                <w:w w:val="92"/>
              </w:rPr>
              <w:t>12/1/2019</w:t>
            </w:r>
          </w:p>
        </w:tc>
        <w:tc>
          <w:tcPr>
            <w:tcW w:w="1340" w:type="dxa"/>
            <w:vAlign w:val="bottom"/>
          </w:tcPr>
          <w:p>
            <w:pPr>
              <w:jc w:val="center"/>
              <w:ind w:left="6"/>
              <w:spacing w:after="0"/>
              <w:rPr>
                <w:sz w:val="20"/>
                <w:szCs w:val="20"/>
                <w:color w:val="auto"/>
              </w:rPr>
            </w:pPr>
            <w:r>
              <w:rPr>
                <w:rFonts w:ascii="Arial" w:cs="Arial" w:eastAsia="Arial" w:hAnsi="Arial"/>
                <w:sz w:val="19"/>
                <w:szCs w:val="19"/>
                <w:color w:val="auto"/>
                <w:w w:val="89"/>
              </w:rPr>
              <w:t>3/31/2020</w:t>
            </w:r>
          </w:p>
        </w:tc>
        <w:tc>
          <w:tcPr>
            <w:tcW w:w="2180" w:type="dxa"/>
            <w:vAlign w:val="bottom"/>
          </w:tcPr>
          <w:p>
            <w:pPr>
              <w:ind w:left="180"/>
              <w:spacing w:after="0"/>
              <w:rPr>
                <w:sz w:val="20"/>
                <w:szCs w:val="20"/>
                <w:color w:val="auto"/>
              </w:rPr>
            </w:pPr>
            <w:r>
              <w:rPr>
                <w:rFonts w:ascii="Arial" w:cs="Arial" w:eastAsia="Arial" w:hAnsi="Arial"/>
                <w:sz w:val="19"/>
                <w:szCs w:val="19"/>
                <w:color w:val="auto"/>
              </w:rPr>
              <w:t>Natural Gas</w:t>
            </w:r>
          </w:p>
        </w:tc>
        <w:tc>
          <w:tcPr>
            <w:tcW w:w="1540" w:type="dxa"/>
            <w:vAlign w:val="bottom"/>
          </w:tcPr>
          <w:p>
            <w:pPr>
              <w:jc w:val="right"/>
              <w:ind w:right="46"/>
              <w:spacing w:after="0"/>
              <w:rPr>
                <w:sz w:val="20"/>
                <w:szCs w:val="20"/>
                <w:color w:val="auto"/>
              </w:rPr>
            </w:pPr>
            <w:r>
              <w:rPr>
                <w:rFonts w:ascii="Arial" w:cs="Arial" w:eastAsia="Arial" w:hAnsi="Arial"/>
                <w:sz w:val="19"/>
                <w:szCs w:val="19"/>
                <w:color w:val="auto"/>
              </w:rPr>
              <w:t>976,000</w:t>
            </w:r>
          </w:p>
        </w:tc>
        <w:tc>
          <w:tcPr>
            <w:tcW w:w="1220" w:type="dxa"/>
            <w:vAlign w:val="bottom"/>
          </w:tcPr>
          <w:p>
            <w:pPr>
              <w:ind w:left="120"/>
              <w:spacing w:after="0"/>
              <w:rPr>
                <w:sz w:val="20"/>
                <w:szCs w:val="20"/>
                <w:color w:val="auto"/>
              </w:rPr>
            </w:pPr>
            <w:r>
              <w:rPr>
                <w:rFonts w:ascii="Arial" w:cs="Arial" w:eastAsia="Arial" w:hAnsi="Arial"/>
                <w:sz w:val="19"/>
                <w:szCs w:val="19"/>
                <w:color w:val="auto"/>
              </w:rPr>
              <w:t>MMBTU</w:t>
            </w:r>
          </w:p>
        </w:tc>
        <w:tc>
          <w:tcPr>
            <w:tcW w:w="540" w:type="dxa"/>
            <w:vAlign w:val="bottom"/>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ind w:right="46"/>
              <w:spacing w:after="0"/>
              <w:rPr>
                <w:sz w:val="20"/>
                <w:szCs w:val="20"/>
                <w:color w:val="auto"/>
              </w:rPr>
            </w:pPr>
            <w:r>
              <w:rPr>
                <w:rFonts w:ascii="Arial" w:cs="Arial" w:eastAsia="Arial" w:hAnsi="Arial"/>
                <w:sz w:val="19"/>
                <w:szCs w:val="19"/>
                <w:color w:val="auto"/>
              </w:rPr>
              <w:t>2.556</w:t>
            </w:r>
          </w:p>
        </w:tc>
      </w:tr>
      <w:tr>
        <w:trPr>
          <w:trHeight w:val="229"/>
        </w:trPr>
        <w:tc>
          <w:tcPr>
            <w:tcW w:w="1500" w:type="dxa"/>
            <w:vAlign w:val="bottom"/>
          </w:tcPr>
          <w:p>
            <w:pPr>
              <w:spacing w:after="0"/>
              <w:rPr>
                <w:sz w:val="20"/>
                <w:szCs w:val="20"/>
                <w:color w:val="auto"/>
              </w:rPr>
            </w:pPr>
            <w:r>
              <w:rPr>
                <w:rFonts w:ascii="Arial" w:cs="Arial" w:eastAsia="Arial" w:hAnsi="Arial"/>
                <w:sz w:val="19"/>
                <w:szCs w:val="19"/>
                <w:b w:val="1"/>
                <w:bCs w:val="1"/>
                <w:color w:val="auto"/>
              </w:rPr>
              <w:t>Contract 4</w:t>
            </w:r>
          </w:p>
        </w:tc>
        <w:tc>
          <w:tcPr>
            <w:tcW w:w="1760" w:type="dxa"/>
            <w:vAlign w:val="bottom"/>
          </w:tcPr>
          <w:p>
            <w:pPr>
              <w:jc w:val="center"/>
              <w:ind w:left="226"/>
              <w:spacing w:after="0"/>
              <w:rPr>
                <w:sz w:val="20"/>
                <w:szCs w:val="20"/>
                <w:color w:val="auto"/>
              </w:rPr>
            </w:pPr>
            <w:r>
              <w:rPr>
                <w:rFonts w:ascii="Arial" w:cs="Arial" w:eastAsia="Arial" w:hAnsi="Arial"/>
                <w:sz w:val="19"/>
                <w:szCs w:val="19"/>
                <w:color w:val="auto"/>
                <w:w w:val="89"/>
              </w:rPr>
              <w:t>11/1/2020</w:t>
            </w:r>
          </w:p>
        </w:tc>
        <w:tc>
          <w:tcPr>
            <w:tcW w:w="1340" w:type="dxa"/>
            <w:vAlign w:val="bottom"/>
          </w:tcPr>
          <w:p>
            <w:pPr>
              <w:jc w:val="center"/>
              <w:ind w:left="6"/>
              <w:spacing w:after="0"/>
              <w:rPr>
                <w:sz w:val="20"/>
                <w:szCs w:val="20"/>
                <w:color w:val="auto"/>
              </w:rPr>
            </w:pPr>
            <w:r>
              <w:rPr>
                <w:rFonts w:ascii="Arial" w:cs="Arial" w:eastAsia="Arial" w:hAnsi="Arial"/>
                <w:sz w:val="19"/>
                <w:szCs w:val="19"/>
                <w:color w:val="auto"/>
                <w:w w:val="89"/>
              </w:rPr>
              <w:t>3/31/2021</w:t>
            </w:r>
          </w:p>
        </w:tc>
        <w:tc>
          <w:tcPr>
            <w:tcW w:w="2180" w:type="dxa"/>
            <w:vAlign w:val="bottom"/>
          </w:tcPr>
          <w:p>
            <w:pPr>
              <w:ind w:left="180"/>
              <w:spacing w:after="0"/>
              <w:rPr>
                <w:sz w:val="20"/>
                <w:szCs w:val="20"/>
                <w:color w:val="auto"/>
              </w:rPr>
            </w:pPr>
            <w:r>
              <w:rPr>
                <w:rFonts w:ascii="Arial" w:cs="Arial" w:eastAsia="Arial" w:hAnsi="Arial"/>
                <w:sz w:val="19"/>
                <w:szCs w:val="19"/>
                <w:color w:val="auto"/>
              </w:rPr>
              <w:t>Natural Gas</w:t>
            </w:r>
          </w:p>
        </w:tc>
        <w:tc>
          <w:tcPr>
            <w:tcW w:w="1540" w:type="dxa"/>
            <w:vAlign w:val="bottom"/>
          </w:tcPr>
          <w:p>
            <w:pPr>
              <w:jc w:val="right"/>
              <w:ind w:right="46"/>
              <w:spacing w:after="0"/>
              <w:rPr>
                <w:sz w:val="20"/>
                <w:szCs w:val="20"/>
                <w:color w:val="auto"/>
              </w:rPr>
            </w:pPr>
            <w:r>
              <w:rPr>
                <w:rFonts w:ascii="Arial" w:cs="Arial" w:eastAsia="Arial" w:hAnsi="Arial"/>
                <w:sz w:val="19"/>
                <w:szCs w:val="19"/>
                <w:color w:val="auto"/>
              </w:rPr>
              <w:t>1,208,000</w:t>
            </w:r>
          </w:p>
        </w:tc>
        <w:tc>
          <w:tcPr>
            <w:tcW w:w="1220" w:type="dxa"/>
            <w:vAlign w:val="bottom"/>
          </w:tcPr>
          <w:p>
            <w:pPr>
              <w:ind w:left="120"/>
              <w:spacing w:after="0"/>
              <w:rPr>
                <w:sz w:val="20"/>
                <w:szCs w:val="20"/>
                <w:color w:val="auto"/>
              </w:rPr>
            </w:pPr>
            <w:r>
              <w:rPr>
                <w:rFonts w:ascii="Arial" w:cs="Arial" w:eastAsia="Arial" w:hAnsi="Arial"/>
                <w:sz w:val="19"/>
                <w:szCs w:val="19"/>
                <w:color w:val="auto"/>
              </w:rPr>
              <w:t>MMBTU</w:t>
            </w:r>
          </w:p>
        </w:tc>
        <w:tc>
          <w:tcPr>
            <w:tcW w:w="540" w:type="dxa"/>
            <w:vAlign w:val="bottom"/>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ind w:right="46"/>
              <w:spacing w:after="0"/>
              <w:rPr>
                <w:sz w:val="20"/>
                <w:szCs w:val="20"/>
                <w:color w:val="auto"/>
              </w:rPr>
            </w:pPr>
            <w:r>
              <w:rPr>
                <w:rFonts w:ascii="Arial" w:cs="Arial" w:eastAsia="Arial" w:hAnsi="Arial"/>
                <w:sz w:val="19"/>
                <w:szCs w:val="19"/>
                <w:color w:val="auto"/>
              </w:rPr>
              <w:t>2.601</w:t>
            </w:r>
          </w:p>
        </w:tc>
      </w:tr>
      <w:tr>
        <w:trPr>
          <w:trHeight w:val="230"/>
        </w:trPr>
        <w:tc>
          <w:tcPr>
            <w:tcW w:w="1500" w:type="dxa"/>
            <w:vAlign w:val="bottom"/>
          </w:tcPr>
          <w:p>
            <w:pPr>
              <w:spacing w:after="0"/>
              <w:rPr>
                <w:sz w:val="20"/>
                <w:szCs w:val="20"/>
                <w:color w:val="auto"/>
              </w:rPr>
            </w:pPr>
            <w:r>
              <w:rPr>
                <w:rFonts w:ascii="Arial" w:cs="Arial" w:eastAsia="Arial" w:hAnsi="Arial"/>
                <w:sz w:val="19"/>
                <w:szCs w:val="19"/>
                <w:b w:val="1"/>
                <w:bCs w:val="1"/>
                <w:color w:val="auto"/>
              </w:rPr>
              <w:t>Contract 5</w:t>
            </w:r>
          </w:p>
        </w:tc>
        <w:tc>
          <w:tcPr>
            <w:tcW w:w="1760" w:type="dxa"/>
            <w:vAlign w:val="bottom"/>
          </w:tcPr>
          <w:p>
            <w:pPr>
              <w:jc w:val="center"/>
              <w:ind w:left="206"/>
              <w:spacing w:after="0"/>
              <w:rPr>
                <w:sz w:val="20"/>
                <w:szCs w:val="20"/>
                <w:color w:val="auto"/>
              </w:rPr>
            </w:pPr>
            <w:r>
              <w:rPr>
                <w:rFonts w:ascii="Arial" w:cs="Arial" w:eastAsia="Arial" w:hAnsi="Arial"/>
                <w:sz w:val="19"/>
                <w:szCs w:val="19"/>
                <w:color w:val="auto"/>
                <w:w w:val="89"/>
              </w:rPr>
              <w:t>4/1/2021</w:t>
            </w:r>
          </w:p>
        </w:tc>
        <w:tc>
          <w:tcPr>
            <w:tcW w:w="1340" w:type="dxa"/>
            <w:vAlign w:val="bottom"/>
          </w:tcPr>
          <w:p>
            <w:pPr>
              <w:jc w:val="center"/>
              <w:ind w:left="26"/>
              <w:spacing w:after="0"/>
              <w:rPr>
                <w:sz w:val="20"/>
                <w:szCs w:val="20"/>
                <w:color w:val="auto"/>
              </w:rPr>
            </w:pPr>
            <w:r>
              <w:rPr>
                <w:rFonts w:ascii="Arial" w:cs="Arial" w:eastAsia="Arial" w:hAnsi="Arial"/>
                <w:sz w:val="19"/>
                <w:szCs w:val="19"/>
                <w:color w:val="auto"/>
                <w:w w:val="90"/>
              </w:rPr>
              <w:t>10/31/2022</w:t>
            </w:r>
          </w:p>
        </w:tc>
        <w:tc>
          <w:tcPr>
            <w:tcW w:w="2180" w:type="dxa"/>
            <w:vAlign w:val="bottom"/>
          </w:tcPr>
          <w:p>
            <w:pPr>
              <w:ind w:left="180"/>
              <w:spacing w:after="0"/>
              <w:rPr>
                <w:sz w:val="20"/>
                <w:szCs w:val="20"/>
                <w:color w:val="auto"/>
              </w:rPr>
            </w:pPr>
            <w:r>
              <w:rPr>
                <w:rFonts w:ascii="Arial" w:cs="Arial" w:eastAsia="Arial" w:hAnsi="Arial"/>
                <w:sz w:val="19"/>
                <w:szCs w:val="19"/>
                <w:color w:val="auto"/>
              </w:rPr>
              <w:t>Natural Gas</w:t>
            </w:r>
          </w:p>
        </w:tc>
        <w:tc>
          <w:tcPr>
            <w:tcW w:w="1540" w:type="dxa"/>
            <w:vAlign w:val="bottom"/>
          </w:tcPr>
          <w:p>
            <w:pPr>
              <w:jc w:val="right"/>
              <w:ind w:right="46"/>
              <w:spacing w:after="0"/>
              <w:rPr>
                <w:sz w:val="20"/>
                <w:szCs w:val="20"/>
                <w:color w:val="auto"/>
              </w:rPr>
            </w:pPr>
            <w:r>
              <w:rPr>
                <w:rFonts w:ascii="Arial" w:cs="Arial" w:eastAsia="Arial" w:hAnsi="Arial"/>
                <w:sz w:val="19"/>
                <w:szCs w:val="19"/>
                <w:color w:val="auto"/>
              </w:rPr>
              <w:t>1,679,051</w:t>
            </w:r>
          </w:p>
        </w:tc>
        <w:tc>
          <w:tcPr>
            <w:tcW w:w="1220" w:type="dxa"/>
            <w:vAlign w:val="bottom"/>
          </w:tcPr>
          <w:p>
            <w:pPr>
              <w:ind w:left="120"/>
              <w:spacing w:after="0"/>
              <w:rPr>
                <w:sz w:val="20"/>
                <w:szCs w:val="20"/>
                <w:color w:val="auto"/>
              </w:rPr>
            </w:pPr>
            <w:r>
              <w:rPr>
                <w:rFonts w:ascii="Arial" w:cs="Arial" w:eastAsia="Arial" w:hAnsi="Arial"/>
                <w:sz w:val="19"/>
                <w:szCs w:val="19"/>
                <w:color w:val="auto"/>
              </w:rPr>
              <w:t>MMBTU</w:t>
            </w:r>
          </w:p>
        </w:tc>
        <w:tc>
          <w:tcPr>
            <w:tcW w:w="540" w:type="dxa"/>
            <w:vAlign w:val="bottom"/>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ind w:right="46"/>
              <w:spacing w:after="0"/>
              <w:rPr>
                <w:sz w:val="20"/>
                <w:szCs w:val="20"/>
                <w:color w:val="auto"/>
              </w:rPr>
            </w:pPr>
            <w:r>
              <w:rPr>
                <w:rFonts w:ascii="Arial" w:cs="Arial" w:eastAsia="Arial" w:hAnsi="Arial"/>
                <w:sz w:val="19"/>
                <w:szCs w:val="19"/>
                <w:color w:val="auto"/>
              </w:rPr>
              <w:t>2.367</w:t>
            </w:r>
          </w:p>
        </w:tc>
      </w:tr>
      <w:tr>
        <w:trPr>
          <w:trHeight w:val="229"/>
        </w:trPr>
        <w:tc>
          <w:tcPr>
            <w:tcW w:w="1500" w:type="dxa"/>
            <w:vAlign w:val="bottom"/>
          </w:tcPr>
          <w:p>
            <w:pPr>
              <w:spacing w:after="0"/>
              <w:rPr>
                <w:sz w:val="20"/>
                <w:szCs w:val="20"/>
                <w:color w:val="auto"/>
              </w:rPr>
            </w:pPr>
            <w:r>
              <w:rPr>
                <w:rFonts w:ascii="Arial" w:cs="Arial" w:eastAsia="Arial" w:hAnsi="Arial"/>
                <w:sz w:val="19"/>
                <w:szCs w:val="19"/>
                <w:b w:val="1"/>
                <w:bCs w:val="1"/>
                <w:color w:val="auto"/>
              </w:rPr>
              <w:t>Contract 6</w:t>
            </w:r>
          </w:p>
        </w:tc>
        <w:tc>
          <w:tcPr>
            <w:tcW w:w="1760" w:type="dxa"/>
            <w:vAlign w:val="bottom"/>
          </w:tcPr>
          <w:p>
            <w:pPr>
              <w:jc w:val="center"/>
              <w:ind w:left="226"/>
              <w:spacing w:after="0"/>
              <w:rPr>
                <w:sz w:val="20"/>
                <w:szCs w:val="20"/>
                <w:color w:val="auto"/>
              </w:rPr>
            </w:pPr>
            <w:r>
              <w:rPr>
                <w:rFonts w:ascii="Arial" w:cs="Arial" w:eastAsia="Arial" w:hAnsi="Arial"/>
                <w:sz w:val="19"/>
                <w:szCs w:val="19"/>
                <w:color w:val="auto"/>
                <w:w w:val="89"/>
              </w:rPr>
              <w:t>11/1/2019</w:t>
            </w:r>
          </w:p>
        </w:tc>
        <w:tc>
          <w:tcPr>
            <w:tcW w:w="1340" w:type="dxa"/>
            <w:vAlign w:val="bottom"/>
          </w:tcPr>
          <w:p>
            <w:pPr>
              <w:jc w:val="center"/>
              <w:ind w:left="26"/>
              <w:spacing w:after="0"/>
              <w:rPr>
                <w:sz w:val="20"/>
                <w:szCs w:val="20"/>
                <w:color w:val="auto"/>
              </w:rPr>
            </w:pPr>
            <w:r>
              <w:rPr>
                <w:rFonts w:ascii="Arial" w:cs="Arial" w:eastAsia="Arial" w:hAnsi="Arial"/>
                <w:sz w:val="19"/>
                <w:szCs w:val="19"/>
                <w:color w:val="auto"/>
                <w:w w:val="90"/>
              </w:rPr>
              <w:t>10/31/2022</w:t>
            </w:r>
          </w:p>
        </w:tc>
        <w:tc>
          <w:tcPr>
            <w:tcW w:w="2180" w:type="dxa"/>
            <w:vAlign w:val="bottom"/>
          </w:tcPr>
          <w:p>
            <w:pPr>
              <w:ind w:left="180"/>
              <w:spacing w:after="0"/>
              <w:rPr>
                <w:sz w:val="20"/>
                <w:szCs w:val="20"/>
                <w:color w:val="auto"/>
              </w:rPr>
            </w:pPr>
            <w:r>
              <w:rPr>
                <w:rFonts w:ascii="Arial" w:cs="Arial" w:eastAsia="Arial" w:hAnsi="Arial"/>
                <w:sz w:val="19"/>
                <w:szCs w:val="19"/>
                <w:color w:val="auto"/>
              </w:rPr>
              <w:t>Natural Gas Liquids</w:t>
            </w:r>
          </w:p>
        </w:tc>
        <w:tc>
          <w:tcPr>
            <w:tcW w:w="1540" w:type="dxa"/>
            <w:vAlign w:val="bottom"/>
          </w:tcPr>
          <w:p>
            <w:pPr>
              <w:jc w:val="right"/>
              <w:ind w:right="46"/>
              <w:spacing w:after="0"/>
              <w:rPr>
                <w:sz w:val="20"/>
                <w:szCs w:val="20"/>
                <w:color w:val="auto"/>
              </w:rPr>
            </w:pPr>
            <w:r>
              <w:rPr>
                <w:rFonts w:ascii="Arial" w:cs="Arial" w:eastAsia="Arial" w:hAnsi="Arial"/>
                <w:sz w:val="19"/>
                <w:szCs w:val="19"/>
                <w:color w:val="auto"/>
              </w:rPr>
              <w:t>17,166,450</w:t>
            </w:r>
          </w:p>
        </w:tc>
        <w:tc>
          <w:tcPr>
            <w:tcW w:w="1220" w:type="dxa"/>
            <w:vAlign w:val="bottom"/>
          </w:tcPr>
          <w:p>
            <w:pPr>
              <w:ind w:left="120"/>
              <w:spacing w:after="0"/>
              <w:rPr>
                <w:sz w:val="20"/>
                <w:szCs w:val="20"/>
                <w:color w:val="auto"/>
              </w:rPr>
            </w:pPr>
            <w:r>
              <w:rPr>
                <w:rFonts w:ascii="Arial" w:cs="Arial" w:eastAsia="Arial" w:hAnsi="Arial"/>
                <w:sz w:val="19"/>
                <w:szCs w:val="19"/>
                <w:color w:val="auto"/>
              </w:rPr>
              <w:t>GAL</w:t>
            </w:r>
          </w:p>
        </w:tc>
        <w:tc>
          <w:tcPr>
            <w:tcW w:w="540" w:type="dxa"/>
            <w:vAlign w:val="bottom"/>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ind w:right="46"/>
              <w:spacing w:after="0"/>
              <w:rPr>
                <w:sz w:val="20"/>
                <w:szCs w:val="20"/>
                <w:color w:val="auto"/>
              </w:rPr>
            </w:pPr>
            <w:r>
              <w:rPr>
                <w:rFonts w:ascii="Arial" w:cs="Arial" w:eastAsia="Arial" w:hAnsi="Arial"/>
                <w:sz w:val="19"/>
                <w:szCs w:val="19"/>
                <w:color w:val="auto"/>
              </w:rPr>
              <w:t>0.170</w:t>
            </w:r>
          </w:p>
        </w:tc>
      </w:tr>
      <w:tr>
        <w:trPr>
          <w:trHeight w:val="244"/>
        </w:trPr>
        <w:tc>
          <w:tcPr>
            <w:tcW w:w="15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Contract 7</w:t>
            </w:r>
          </w:p>
        </w:tc>
        <w:tc>
          <w:tcPr>
            <w:tcW w:w="1760" w:type="dxa"/>
            <w:vAlign w:val="bottom"/>
            <w:tcBorders>
              <w:bottom w:val="single" w:sz="8" w:color="auto"/>
            </w:tcBorders>
          </w:tcPr>
          <w:p>
            <w:pPr>
              <w:jc w:val="center"/>
              <w:ind w:left="226"/>
              <w:spacing w:after="0"/>
              <w:rPr>
                <w:sz w:val="20"/>
                <w:szCs w:val="20"/>
                <w:color w:val="auto"/>
              </w:rPr>
            </w:pPr>
            <w:r>
              <w:rPr>
                <w:rFonts w:ascii="Arial" w:cs="Arial" w:eastAsia="Arial" w:hAnsi="Arial"/>
                <w:sz w:val="19"/>
                <w:szCs w:val="19"/>
                <w:color w:val="auto"/>
                <w:w w:val="89"/>
              </w:rPr>
              <w:t>11/1/2019</w:t>
            </w:r>
          </w:p>
        </w:tc>
        <w:tc>
          <w:tcPr>
            <w:tcW w:w="1340" w:type="dxa"/>
            <w:vAlign w:val="bottom"/>
            <w:tcBorders>
              <w:bottom w:val="single" w:sz="8" w:color="auto"/>
            </w:tcBorders>
          </w:tcPr>
          <w:p>
            <w:pPr>
              <w:jc w:val="center"/>
              <w:ind w:left="26"/>
              <w:spacing w:after="0"/>
              <w:rPr>
                <w:sz w:val="20"/>
                <w:szCs w:val="20"/>
                <w:color w:val="auto"/>
              </w:rPr>
            </w:pPr>
            <w:r>
              <w:rPr>
                <w:rFonts w:ascii="Arial" w:cs="Arial" w:eastAsia="Arial" w:hAnsi="Arial"/>
                <w:sz w:val="19"/>
                <w:szCs w:val="19"/>
                <w:color w:val="auto"/>
                <w:w w:val="90"/>
              </w:rPr>
              <w:t>10/31/2022</w:t>
            </w:r>
          </w:p>
        </w:tc>
        <w:tc>
          <w:tcPr>
            <w:tcW w:w="2180" w:type="dxa"/>
            <w:vAlign w:val="bottom"/>
            <w:tcBorders>
              <w:bottom w:val="single" w:sz="8" w:color="auto"/>
            </w:tcBorders>
          </w:tcPr>
          <w:p>
            <w:pPr>
              <w:ind w:left="180"/>
              <w:spacing w:after="0"/>
              <w:rPr>
                <w:sz w:val="20"/>
                <w:szCs w:val="20"/>
                <w:color w:val="auto"/>
              </w:rPr>
            </w:pPr>
            <w:r>
              <w:rPr>
                <w:rFonts w:ascii="Arial" w:cs="Arial" w:eastAsia="Arial" w:hAnsi="Arial"/>
                <w:sz w:val="19"/>
                <w:szCs w:val="19"/>
                <w:color w:val="auto"/>
              </w:rPr>
              <w:t>Natural Gas Liquids</w:t>
            </w:r>
          </w:p>
        </w:tc>
        <w:tc>
          <w:tcPr>
            <w:tcW w:w="154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7,125,846</w:t>
            </w:r>
          </w:p>
        </w:tc>
        <w:tc>
          <w:tcPr>
            <w:tcW w:w="1220" w:type="dxa"/>
            <w:vAlign w:val="bottom"/>
            <w:tcBorders>
              <w:bottom w:val="single" w:sz="8" w:color="auto"/>
            </w:tcBorders>
          </w:tcPr>
          <w:p>
            <w:pPr>
              <w:ind w:left="120"/>
              <w:spacing w:after="0"/>
              <w:rPr>
                <w:sz w:val="20"/>
                <w:szCs w:val="20"/>
                <w:color w:val="auto"/>
              </w:rPr>
            </w:pPr>
            <w:r>
              <w:rPr>
                <w:rFonts w:ascii="Arial" w:cs="Arial" w:eastAsia="Arial" w:hAnsi="Arial"/>
                <w:sz w:val="19"/>
                <w:szCs w:val="19"/>
                <w:color w:val="auto"/>
              </w:rPr>
              <w:t>GAL</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16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0.450</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auto"/>
        </w:rPr>
        <w:t>The facility matures October 16, 2022.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18</w:t>
      </w:r>
    </w:p>
    <w:p>
      <w:pPr>
        <w:sectPr>
          <w:pgSz w:w="11900" w:h="16838" w:orient="portrait"/>
          <w:cols w:equalWidth="0" w:num="1">
            <w:col w:w="11240"/>
          </w:cols>
          <w:pgMar w:left="320" w:top="117"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4"/>
          <w:szCs w:val="14"/>
          <w:b w:val="1"/>
          <w:bCs w:val="1"/>
          <w:color w:val="auto"/>
        </w:rPr>
        <w:t>EXHIBIT 99.5</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Board of Directors and Stockholders</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273" w:lineRule="exact"/>
        <w:rPr>
          <w:sz w:val="20"/>
          <w:szCs w:val="20"/>
          <w:color w:val="auto"/>
        </w:rPr>
      </w:pPr>
    </w:p>
    <w:p>
      <w:pPr>
        <w:ind w:right="140"/>
        <w:spacing w:after="0" w:line="238" w:lineRule="auto"/>
        <w:rPr>
          <w:sz w:val="20"/>
          <w:szCs w:val="20"/>
          <w:color w:val="auto"/>
        </w:rPr>
      </w:pPr>
      <w:r>
        <w:rPr>
          <w:rFonts w:ascii="Arial" w:cs="Arial" w:eastAsia="Arial" w:hAnsi="Arial"/>
          <w:sz w:val="14"/>
          <w:szCs w:val="14"/>
          <w:color w:val="auto"/>
        </w:rPr>
        <w:t>Our audits of the consolidated financial statements and internal control over financial reporting referred to in our reports dated November 17, 2021, (appearing in the accompanying Form 10-K) also included an audit of the senior securities table of PennantPark Investment Corporation and its Subsidiaries (the Company) appearing in Part II, Item 7 in this Form 10-K. This table is the responsibility of the Company’s management. Our responsibility is to express an opinion based on our audits of the consolidated financial statements.</w:t>
      </w:r>
    </w:p>
    <w:p>
      <w:pPr>
        <w:spacing w:after="0" w:line="115" w:lineRule="exact"/>
        <w:rPr>
          <w:sz w:val="20"/>
          <w:szCs w:val="20"/>
          <w:color w:val="auto"/>
        </w:rPr>
      </w:pPr>
    </w:p>
    <w:p>
      <w:pPr>
        <w:ind w:right="240"/>
        <w:spacing w:after="0" w:line="253" w:lineRule="auto"/>
        <w:rPr>
          <w:sz w:val="20"/>
          <w:szCs w:val="20"/>
          <w:color w:val="auto"/>
        </w:rPr>
      </w:pPr>
      <w:r>
        <w:rPr>
          <w:rFonts w:ascii="Arial" w:cs="Arial" w:eastAsia="Arial" w:hAnsi="Arial"/>
          <w:sz w:val="14"/>
          <w:szCs w:val="14"/>
          <w:color w:val="auto"/>
        </w:rPr>
        <w:t>In our opinion, the senior securities table, when considered in relation to the basic consolidated financial statements taken as a whole, presents fairly in all material respects the information set forth therein.</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17, 2021</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F2B15E"/>
    <w:multiLevelType w:val="hybridMultilevel"/>
    <w:lvl w:ilvl="0">
      <w:lvlJc w:val="left"/>
      <w:lvlText w:val="☒"/>
      <w:numFmt w:val="bullet"/>
      <w:start w:val="1"/>
    </w:lvl>
  </w:abstractNum>
  <w:abstractNum w:abstractNumId="1">
    <w:nsid w:val="1A32234B"/>
    <w:multiLevelType w:val="hybridMultilevel"/>
    <w:lvl w:ilvl="0">
      <w:lvlJc w:val="left"/>
      <w:lvlText w:val="☐"/>
      <w:numFmt w:val="bullet"/>
      <w:start w:val="1"/>
    </w:lvl>
  </w:abstractNum>
  <w:abstractNum w:abstractNumId="2">
    <w:nsid w:val="3B0FD379"/>
    <w:multiLevelType w:val="hybridMultilevel"/>
    <w:lvl w:ilvl="0">
      <w:lvlJc w:val="left"/>
      <w:lvlText w:val="•"/>
      <w:numFmt w:val="bullet"/>
      <w:start w:val="1"/>
    </w:lvl>
  </w:abstractNum>
  <w:abstractNum w:abstractNumId="3">
    <w:nsid w:val="68EB2F63"/>
    <w:multiLevelType w:val="hybridMultilevel"/>
    <w:lvl w:ilvl="0">
      <w:lvlJc w:val="left"/>
      <w:lvlText w:val="•"/>
      <w:numFmt w:val="bullet"/>
      <w:start w:val="1"/>
    </w:lvl>
  </w:abstractNum>
  <w:abstractNum w:abstractNumId="4">
    <w:nsid w:val="4962813B"/>
    <w:multiLevelType w:val="hybridMultilevel"/>
    <w:lvl w:ilvl="0">
      <w:lvlJc w:val="left"/>
      <w:lvlText w:val="•"/>
      <w:numFmt w:val="bullet"/>
      <w:start w:val="1"/>
    </w:lvl>
  </w:abstractNum>
  <w:abstractNum w:abstractNumId="5">
    <w:nsid w:val="60B6DF70"/>
    <w:multiLevelType w:val="hybridMultilevel"/>
    <w:lvl w:ilvl="0">
      <w:lvlJc w:val="left"/>
      <w:lvlText w:val="%1)"/>
      <w:numFmt w:val="lowerLetter"/>
      <w:start w:val="1"/>
    </w:lvl>
  </w:abstractNum>
  <w:abstractNum w:abstractNumId="6">
    <w:nsid w:val="6A5EE64"/>
    <w:multiLevelType w:val="hybridMultilevel"/>
    <w:lvl w:ilvl="0">
      <w:lvlJc w:val="left"/>
      <w:lvlText w:val="%1)"/>
      <w:numFmt w:val="lowerLetter"/>
      <w:start w:val="2"/>
    </w:lvl>
  </w:abstractNum>
  <w:abstractNum w:abstractNumId="7">
    <w:nsid w:val="14330624"/>
    <w:multiLevelType w:val="hybridMultilevel"/>
    <w:lvl w:ilvl="0">
      <w:lvlJc w:val="left"/>
      <w:lvlText w:val="•"/>
      <w:numFmt w:val="bullet"/>
      <w:start w:val="1"/>
    </w:lvl>
  </w:abstractNum>
  <w:abstractNum w:abstractNumId="8">
    <w:nsid w:val="7FFFCA11"/>
    <w:multiLevelType w:val="hybridMultilevel"/>
    <w:lvl w:ilvl="0">
      <w:lvlJc w:val="left"/>
      <w:lvlText w:val="%1)"/>
      <w:numFmt w:val="lowerLetter"/>
      <w:start w:val="3"/>
    </w:lvl>
  </w:abstractNum>
  <w:abstractNum w:abstractNumId="9">
    <w:nsid w:val="1A27709E"/>
    <w:multiLevelType w:val="hybridMultilevel"/>
    <w:lvl w:ilvl="0">
      <w:lvlJc w:val="left"/>
      <w:lvlText w:val="%1)"/>
      <w:numFmt w:val="lowerLetter"/>
      <w:start w:val="4"/>
    </w:lvl>
  </w:abstractNum>
  <w:abstractNum w:abstractNumId="10">
    <w:nsid w:val="71EA1109"/>
    <w:multiLevelType w:val="hybridMultilevel"/>
    <w:lvl w:ilvl="0">
      <w:lvlJc w:val="left"/>
      <w:lvlText w:val="%1)"/>
      <w:numFmt w:val="lowerLetter"/>
      <w:start w:val="1"/>
    </w:lvl>
  </w:abstractNum>
  <w:abstractNum w:abstractNumId="11">
    <w:nsid w:val="100F59DC"/>
    <w:multiLevelType w:val="hybridMultilevel"/>
    <w:lvl w:ilvl="0">
      <w:lvlJc w:val="left"/>
      <w:lvlText w:val="%1)"/>
      <w:numFmt w:val="lowerLetter"/>
      <w:start w:val="2"/>
    </w:lvl>
  </w:abstractNum>
  <w:abstractNum w:abstractNumId="12">
    <w:nsid w:val="7FB7E0AA"/>
    <w:multiLevelType w:val="hybridMultilevel"/>
    <w:lvl w:ilvl="0">
      <w:lvlJc w:val="left"/>
      <w:lvlText w:val="%1)"/>
      <w:numFmt w:val="lowerLetter"/>
      <w:start w:val="3"/>
    </w:lvl>
  </w:abstractNum>
  <w:abstractNum w:abstractNumId="13">
    <w:nsid w:val="6EB5BD4"/>
    <w:multiLevelType w:val="hybridMultilevel"/>
    <w:lvl w:ilvl="0">
      <w:lvlJc w:val="left"/>
      <w:lvlText w:val="%1)"/>
      <w:numFmt w:val="lowerLetter"/>
      <w:start w:val="4"/>
    </w:lvl>
  </w:abstractNum>
  <w:abstractNum w:abstractNumId="14">
    <w:nsid w:val="6F6DD9AC"/>
    <w:multiLevelType w:val="hybridMultilevel"/>
    <w:lvl w:ilvl="0">
      <w:lvlJc w:val="left"/>
      <w:lvlText w:val="%1)"/>
      <w:numFmt w:val="lowerLetter"/>
      <w:start w:val="5"/>
    </w:lvl>
  </w:abstractNum>
  <w:abstractNum w:abstractNumId="15">
    <w:nsid w:val="94211F2"/>
    <w:multiLevelType w:val="hybridMultilevel"/>
    <w:lvl w:ilvl="0">
      <w:lvlJc w:val="left"/>
      <w:lvlText w:val="%1)"/>
      <w:numFmt w:val="lowerLetter"/>
      <w:start w:val="6"/>
    </w:lvl>
  </w:abstractNum>
  <w:abstractNum w:abstractNumId="16">
    <w:nsid w:val="885E1B"/>
    <w:multiLevelType w:val="hybridMultilevel"/>
    <w:lvl w:ilvl="0">
      <w:lvlJc w:val="left"/>
      <w:lvlText w:val="•"/>
      <w:numFmt w:val="bullet"/>
      <w:start w:val="1"/>
    </w:lvl>
  </w:abstractNum>
  <w:abstractNum w:abstractNumId="17">
    <w:nsid w:val="76272110"/>
    <w:multiLevelType w:val="hybridMultilevel"/>
    <w:lvl w:ilvl="0">
      <w:lvlJc w:val="left"/>
      <w:lvlText w:val="•"/>
      <w:numFmt w:val="bullet"/>
      <w:start w:val="1"/>
    </w:lvl>
  </w:abstractNum>
  <w:abstractNum w:abstractNumId="18">
    <w:nsid w:val="4C04A8AF"/>
    <w:multiLevelType w:val="hybridMultilevel"/>
    <w:lvl w:ilvl="0">
      <w:lvlJc w:val="left"/>
      <w:lvlText w:val="•"/>
      <w:numFmt w:val="bullet"/>
      <w:start w:val="1"/>
    </w:lvl>
  </w:abstractNum>
  <w:abstractNum w:abstractNumId="19">
    <w:nsid w:val="1716703B"/>
    <w:multiLevelType w:val="hybridMultilevel"/>
    <w:lvl w:ilvl="0">
      <w:lvlJc w:val="left"/>
      <w:lvlText w:val="(%1)"/>
      <w:numFmt w:val="decimal"/>
      <w:start w:val="4"/>
    </w:lvl>
  </w:abstractNum>
  <w:abstractNum w:abstractNumId="20">
    <w:nsid w:val="14E17E33"/>
    <w:multiLevelType w:val="hybridMultilevel"/>
    <w:lvl w:ilvl="0">
      <w:lvlJc w:val="left"/>
      <w:lvlText w:val="•"/>
      <w:numFmt w:val="bullet"/>
      <w:start w:val="1"/>
    </w:lvl>
  </w:abstractNum>
  <w:abstractNum w:abstractNumId="21">
    <w:nsid w:val="3222E7CD"/>
    <w:multiLevelType w:val="hybridMultilevel"/>
    <w:lvl w:ilvl="0">
      <w:lvlJc w:val="left"/>
      <w:lvlText w:val="(%1)"/>
      <w:numFmt w:val="decimal"/>
      <w:start w:val="1"/>
    </w:lvl>
  </w:abstractNum>
  <w:abstractNum w:abstractNumId="22">
    <w:nsid w:val="74DE0EE3"/>
    <w:multiLevelType w:val="hybridMultilevel"/>
    <w:lvl w:ilvl="0">
      <w:lvlJc w:val="left"/>
      <w:lvlText w:val="•"/>
      <w:numFmt w:val="bullet"/>
      <w:start w:val="1"/>
    </w:lvl>
  </w:abstractNum>
  <w:abstractNum w:abstractNumId="23">
    <w:nsid w:val="68EBC550"/>
    <w:multiLevelType w:val="hybridMultilevel"/>
    <w:lvl w:ilvl="0">
      <w:lvlJc w:val="left"/>
      <w:lvlText w:val="(%1)"/>
      <w:numFmt w:val="decimal"/>
      <w:start w:val="1"/>
    </w:lvl>
  </w:abstractNum>
  <w:abstractNum w:abstractNumId="24">
    <w:nsid w:val="2DF6D648"/>
    <w:multiLevelType w:val="hybridMultilevel"/>
    <w:lvl w:ilvl="0">
      <w:lvlJc w:val="left"/>
      <w:lvlText w:val="="/>
      <w:numFmt w:val="bullet"/>
      <w:start w:val="1"/>
    </w:lvl>
  </w:abstractNum>
  <w:abstractNum w:abstractNumId="25">
    <w:nsid w:val="46B7D447"/>
    <w:multiLevelType w:val="hybridMultilevel"/>
    <w:lvl w:ilvl="0">
      <w:lvlJc w:val="left"/>
      <w:lvlText w:val="*"/>
      <w:numFmt w:val="bullet"/>
      <w:start w:val="1"/>
    </w:lvl>
    <w:lvl w:ilvl="1">
      <w:lvlJc w:val="left"/>
      <w:lvlText w:val="="/>
      <w:numFmt w:val="bullet"/>
      <w:start w:val="1"/>
    </w:lvl>
  </w:abstractNum>
  <w:abstractNum w:abstractNumId="26">
    <w:nsid w:val="4A2AC315"/>
    <w:multiLevelType w:val="hybridMultilevel"/>
    <w:lvl w:ilvl="0">
      <w:lvlJc w:val="left"/>
      <w:lvlText w:val="(%1)"/>
      <w:numFmt w:val="decimal"/>
      <w:start w:val="1"/>
    </w:lvl>
  </w:abstractNum>
  <w:abstractNum w:abstractNumId="27">
    <w:nsid w:val="39EE015C"/>
    <w:multiLevelType w:val="hybridMultilevel"/>
    <w:lvl w:ilvl="0">
      <w:lvlJc w:val="left"/>
      <w:lvlText w:val="="/>
      <w:numFmt w:val="bullet"/>
      <w:start w:val="1"/>
    </w:lvl>
  </w:abstractNum>
  <w:abstractNum w:abstractNumId="28">
    <w:nsid w:val="57FC4FBB"/>
    <w:multiLevelType w:val="hybridMultilevel"/>
    <w:lvl w:ilvl="0">
      <w:lvlJc w:val="left"/>
      <w:lvlText w:val="="/>
      <w:numFmt w:val="bullet"/>
      <w:start w:val="1"/>
    </w:lvl>
  </w:abstractNum>
  <w:abstractNum w:abstractNumId="29">
    <w:nsid w:val="CC1016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0">
    <w:nsid w:val="43F18422"/>
    <w:multiLevelType w:val="hybridMultilevel"/>
    <w:lvl w:ilvl="0">
      <w:lvlJc w:val="left"/>
      <w:lvlText w:val="(%1)"/>
      <w:numFmt w:val="decimal"/>
      <w:start w:val="3"/>
    </w:lvl>
  </w:abstractNum>
  <w:abstractNum w:abstractNumId="31">
    <w:nsid w:val="60EF0119"/>
    <w:multiLevelType w:val="hybridMultilevel"/>
    <w:lvl w:ilvl="0">
      <w:lvlJc w:val="left"/>
      <w:lvlText w:val="•"/>
      <w:numFmt w:val="bullet"/>
      <w:start w:val="1"/>
    </w:lvl>
  </w:abstractNum>
  <w:abstractNum w:abstractNumId="32">
    <w:nsid w:val="26F324BA"/>
    <w:multiLevelType w:val="hybridMultilevel"/>
    <w:lvl w:ilvl="0">
      <w:lvlJc w:val="left"/>
      <w:lvlText w:val="•"/>
      <w:numFmt w:val="bullet"/>
      <w:start w:val="1"/>
    </w:lvl>
  </w:abstractNum>
  <w:abstractNum w:abstractNumId="33">
    <w:nsid w:val="7F01579B"/>
    <w:multiLevelType w:val="hybridMultilevel"/>
    <w:lvl w:ilvl="0">
      <w:lvlJc w:val="left"/>
      <w:lvlText w:val="%1)"/>
      <w:numFmt w:val="decimal"/>
      <w:start w:val="1"/>
    </w:lvl>
  </w:abstractNum>
  <w:abstractNum w:abstractNumId="34">
    <w:nsid w:val="49DA307D"/>
    <w:multiLevelType w:val="hybridMultilevel"/>
    <w:lvl w:ilvl="0">
      <w:lvlJc w:val="left"/>
      <w:lvlText w:val="%1)"/>
      <w:numFmt w:val="decimal"/>
      <w:start w:val="2"/>
    </w:lvl>
  </w:abstractNum>
  <w:abstractNum w:abstractNumId="35">
    <w:nsid w:val="7055A5F5"/>
    <w:multiLevelType w:val="hybridMultilevel"/>
    <w:lvl w:ilvl="0">
      <w:lvlJc w:val="left"/>
      <w:lvlText w:val="(%1)"/>
      <w:numFmt w:val="decimal"/>
      <w:start w:val="2"/>
    </w:lvl>
  </w:abstractNum>
  <w:abstractNum w:abstractNumId="36">
    <w:nsid w:val="5FB8370B"/>
    <w:multiLevelType w:val="hybridMultilevel"/>
    <w:lvl w:ilvl="0">
      <w:lvlJc w:val="left"/>
      <w:lvlText w:val="%1"/>
      <w:numFmt w:val="upperLetter"/>
      <w:start w:val="35"/>
    </w:lvl>
  </w:abstractNum>
  <w:abstractNum w:abstractNumId="37">
    <w:nsid w:val="50801EE1"/>
    <w:multiLevelType w:val="hybridMultilevel"/>
    <w:lvl w:ilvl="0">
      <w:lvlJc w:val="left"/>
      <w:lvlText w:val="•"/>
      <w:numFmt w:val="bullet"/>
      <w:start w:val="1"/>
    </w:lvl>
  </w:abstractNum>
  <w:abstractNum w:abstractNumId="38">
    <w:nsid w:val="488AC1A"/>
    <w:multiLevelType w:val="hybridMultilevel"/>
    <w:lvl w:ilvl="0">
      <w:lvlJc w:val="left"/>
      <w:lvlText w:val="•"/>
      <w:numFmt w:val="bullet"/>
      <w:start w:val="1"/>
    </w:lvl>
  </w:abstractNum>
  <w:abstractNum w:abstractNumId="39">
    <w:nsid w:val="5FB8011C"/>
    <w:multiLevelType w:val="hybridMultilevel"/>
    <w:lvl w:ilvl="0">
      <w:lvlJc w:val="left"/>
      <w:lvlText w:val="•"/>
      <w:numFmt w:val="bullet"/>
      <w:start w:val="1"/>
    </w:lvl>
  </w:abstractNum>
  <w:abstractNum w:abstractNumId="40">
    <w:nsid w:val="6AA78F7F"/>
    <w:multiLevelType w:val="hybridMultilevel"/>
    <w:lvl w:ilvl="0">
      <w:lvlJc w:val="left"/>
      <w:lvlText w:val="•"/>
      <w:numFmt w:val="bullet"/>
      <w:start w:val="1"/>
    </w:lvl>
  </w:abstractNum>
  <w:abstractNum w:abstractNumId="41">
    <w:nsid w:val="7672BD23"/>
    <w:multiLevelType w:val="hybridMultilevel"/>
    <w:lvl w:ilvl="0">
      <w:lvlJc w:val="left"/>
      <w:lvlText w:val="(%1)"/>
      <w:numFmt w:val="decimal"/>
      <w:start w:val="1"/>
    </w:lvl>
  </w:abstractNum>
  <w:abstractNum w:abstractNumId="42">
    <w:nsid w:val="6FC75AF8"/>
    <w:multiLevelType w:val="hybridMultilevel"/>
    <w:lvl w:ilvl="0">
      <w:lvlJc w:val="left"/>
      <w:lvlText w:val="•"/>
      <w:numFmt w:val="bullet"/>
      <w:start w:val="1"/>
    </w:lvl>
  </w:abstractNum>
  <w:abstractNum w:abstractNumId="43">
    <w:nsid w:val="6A5F7029"/>
    <w:multiLevelType w:val="hybridMultilevel"/>
    <w:lvl w:ilvl="0">
      <w:lvlJc w:val="left"/>
      <w:lvlText w:val="%1."/>
      <w:numFmt w:val="decimal"/>
      <w:start w:val="1"/>
    </w:lvl>
  </w:abstractNum>
  <w:abstractNum w:abstractNumId="44">
    <w:nsid w:val="7D5E18F8"/>
    <w:multiLevelType w:val="hybridMultilevel"/>
    <w:lvl w:ilvl="0">
      <w:lvlJc w:val="left"/>
      <w:lvlText w:val="•"/>
      <w:numFmt w:val="bullet"/>
      <w:start w:val="1"/>
    </w:lvl>
  </w:abstractNum>
  <w:abstractNum w:abstractNumId="45">
    <w:nsid w:val="5F3534A4"/>
    <w:multiLevelType w:val="hybridMultilevel"/>
    <w:lvl w:ilvl="0">
      <w:lvlJc w:val="left"/>
      <w:lvlText w:val="•"/>
      <w:numFmt w:val="bullet"/>
      <w:start w:val="1"/>
    </w:lvl>
  </w:abstractNum>
  <w:abstractNum w:abstractNumId="46">
    <w:nsid w:val="73A1821B"/>
    <w:multiLevelType w:val="hybridMultilevel"/>
    <w:lvl w:ilvl="0">
      <w:lvlJc w:val="left"/>
      <w:lvlText w:val="•"/>
      <w:numFmt w:val="bullet"/>
      <w:start w:val="1"/>
    </w:lvl>
  </w:abstractNum>
  <w:abstractNum w:abstractNumId="47">
    <w:nsid w:val="7DE67713"/>
    <w:multiLevelType w:val="hybridMultilevel"/>
    <w:lvl w:ilvl="0">
      <w:lvlJc w:val="left"/>
      <w:lvlText w:val="•"/>
      <w:numFmt w:val="bullet"/>
      <w:start w:val="1"/>
    </w:lvl>
  </w:abstractNum>
  <w:abstractNum w:abstractNumId="48">
    <w:nsid w:val="555C55B5"/>
    <w:multiLevelType w:val="hybridMultilevel"/>
    <w:lvl w:ilvl="0">
      <w:lvlJc w:val="left"/>
      <w:lvlText w:val="•"/>
      <w:numFmt w:val="bullet"/>
      <w:start w:val="1"/>
    </w:lvl>
  </w:abstractNum>
  <w:abstractNum w:abstractNumId="49">
    <w:nsid w:val="3FA62ACA"/>
    <w:multiLevelType w:val="hybridMultilevel"/>
    <w:lvl w:ilvl="0">
      <w:lvlJc w:val="left"/>
      <w:lvlText w:val="•"/>
      <w:numFmt w:val="bullet"/>
      <w:start w:val="1"/>
    </w:lvl>
  </w:abstractNum>
  <w:abstractNum w:abstractNumId="50">
    <w:nsid w:val="14FCE74E"/>
    <w:multiLevelType w:val="hybridMultilevel"/>
    <w:lvl w:ilvl="0">
      <w:lvlJc w:val="left"/>
      <w:lvlText w:val="(%1)"/>
      <w:numFmt w:val="decimal"/>
      <w:start w:val="1"/>
    </w:lvl>
  </w:abstractNum>
  <w:abstractNum w:abstractNumId="51">
    <w:nsid w:val="6A3DD3E8"/>
    <w:multiLevelType w:val="hybridMultilevel"/>
    <w:lvl w:ilvl="0">
      <w:lvlJc w:val="left"/>
      <w:lvlText w:val="(%1)"/>
      <w:numFmt w:val="decimal"/>
      <w:start w:val="1"/>
    </w:lvl>
  </w:abstractNum>
  <w:abstractNum w:abstractNumId="52">
    <w:nsid w:val="71C91298"/>
    <w:multiLevelType w:val="hybridMultilevel"/>
    <w:lvl w:ilvl="0">
      <w:lvlJc w:val="left"/>
      <w:lvlText w:val="•"/>
      <w:numFmt w:val="bullet"/>
      <w:start w:val="1"/>
    </w:lvl>
  </w:abstractNum>
  <w:abstractNum w:abstractNumId="53">
    <w:nsid w:val="9DAF632"/>
    <w:multiLevelType w:val="hybridMultilevel"/>
    <w:lvl w:ilvl="0">
      <w:lvlJc w:val="left"/>
      <w:lvlText w:val="•"/>
      <w:numFmt w:val="bullet"/>
      <w:start w:val="1"/>
    </w:lvl>
  </w:abstractNum>
  <w:abstractNum w:abstractNumId="54">
    <w:nsid w:val="53299938"/>
    <w:multiLevelType w:val="hybridMultilevel"/>
    <w:lvl w:ilvl="0">
      <w:lvlJc w:val="left"/>
      <w:lvlText w:val="*"/>
      <w:numFmt w:val="bullet"/>
      <w:start w:val="1"/>
    </w:lvl>
  </w:abstractNum>
  <w:abstractNum w:abstractNumId="55">
    <w:nsid w:val="1FBFE8E0"/>
    <w:multiLevelType w:val="hybridMultilevel"/>
    <w:lvl w:ilvl="0">
      <w:lvlJc w:val="left"/>
      <w:lvlText w:val="(%1)"/>
      <w:numFmt w:val="decimal"/>
      <w:start w:val="1"/>
    </w:lvl>
  </w:abstractNum>
  <w:abstractNum w:abstractNumId="56">
    <w:nsid w:val="5092CA79"/>
    <w:multiLevelType w:val="hybridMultilevel"/>
    <w:lvl w:ilvl="0">
      <w:lvlJc w:val="left"/>
      <w:lvlText w:val="%1."/>
      <w:numFmt w:val="decimal"/>
      <w:start w:val="1"/>
    </w:lvl>
  </w:abstractNum>
  <w:abstractNum w:abstractNumId="57">
    <w:nsid w:val="1D545C4D"/>
    <w:multiLevelType w:val="hybridMultilevel"/>
    <w:lvl w:ilvl="0">
      <w:lvlJc w:val="left"/>
      <w:lvlText w:val="(%1)"/>
      <w:numFmt w:val="decimal"/>
      <w:start w:val="1"/>
    </w:lvl>
  </w:abstractNum>
  <w:abstractNum w:abstractNumId="58">
    <w:nsid w:val="59ADEA3D"/>
    <w:multiLevelType w:val="hybridMultilevel"/>
    <w:lvl w:ilvl="0">
      <w:lvlJc w:val="left"/>
      <w:lvlText w:val="(%1)"/>
      <w:numFmt w:val="decimal"/>
      <w:start w:val="1"/>
    </w:lvl>
  </w:abstractNum>
  <w:abstractNum w:abstractNumId="59">
    <w:nsid w:val="288F1A34"/>
    <w:multiLevelType w:val="hybridMultilevel"/>
    <w:lvl w:ilvl="0">
      <w:lvlJc w:val="left"/>
      <w:lvlText w:val="(%1)"/>
      <w:numFmt w:val="decimal"/>
      <w:start w:val="1"/>
    </w:lvl>
  </w:abstractNum>
  <w:abstractNum w:abstractNumId="60">
    <w:nsid w:val="2A155DBC"/>
    <w:multiLevelType w:val="hybridMultilevel"/>
    <w:lvl w:ilvl="0">
      <w:lvlJc w:val="left"/>
      <w:lvlText w:val="(%1)"/>
      <w:numFmt w:val="decimal"/>
      <w:start w:val="1"/>
    </w:lvl>
  </w:abstractNum>
  <w:abstractNum w:abstractNumId="61">
    <w:nsid w:val="1D9F6E5F"/>
    <w:multiLevelType w:val="hybridMultilevel"/>
    <w:lvl w:ilvl="0">
      <w:lvlJc w:val="left"/>
      <w:lvlText w:val="(%1)"/>
      <w:numFmt w:val="decimal"/>
      <w:start w:val="1"/>
    </w:lvl>
  </w:abstractNum>
  <w:abstractNum w:abstractNumId="62">
    <w:nsid w:val="97E1B4E"/>
    <w:multiLevelType w:val="hybridMultilevel"/>
    <w:lvl w:ilvl="0">
      <w:lvlJc w:val="left"/>
      <w:lvlText w:val="(%1)"/>
      <w:numFmt w:val="decimal"/>
      <w:start w:val="1"/>
    </w:lvl>
  </w:abstractNum>
  <w:abstractNum w:abstractNumId="63">
    <w:nsid w:val="51088277"/>
    <w:multiLevelType w:val="hybridMultilevel"/>
    <w:lvl w:ilvl="0">
      <w:lvlJc w:val="left"/>
      <w:lvlText w:val="•"/>
      <w:numFmt w:val="bullet"/>
      <w:start w:val="1"/>
    </w:lvl>
  </w:abstractNum>
  <w:abstractNum w:abstractNumId="64">
    <w:nsid w:val="1CA0C5FA"/>
    <w:multiLevelType w:val="hybridMultilevel"/>
    <w:lvl w:ilvl="0">
      <w:lvlJc w:val="left"/>
      <w:lvlText w:val="(%1)"/>
      <w:numFmt w:val="decimal"/>
      <w:start w:val="1"/>
    </w:lvl>
  </w:abstractNum>
  <w:abstractNum w:abstractNumId="65">
    <w:nsid w:val="53584BCB"/>
    <w:multiLevelType w:val="hybridMultilevel"/>
    <w:lvl w:ilvl="0">
      <w:lvlJc w:val="left"/>
      <w:lvlText w:val="(%1)"/>
      <w:numFmt w:val="decimal"/>
      <w:start w:val="1"/>
    </w:lvl>
  </w:abstractNum>
  <w:abstractNum w:abstractNumId="66">
    <w:nsid w:val="415E286C"/>
    <w:multiLevelType w:val="hybridMultilevel"/>
    <w:lvl w:ilvl="0">
      <w:lvlJc w:val="left"/>
      <w:lvlText w:val="(%1)"/>
      <w:numFmt w:val="decimal"/>
      <w:start w:val="1"/>
    </w:lvl>
  </w:abstractNum>
  <w:abstractNum w:abstractNumId="67">
    <w:nsid w:val="7C58FD05"/>
    <w:multiLevelType w:val="hybridMultilevel"/>
    <w:lvl w:ilvl="0">
      <w:lvlJc w:val="left"/>
      <w:lvlText w:val="(%1)"/>
      <w:numFmt w:val="decimal"/>
      <w:start w:val="5"/>
    </w:lvl>
  </w:abstractNum>
  <w:abstractNum w:abstractNumId="68">
    <w:nsid w:val="23D86AAC"/>
    <w:multiLevelType w:val="hybridMultilevel"/>
    <w:lvl w:ilvl="0">
      <w:lvlJc w:val="left"/>
      <w:lvlText w:val="(%1)"/>
      <w:numFmt w:val="lowerLetter"/>
      <w:start w:val="1"/>
    </w:lvl>
  </w:abstractNum>
  <w:abstractNum w:abstractNumId="69">
    <w:nsid w:val="45E6D486"/>
    <w:multiLevelType w:val="hybridMultilevel"/>
    <w:lvl w:ilvl="0">
      <w:lvlJc w:val="left"/>
      <w:lvlText w:val="(%1)"/>
      <w:numFmt w:val="decimal"/>
      <w:start w:val="1"/>
    </w:lvl>
  </w:abstractNum>
  <w:abstractNum w:abstractNumId="70">
    <w:nsid w:val="5C10FE21"/>
    <w:multiLevelType w:val="hybridMultilevel"/>
    <w:lvl w:ilvl="0">
      <w:lvlJc w:val="left"/>
      <w:lvlText w:val="(%1)"/>
      <w:numFmt w:val="lowerLetter"/>
      <w:start w:val="2"/>
    </w:lvl>
  </w:abstractNum>
  <w:abstractNum w:abstractNumId="71">
    <w:nsid w:val="E7FFA2B"/>
    <w:multiLevelType w:val="hybridMultilevel"/>
    <w:lvl w:ilvl="0">
      <w:lvlJc w:val="left"/>
      <w:lvlText w:val="(%1)"/>
      <w:numFmt w:val="lowerLetter"/>
      <w:start w:val="3"/>
    </w:lvl>
  </w:abstractNum>
  <w:abstractNum w:abstractNumId="72">
    <w:nsid w:val="3C5991AA"/>
    <w:multiLevelType w:val="hybridMultilevel"/>
    <w:lvl w:ilvl="0">
      <w:lvlJc w:val="left"/>
      <w:lvlText w:val="(%1)"/>
      <w:numFmt w:val="lowerLetter"/>
      <w:start w:val="4"/>
    </w:lvl>
  </w:abstractNum>
  <w:abstractNum w:abstractNumId="73">
    <w:nsid w:val="4BD8591A"/>
    <w:multiLevelType w:val="hybridMultilevel"/>
    <w:lvl w:ilvl="0">
      <w:lvlJc w:val="left"/>
      <w:lvlText w:val="(%1)"/>
      <w:numFmt w:val="lowerLetter"/>
      <w:start w:val="5"/>
    </w:lvl>
  </w:abstractNum>
  <w:abstractNum w:abstractNumId="74">
    <w:nsid w:val="78DF6A55"/>
    <w:multiLevelType w:val="hybridMultilevel"/>
    <w:lvl w:ilvl="0">
      <w:lvlJc w:val="left"/>
      <w:lvlText w:val="%1."/>
      <w:numFmt w:val="decimal"/>
      <w:start w:val="1"/>
    </w:lvl>
  </w:abstractNum>
  <w:abstractNum w:abstractNumId="75">
    <w:nsid w:val="39B7AAA2"/>
    <w:multiLevelType w:val="hybridMultilevel"/>
    <w:lvl w:ilvl="0">
      <w:lvlJc w:val="left"/>
      <w:lvlText w:val="(%1)"/>
      <w:numFmt w:val="lowerLetter"/>
      <w:start w:val="6"/>
    </w:lvl>
  </w:abstractNum>
  <w:abstractNum w:abstractNumId="76">
    <w:nsid w:val="2B0D8DBE"/>
    <w:multiLevelType w:val="hybridMultilevel"/>
    <w:lvl w:ilvl="0">
      <w:lvlJc w:val="left"/>
      <w:lvlText w:val="(%1)"/>
      <w:numFmt w:val="lowerLetter"/>
      <w:start w:val="7"/>
    </w:lvl>
  </w:abstractNum>
  <w:abstractNum w:abstractNumId="77">
    <w:nsid w:val="6C80EC70"/>
    <w:multiLevelType w:val="hybridMultilevel"/>
    <w:lvl w:ilvl="0">
      <w:lvlJc w:val="left"/>
      <w:lvlText w:val="(%1)"/>
      <w:numFmt w:val="lowerLetter"/>
      <w:start w:val="8"/>
    </w:lvl>
  </w:abstractNum>
  <w:abstractNum w:abstractNumId="78">
    <w:nsid w:val="379E21B5"/>
    <w:multiLevelType w:val="hybridMultilevel"/>
    <w:lvl w:ilvl="0">
      <w:lvlJc w:val="left"/>
      <w:lvlText w:val="(%1)"/>
      <w:numFmt w:val="decimal"/>
      <w:start w:val="1"/>
    </w:lvl>
  </w:abstractNum>
  <w:abstractNum w:abstractNumId="79">
    <w:nsid w:val="69E373"/>
    <w:multiLevelType w:val="hybridMultilevel"/>
    <w:lvl w:ilvl="0">
      <w:lvlJc w:val="left"/>
      <w:lvlText w:val="(%1)"/>
      <w:numFmt w:val="decimal"/>
      <w:start w:val="1"/>
    </w:lvl>
  </w:abstractNum>
  <w:abstractNum w:abstractNumId="80">
    <w:nsid w:val="2C27173B"/>
    <w:multiLevelType w:val="hybridMultilevel"/>
    <w:lvl w:ilvl="0">
      <w:lvlJc w:val="left"/>
      <w:lvlText w:val="(%1)"/>
      <w:numFmt w:val="decimal"/>
      <w:start w:val="1"/>
    </w:lvl>
  </w:abstractNum>
  <w:abstractNum w:abstractNumId="81">
    <w:nsid w:val="4C9B0904"/>
    <w:multiLevelType w:val="hybridMultilevel"/>
    <w:lvl w:ilvl="0">
      <w:lvlJc w:val="left"/>
      <w:lvlText w:val="(%1)"/>
      <w:numFmt w:val="decimal"/>
      <w:start w:val="1"/>
    </w:lvl>
  </w:abstractNum>
  <w:abstractNum w:abstractNumId="82">
    <w:nsid w:val="6AA7B75C"/>
    <w:multiLevelType w:val="hybridMultilevel"/>
    <w:lvl w:ilvl="0">
      <w:lvlJc w:val="left"/>
      <w:lvlText w:val="(%1)"/>
      <w:numFmt w:val="decimal"/>
      <w:start w:val="1"/>
    </w:lvl>
  </w:abstractNum>
  <w:abstractNum w:abstractNumId="83">
    <w:nsid w:val="1DF029D3"/>
    <w:multiLevelType w:val="hybridMultilevel"/>
    <w:lvl w:ilvl="0">
      <w:lvlJc w:val="left"/>
      <w:lvlText w:val="(%1)"/>
      <w:numFmt w:val="decimal"/>
      <w:start w:val="1"/>
    </w:lvl>
  </w:abstractNum>
  <w:abstractNum w:abstractNumId="84">
    <w:nsid w:val="5675FF36"/>
    <w:multiLevelType w:val="hybridMultilevel"/>
    <w:lvl w:ilvl="0">
      <w:lvlJc w:val="left"/>
      <w:lvlText w:val="(%1)"/>
      <w:numFmt w:val="decimal"/>
      <w:start w:val="3"/>
    </w:lvl>
  </w:abstractNum>
  <w:abstractNum w:abstractNumId="85">
    <w:nsid w:val="3DD15094"/>
    <w:multiLevelType w:val="hybridMultilevel"/>
    <w:lvl w:ilvl="0">
      <w:lvlJc w:val="left"/>
      <w:lvlText w:val="(%1)"/>
      <w:numFmt w:val="decimal"/>
      <w:start w:val="1"/>
    </w:lvl>
  </w:abstractNum>
  <w:abstractNum w:abstractNumId="86">
    <w:nsid w:val="3DB012B3"/>
    <w:multiLevelType w:val="hybridMultilevel"/>
    <w:lvl w:ilvl="0">
      <w:lvlJc w:val="left"/>
      <w:lvlText w:val="(%1)"/>
      <w:numFmt w:val="decimal"/>
      <w:start w:val="3"/>
    </w:lvl>
  </w:abstractNum>
  <w:abstractNum w:abstractNumId="87">
    <w:nsid w:val="2708C9AF"/>
    <w:multiLevelType w:val="hybridMultilevel"/>
    <w:lvl w:ilvl="0">
      <w:lvlJc w:val="left"/>
      <w:lvlText w:val="(%1)"/>
      <w:numFmt w:val="decimal"/>
      <w:start w:val="1"/>
    </w:lvl>
  </w:abstractNum>
  <w:abstractNum w:abstractNumId="88">
    <w:nsid w:val="5B25ACE2"/>
    <w:multiLevelType w:val="hybridMultilevel"/>
    <w:lvl w:ilvl="0">
      <w:lvlJc w:val="left"/>
      <w:lvlText w:val="(%1)"/>
      <w:numFmt w:val="decimal"/>
      <w:start w:val="1"/>
    </w:lvl>
  </w:abstractNum>
  <w:abstractNum w:abstractNumId="89">
    <w:nsid w:val="175DFCF0"/>
    <w:multiLevelType w:val="hybridMultilevel"/>
    <w:lvl w:ilvl="0">
      <w:lvlJc w:val="left"/>
      <w:lvlText w:val="*"/>
      <w:numFmt w:val="bullet"/>
      <w:start w:val="1"/>
    </w:lvl>
  </w:abstractNum>
  <w:abstractNum w:abstractNumId="90">
    <w:nsid w:val="4F97E3E4"/>
    <w:multiLevelType w:val="hybridMultilevel"/>
    <w:lvl w:ilvl="0">
      <w:lvlJc w:val="left"/>
      <w:lvlText w:val="(%1)"/>
      <w:numFmt w:val="decimal"/>
      <w:start w:val="1"/>
    </w:lvl>
  </w:abstractNum>
  <w:abstractNum w:abstractNumId="91">
    <w:nsid w:val="53B0A9E"/>
    <w:multiLevelType w:val="hybridMultilevel"/>
    <w:lvl w:ilvl="0">
      <w:lvlJc w:val="left"/>
      <w:lvlText w:val="(%1)"/>
      <w:numFmt w:val="decimal"/>
      <w:start w:val="1"/>
    </w:lvl>
  </w:abstractNum>
  <w:abstractNum w:abstractNumId="92">
    <w:nsid w:val="34FD6B4F"/>
    <w:multiLevelType w:val="hybridMultilevel"/>
    <w:lvl w:ilvl="0">
      <w:lvlJc w:val="left"/>
      <w:lvlText w:val="(%1)"/>
      <w:numFmt w:val="decimal"/>
      <w:start w:val="1"/>
    </w:lvl>
  </w:abstractNum>
  <w:abstractNum w:abstractNumId="93">
    <w:nsid w:val="5915FF32"/>
    <w:multiLevelType w:val="hybridMultilevel"/>
    <w:lvl w:ilvl="0">
      <w:lvlJc w:val="left"/>
      <w:lvlText w:val="(%1)"/>
      <w:numFmt w:val="decimal"/>
      <w:start w:val="1"/>
    </w:lvl>
  </w:abstractNum>
  <w:abstractNum w:abstractNumId="94">
    <w:nsid w:val="56438D15"/>
    <w:multiLevelType w:val="hybridMultilevel"/>
    <w:lvl w:ilvl="0">
      <w:lvlJc w:val="left"/>
      <w:lvlText w:val="*"/>
      <w:numFmt w:val="bullet"/>
      <w:start w:val="1"/>
    </w:lvl>
  </w:abstractNum>
  <w:abstractNum w:abstractNumId="95">
    <w:nsid w:val="519E3149"/>
    <w:multiLevelType w:val="hybridMultilevel"/>
    <w:lvl w:ilvl="0">
      <w:lvlJc w:val="left"/>
      <w:lvlText w:val="(%1)"/>
      <w:numFmt w:val="upperLetter"/>
      <w:start w:val="1"/>
    </w:lvl>
  </w:abstractNum>
  <w:abstractNum w:abstractNumId="96">
    <w:nsid w:val="2C6E4AFD"/>
    <w:multiLevelType w:val="hybridMultilevel"/>
    <w:lvl w:ilvl="0">
      <w:lvlJc w:val="left"/>
      <w:lvlText w:val="(%1)"/>
      <w:numFmt w:val="upperLetter"/>
      <w:start w:val="11"/>
    </w:lvl>
  </w:abstractNum>
  <w:abstractNum w:abstractNumId="97">
    <w:nsid w:val="17A1B582"/>
    <w:multiLevelType w:val="hybridMultilevel"/>
    <w:lvl w:ilvl="0">
      <w:lvlJc w:val="left"/>
      <w:lvlText w:val="(%1)"/>
      <w:numFmt w:val="lowerRoman"/>
      <w:start w:val="1"/>
    </w:lvl>
  </w:abstractNum>
  <w:abstractNum w:abstractNumId="98">
    <w:nsid w:val="4DF72E4E"/>
    <w:multiLevelType w:val="hybridMultilevel"/>
    <w:lvl w:ilvl="0">
      <w:lvlJc w:val="left"/>
      <w:lvlText w:val="(%1)"/>
      <w:numFmt w:val="upperLetter"/>
      <w:start w:val="1"/>
    </w:lvl>
  </w:abstractNum>
  <w:abstractNum w:abstractNumId="99">
    <w:nsid w:val="5046B5A9"/>
    <w:multiLevelType w:val="hybridMultilevel"/>
    <w:lvl w:ilvl="0">
      <w:lvlJc w:val="left"/>
      <w:lvlText w:val="(%1)"/>
      <w:numFmt w:val="upperLetter"/>
      <w:start w:val="1"/>
    </w:lvl>
  </w:abstractNum>
  <w:abstractNum w:abstractNumId="100">
    <w:nsid w:val="5D888A08"/>
    <w:multiLevelType w:val="hybridMultilevel"/>
    <w:lvl w:ilvl="0">
      <w:lvlJc w:val="left"/>
      <w:lvlText w:val="(%1)"/>
      <w:numFmt w:val="upperLetter"/>
      <w:start w:val="2"/>
    </w:lvl>
  </w:abstractNum>
  <w:abstractNum w:abstractNumId="101">
    <w:nsid w:val="2A082C70"/>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abstractNum>
  <w:abstractNum w:abstractNumId="102">
    <w:nsid w:val="5EC6AFD4"/>
    <w:multiLevelType w:val="hybridMultilevel"/>
    <w:lvl w:ilvl="0">
      <w:lvlJc w:val="left"/>
      <w:lvlText w:val="%1"/>
      <w:numFmt w:val="upperLetter"/>
      <w:start w:val="1"/>
    </w:lvl>
    <w:lvl w:ilvl="1">
      <w:lvlJc w:val="left"/>
      <w:lvlText w:val="(%2)"/>
      <w:numFmt w:val="decimal"/>
      <w:start w:val="2"/>
    </w:lvl>
    <w:lvl w:ilvl="2">
      <w:lvlJc w:val="left"/>
      <w:lvlText w:val="(%3)"/>
      <w:numFmt w:val="decimal"/>
      <w:start w:val="3"/>
    </w:lvl>
  </w:abstractNum>
  <w:abstractNum w:abstractNumId="103">
    <w:nsid w:val="19E21BB2"/>
    <w:multiLevelType w:val="hybridMultilevel"/>
    <w:lvl w:ilvl="0">
      <w:lvlJc w:val="left"/>
      <w:lvlText w:val="(%1)"/>
      <w:numFmt w:val="upperLetter"/>
      <w:start w:val="3"/>
    </w:lvl>
    <w:lvl w:ilvl="1">
      <w:lvlJc w:val="left"/>
      <w:lvlText w:val="%2"/>
      <w:numFmt w:val="decimal"/>
      <w:start w:val="1"/>
    </w:lvl>
    <w:lvl w:ilvl="2">
      <w:lvlJc w:val="left"/>
      <w:lvlText w:val="%3"/>
      <w:numFmt w:val="decimal"/>
      <w:start w:val="1"/>
    </w:lvl>
  </w:abstractNum>
  <w:abstractNum w:abstractNumId="104">
    <w:nsid w:val="75E0858A"/>
    <w:multiLevelType w:val="hybridMultilevel"/>
    <w:lvl w:ilvl="0">
      <w:lvlJc w:val="left"/>
      <w:lvlText w:val="(%1)"/>
      <w:numFmt w:val="upperLetter"/>
      <w:start w:val="4"/>
    </w:lvl>
  </w:abstractNum>
  <w:abstractNum w:abstractNumId="105">
    <w:nsid w:val="57A61A29"/>
    <w:multiLevelType w:val="hybridMultilevel"/>
    <w:lvl w:ilvl="0">
      <w:lvlJc w:val="left"/>
      <w:lvlText w:val="(%1)"/>
      <w:numFmt w:val="upperLetter"/>
      <w:start w:val="5"/>
    </w:lvl>
  </w:abstractNum>
  <w:abstractNum w:abstractNumId="106">
    <w:nsid w:val="5399C654"/>
    <w:multiLevelType w:val="hybridMultilevel"/>
    <w:lvl w:ilvl="0">
      <w:lvlJc w:val="left"/>
      <w:lvlText w:val="%1"/>
      <w:numFmt w:val="upperLetter"/>
      <w:start w:val="1"/>
    </w:lvl>
    <w:lvl w:ilvl="1">
      <w:lvlJc w:val="left"/>
      <w:lvlText w:val="(%2)"/>
      <w:numFmt w:val="decimal"/>
      <w:start w:val="1"/>
    </w:lvl>
  </w:abstractNum>
  <w:abstractNum w:abstractNumId="107">
    <w:nsid w:val="20EE1348"/>
    <w:multiLevelType w:val="hybridMultilevel"/>
    <w:lvl w:ilvl="0">
      <w:lvlJc w:val="left"/>
      <w:lvlText w:val="(%1)"/>
      <w:numFmt w:val="upperLetter"/>
      <w:start w:val="6"/>
    </w:lvl>
    <w:lvl w:ilvl="1">
      <w:lvlJc w:val="left"/>
      <w:lvlText w:val="%2"/>
      <w:numFmt w:val="decimal"/>
      <w:start w:val="1"/>
    </w:lvl>
  </w:abstractNum>
  <w:abstractNum w:abstractNumId="108">
    <w:nsid w:val="4427069A"/>
    <w:multiLevelType w:val="hybridMultilevel"/>
    <w:lvl w:ilvl="0">
      <w:lvlJc w:val="left"/>
      <w:lvlText w:val="(%1)"/>
      <w:numFmt w:val="upperLetter"/>
      <w:start w:val="7"/>
    </w:lvl>
  </w:abstractNum>
  <w:abstractNum w:abstractNumId="109">
    <w:nsid w:val="B37E80A"/>
    <w:multiLevelType w:val="hybridMultilevel"/>
    <w:lvl w:ilvl="0">
      <w:lvlJc w:val="left"/>
      <w:lvlText w:val="(%1)"/>
      <w:numFmt w:val="upperLetter"/>
      <w:start w:val="8"/>
    </w:lvl>
  </w:abstractNum>
  <w:abstractNum w:abstractNumId="110">
    <w:nsid w:val="2157F6BC"/>
    <w:multiLevelType w:val="hybridMultilevel"/>
    <w:lvl w:ilvl="0">
      <w:lvlJc w:val="left"/>
      <w:lvlText w:val="(%1)"/>
      <w:numFmt w:val="upperLetter"/>
      <w:start w:val="9"/>
    </w:lvl>
  </w:abstractNum>
  <w:abstractNum w:abstractNumId="111">
    <w:nsid w:val="704E1DD5"/>
    <w:multiLevelType w:val="hybridMultilevel"/>
    <w:lvl w:ilvl="0">
      <w:lvlJc w:val="left"/>
      <w:lvlText w:val="(%1)"/>
      <w:numFmt w:val="upperLetter"/>
      <w:start w:val="1"/>
    </w:lvl>
  </w:abstractNum>
  <w:abstractNum w:abstractNumId="112">
    <w:nsid w:val="57D2F10E"/>
    <w:multiLevelType w:val="hybridMultilevel"/>
    <w:lvl w:ilvl="0">
      <w:lvlJc w:val="left"/>
      <w:lvlText w:val="(%1)"/>
      <w:numFmt w:val="upperLetter"/>
      <w:start w:val="2"/>
    </w:lvl>
  </w:abstractNum>
  <w:abstractNum w:abstractNumId="113">
    <w:nsid w:val="BFFAE18"/>
    <w:multiLevelType w:val="hybridMultilevel"/>
    <w:lvl w:ilvl="0">
      <w:lvlJc w:val="left"/>
      <w:lvlText w:val="(%1)"/>
      <w:numFmt w:val="upperLetter"/>
      <w:start w:val="3"/>
    </w:lvl>
  </w:abstractNum>
  <w:abstractNum w:abstractNumId="114">
    <w:nsid w:val="E3E47A8"/>
    <w:multiLevelType w:val="hybridMultilevel"/>
    <w:lvl w:ilvl="0">
      <w:lvlJc w:val="left"/>
      <w:lvlText w:val="(%1)"/>
      <w:numFmt w:val="upperLetter"/>
      <w:start w:val="1"/>
    </w:lvl>
    <w:lvl w:ilvl="1">
      <w:lvlJc w:val="left"/>
      <w:lvlText w:val="(%2)"/>
      <w:numFmt w:val="decimal"/>
      <w:start w:val="1"/>
    </w:lvl>
  </w:abstractNum>
  <w:abstractNum w:abstractNumId="115">
    <w:nsid w:val="2E48F044"/>
    <w:multiLevelType w:val="hybridMultilevel"/>
    <w:lvl w:ilvl="0">
      <w:lvlJc w:val="left"/>
      <w:lvlText w:val="(%1)"/>
      <w:numFmt w:val="upperLetter"/>
      <w:start w:val="5"/>
    </w:lvl>
  </w:abstractNum>
  <w:abstractNum w:abstractNumId="116">
    <w:nsid w:val="49D0FEAC"/>
    <w:multiLevelType w:val="hybridMultilevel"/>
    <w:lvl w:ilvl="0">
      <w:lvlJc w:val="left"/>
      <w:lvlText w:val="(%1)"/>
      <w:numFmt w:val="upperLetter"/>
      <w:start w:val="1"/>
    </w:lvl>
  </w:abstractNum>
  <w:abstractNum w:abstractNumId="117">
    <w:nsid w:val="4BEE5A5B"/>
    <w:multiLevelType w:val="hybridMultilevel"/>
    <w:lvl w:ilvl="0">
      <w:lvlJc w:val="left"/>
      <w:lvlText w:val="(%1)"/>
      <w:numFmt w:val="upperLetter"/>
      <w:start w:val="2"/>
    </w:lvl>
  </w:abstractNum>
  <w:abstractNum w:abstractNumId="118">
    <w:nsid w:val="5551B9F3"/>
    <w:multiLevelType w:val="hybridMultilevel"/>
    <w:lvl w:ilvl="0">
      <w:lvlJc w:val="left"/>
      <w:lvlText w:val="(%1)"/>
      <w:numFmt w:val="upperLetter"/>
      <w:start w:val="1"/>
    </w:lvl>
    <w:lvl w:ilvl="1">
      <w:lvlJc w:val="left"/>
      <w:lvlText w:val="(%2)"/>
      <w:numFmt w:val="decimal"/>
      <w:start w:val="1"/>
    </w:lvl>
    <w:lvl w:ilvl="2">
      <w:lvlJc w:val="left"/>
      <w:lvlText w:val="(%3)"/>
      <w:numFmt w:val="decimal"/>
      <w:start w:val="3"/>
    </w:lvl>
  </w:abstractNum>
  <w:abstractNum w:abstractNumId="119">
    <w:nsid w:val="24F6AB8E"/>
    <w:multiLevelType w:val="hybridMultilevel"/>
    <w:lvl w:ilvl="0">
      <w:lvlJc w:val="left"/>
      <w:lvlText w:val="(%1)"/>
      <w:numFmt w:val="decimal"/>
      <w:start w:val="4"/>
    </w:lvl>
  </w:abstractNum>
  <w:abstractNum w:abstractNumId="120">
    <w:nsid w:val="634C574C"/>
    <w:multiLevelType w:val="hybridMultilevel"/>
    <w:lvl w:ilvl="0">
      <w:lvlJc w:val="left"/>
      <w:lvlText w:val="(%1)"/>
      <w:numFmt w:val="upperLetter"/>
      <w:start w:val="3"/>
    </w:lvl>
  </w:abstractNum>
  <w:abstractNum w:abstractNumId="121">
    <w:nsid w:val="24E99DD7"/>
    <w:multiLevelType w:val="hybridMultilevel"/>
    <w:lvl w:ilvl="0">
      <w:lvlJc w:val="left"/>
      <w:lvlText w:val="(%1)"/>
      <w:numFmt w:val="decimal"/>
      <w:start w:val="1"/>
    </w:lvl>
  </w:abstractNum>
  <w:abstractNum w:abstractNumId="122">
    <w:nsid w:val="2A31B62D"/>
    <w:multiLevelType w:val="hybridMultilevel"/>
    <w:lvl w:ilvl="0">
      <w:lvlJc w:val="left"/>
      <w:lvlText w:val="(%1)"/>
      <w:numFmt w:val="decimal"/>
      <w:start w:val="1"/>
    </w:lvl>
  </w:abstractNum>
  <w:abstractNum w:abstractNumId="123">
    <w:nsid w:val="1849C29B"/>
    <w:multiLevelType w:val="hybridMultilevel"/>
    <w:lvl w:ilvl="0">
      <w:lvlJc w:val="left"/>
      <w:lvlText w:val="%1."/>
      <w:numFmt w:val="decimal"/>
      <w:start w:val="1"/>
    </w:lvl>
    <w:lvl w:ilvl="1">
      <w:lvlJc w:val="left"/>
      <w:lvlText w:val="%2)"/>
      <w:numFmt w:val="lowerLetter"/>
      <w:start w:val="1"/>
    </w:lvl>
  </w:abstractNum>
  <w:abstractNum w:abstractNumId="124">
    <w:nsid w:val="7DFF9D09"/>
    <w:multiLevelType w:val="hybridMultilevel"/>
    <w:lvl w:ilvl="0">
      <w:lvlJc w:val="left"/>
      <w:lvlText w:val="%1."/>
      <w:numFmt w:val="decimal"/>
      <w:start w:val="1"/>
    </w:lvl>
    <w:lvl w:ilvl="1">
      <w:lvlJc w:val="left"/>
      <w:lvlText w:val="%2)"/>
      <w:numFmt w:val="lowerLetter"/>
      <w:start w:val="1"/>
    </w:lvl>
  </w:abstractNum>
  <w:abstractNum w:abstractNumId="125">
    <w:nsid w:val="754342"/>
    <w:multiLevelType w:val="hybridMultilevel"/>
    <w:lvl w:ilvl="0">
      <w:lvlJc w:val="left"/>
      <w:lvlText w:val="(%1)"/>
      <w:numFmt w:val="decimal"/>
      <w:start w:val="1"/>
    </w:lvl>
  </w:abstractNum>
  <w:abstractNum w:abstractNumId="126">
    <w:nsid w:val="69E7F3E5"/>
    <w:multiLevelType w:val="hybridMultilevel"/>
    <w:lvl w:ilvl="0">
      <w:lvlJc w:val="left"/>
      <w:lvlText w:val="(%1)"/>
      <w:numFmt w:val="decimal"/>
      <w:start w:val="1"/>
    </w:lvl>
  </w:abstractNum>
  <w:abstractNum w:abstractNumId="127">
    <w:nsid w:val="2A6DE806"/>
    <w:multiLevelType w:val="hybridMultilevel"/>
    <w:lvl w:ilvl="0">
      <w:lvlJc w:val="left"/>
      <w:lvlText w:val="•"/>
      <w:numFmt w:val="bullet"/>
      <w:start w:val="1"/>
    </w:lvl>
  </w:abstractNum>
  <w:abstractNum w:abstractNumId="128">
    <w:nsid w:val="1816F8C4"/>
    <w:multiLevelType w:val="hybridMultilevel"/>
    <w:lvl w:ilvl="0">
      <w:lvlJc w:val="left"/>
      <w:lvlText w:val="•"/>
      <w:numFmt w:val="bullet"/>
      <w:start w:val="1"/>
    </w:lvl>
  </w:abstractNum>
  <w:abstractNum w:abstractNumId="129">
    <w:nsid w:val="37DF2233"/>
    <w:multiLevelType w:val="hybridMultilevel"/>
    <w:lvl w:ilvl="0">
      <w:lvlJc w:val="left"/>
      <w:lvlText w:val="%1."/>
      <w:numFmt w:val="decimal"/>
      <w:start w:val="1"/>
    </w:lvl>
  </w:abstractNum>
  <w:abstractNum w:abstractNumId="130">
    <w:nsid w:val="7AB49DAF"/>
    <w:multiLevelType w:val="hybridMultilevel"/>
    <w:lvl w:ilvl="0">
      <w:lvlJc w:val="left"/>
      <w:lvlText w:val="%1."/>
      <w:numFmt w:val="decimal"/>
      <w:start w:val="2"/>
    </w:lvl>
  </w:abstractNum>
  <w:abstractNum w:abstractNumId="131">
    <w:nsid w:val="759F82CD"/>
    <w:multiLevelType w:val="hybridMultilevel"/>
    <w:lvl w:ilvl="0">
      <w:lvlJc w:val="left"/>
      <w:lvlText w:val="%1."/>
      <w:numFmt w:val="decimal"/>
      <w:start w:val="3"/>
    </w:lvl>
  </w:abstractNum>
  <w:abstractNum w:abstractNumId="132">
    <w:nsid w:val="61E74EA3"/>
    <w:multiLevelType w:val="hybridMultilevel"/>
    <w:lvl w:ilvl="0">
      <w:lvlJc w:val="left"/>
      <w:lvlText w:val="%1)"/>
      <w:numFmt w:val="decimal"/>
      <w:start w:val="1"/>
    </w:lvl>
  </w:abstractNum>
  <w:abstractNum w:abstractNumId="133">
    <w:nsid w:val="597B4D84"/>
    <w:multiLevelType w:val="hybridMultilevel"/>
    <w:lvl w:ilvl="0">
      <w:lvlJc w:val="left"/>
      <w:lvlText w:val="%1."/>
      <w:numFmt w:val="decimal"/>
      <w:start w:val="4"/>
    </w:lvl>
  </w:abstractNum>
  <w:abstractNum w:abstractNumId="134">
    <w:nsid w:val="F819E7F"/>
    <w:multiLevelType w:val="hybridMultilevel"/>
    <w:lvl w:ilvl="0">
      <w:lvlJc w:val="left"/>
      <w:lvlText w:val="%1."/>
      <w:numFmt w:val="decimal"/>
      <w:start w:val="5"/>
    </w:lvl>
  </w:abstractNum>
  <w:abstractNum w:abstractNumId="135">
    <w:nsid w:val="57C7D42D"/>
    <w:multiLevelType w:val="hybridMultilevel"/>
    <w:lvl w:ilvl="0">
      <w:lvlJc w:val="left"/>
      <w:lvlText w:val="%1."/>
      <w:numFmt w:val="decimal"/>
      <w:start w:val="6"/>
    </w:lvl>
  </w:abstractNum>
  <w:abstractNum w:abstractNumId="136">
    <w:nsid w:val="312167AD"/>
    <w:multiLevelType w:val="hybridMultilevel"/>
    <w:lvl w:ilvl="0">
      <w:lvlJc w:val="left"/>
      <w:lvlText w:val="%1."/>
      <w:numFmt w:val="decimal"/>
      <w:start w:val="8"/>
    </w:lvl>
  </w:abstractNum>
  <w:abstractNum w:abstractNumId="137">
    <w:nsid w:val="631B64D4"/>
    <w:multiLevelType w:val="hybridMultilevel"/>
    <w:lvl w:ilvl="0">
      <w:lvlJc w:val="left"/>
      <w:lvlText w:val="%1."/>
      <w:numFmt w:val="decimal"/>
      <w:start w:val="9"/>
    </w:lvl>
  </w:abstractNum>
  <w:abstractNum w:abstractNumId="138">
    <w:nsid w:val="78B5E776"/>
    <w:multiLevelType w:val="hybridMultilevel"/>
    <w:lvl w:ilvl="0">
      <w:lvlJc w:val="left"/>
      <w:lvlText w:val="%1."/>
      <w:numFmt w:val="decimal"/>
      <w:start w:val="1"/>
    </w:lvl>
  </w:abstractNum>
  <w:abstractNum w:abstractNumId="139">
    <w:nsid w:val="75486E47"/>
    <w:multiLevelType w:val="hybridMultilevel"/>
    <w:lvl w:ilvl="0">
      <w:lvlJc w:val="left"/>
      <w:lvlText w:val="%1."/>
      <w:numFmt w:val="decimal"/>
      <w:start w:val="2"/>
    </w:lvl>
  </w:abstractNum>
  <w:abstractNum w:abstractNumId="140">
    <w:nsid w:val="6E534CDE"/>
    <w:multiLevelType w:val="hybridMultilevel"/>
    <w:lvl w:ilvl="0">
      <w:lvlJc w:val="left"/>
      <w:lvlText w:val="%1."/>
      <w:numFmt w:val="decimal"/>
      <w:start w:val="3"/>
    </w:lvl>
  </w:abstractNum>
  <w:abstractNum w:abstractNumId="141">
    <w:nsid w:val="1A0DDE32"/>
    <w:multiLevelType w:val="hybridMultilevel"/>
    <w:lvl w:ilvl="0">
      <w:lvlJc w:val="left"/>
      <w:lvlText w:val="%1."/>
      <w:numFmt w:val="decimal"/>
      <w:start w:val="4"/>
    </w:lvl>
  </w:abstractNum>
  <w:abstractNum w:abstractNumId="142">
    <w:nsid w:val="65968C1C"/>
    <w:multiLevelType w:val="hybridMultilevel"/>
    <w:lvl w:ilvl="0">
      <w:lvlJc w:val="left"/>
      <w:lvlText w:val="%1."/>
      <w:numFmt w:val="decimal"/>
      <w:start w:val="5"/>
    </w:lvl>
  </w:abstractNum>
  <w:abstractNum w:abstractNumId="143">
    <w:nsid w:val="46263DEC"/>
    <w:multiLevelType w:val="hybridMultilevel"/>
    <w:lvl w:ilvl="0">
      <w:lvlJc w:val="left"/>
      <w:lvlText w:val="%1."/>
      <w:numFmt w:val="decimal"/>
      <w:start w:val="6"/>
    </w:lvl>
  </w:abstractNum>
  <w:abstractNum w:abstractNumId="144">
    <w:nsid w:val="260D8C4A"/>
    <w:multiLevelType w:val="hybridMultilevel"/>
    <w:lvl w:ilvl="0">
      <w:lvlJc w:val="left"/>
      <w:lvlText w:val="%1."/>
      <w:numFmt w:val="decimal"/>
      <w:start w:val="7"/>
    </w:lvl>
  </w:abstractNum>
  <w:abstractNum w:abstractNumId="145">
    <w:nsid w:val="73D4D3C4"/>
    <w:multiLevelType w:val="hybridMultilevel"/>
    <w:lvl w:ilvl="0">
      <w:lvlJc w:val="left"/>
      <w:lvlText w:val="%1."/>
      <w:numFmt w:val="decimal"/>
      <w:start w:val="8"/>
    </w:lvl>
  </w:abstractNum>
  <w:abstractNum w:abstractNumId="146">
    <w:nsid w:val="746F2E30"/>
    <w:multiLevelType w:val="hybridMultilevel"/>
    <w:lvl w:ilvl="0">
      <w:lvlJc w:val="left"/>
      <w:lvlText w:val="%1."/>
      <w:numFmt w:val="decimal"/>
      <w:start w:val="9"/>
    </w:lvl>
  </w:abstractNum>
  <w:abstractNum w:abstractNumId="147">
    <w:nsid w:val="6FDE8AF6"/>
    <w:multiLevelType w:val="hybridMultilevel"/>
    <w:lvl w:ilvl="0">
      <w:lvlJc w:val="left"/>
      <w:lvlText w:val="%1."/>
      <w:numFmt w:val="decimal"/>
      <w:start w:val="1"/>
    </w:lvl>
  </w:abstractNum>
  <w:abstractNum w:abstractNumId="148">
    <w:nsid w:val="3FC32E20"/>
    <w:multiLevelType w:val="hybridMultilevel"/>
    <w:lvl w:ilvl="0">
      <w:lvlJc w:val="left"/>
      <w:lvlText w:val="%1."/>
      <w:numFmt w:val="decimal"/>
      <w:start w:val="2"/>
    </w:lvl>
  </w:abstractNum>
  <w:abstractNum w:abstractNumId="149">
    <w:nsid w:val="49C0E823"/>
    <w:multiLevelType w:val="hybridMultilevel"/>
    <w:lvl w:ilvl="0">
      <w:lvlJc w:val="left"/>
      <w:lvlText w:val="%1."/>
      <w:numFmt w:val="decimal"/>
      <w:start w:val="3"/>
    </w:lvl>
  </w:abstractNum>
  <w:abstractNum w:abstractNumId="150">
    <w:nsid w:val="14D53685"/>
    <w:multiLevelType w:val="hybridMultilevel"/>
    <w:lvl w:ilvl="0">
      <w:lvlJc w:val="left"/>
      <w:lvlText w:val="%1."/>
      <w:numFmt w:val="decimal"/>
      <w:start w:val="4"/>
    </w:lvl>
  </w:abstractNum>
  <w:abstractNum w:abstractNumId="151">
    <w:nsid w:val="230F856C"/>
    <w:multiLevelType w:val="hybridMultilevel"/>
    <w:lvl w:ilvl="0">
      <w:lvlJc w:val="left"/>
      <w:lvlText w:val="%1."/>
      <w:numFmt w:val="decimal"/>
      <w:start w:val="5"/>
    </w:lvl>
  </w:abstractNum>
  <w:abstractNum w:abstractNumId="152">
    <w:nsid w:val="6EAA85FB"/>
    <w:multiLevelType w:val="hybridMultilevel"/>
    <w:lvl w:ilvl="0">
      <w:lvlJc w:val="left"/>
      <w:lvlText w:val="%1."/>
      <w:numFmt w:val="decimal"/>
      <w:start w:val="6"/>
    </w:lvl>
  </w:abstractNum>
  <w:abstractNum w:abstractNumId="153">
    <w:nsid w:val="3F06ECB2"/>
    <w:multiLevelType w:val="hybridMultilevel"/>
    <w:lvl w:ilvl="0">
      <w:lvlJc w:val="left"/>
      <w:lvlText w:val="%1."/>
      <w:numFmt w:val="decimal"/>
      <w:start w:val="7"/>
    </w:lvl>
  </w:abstractNum>
  <w:abstractNum w:abstractNumId="154">
    <w:nsid w:val="3B594807"/>
    <w:multiLevelType w:val="hybridMultilevel"/>
    <w:lvl w:ilvl="0">
      <w:lvlJc w:val="left"/>
      <w:lvlText w:val="%1."/>
      <w:numFmt w:val="decimal"/>
      <w:start w:val="8"/>
    </w:lvl>
  </w:abstractNum>
  <w:abstractNum w:abstractNumId="155">
    <w:nsid w:val="6CAA2304"/>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7" Type="http://schemas.openxmlformats.org/officeDocument/2006/relationships/image" Target="media/image111.png"/><Relationship Id="rId138" Type="http://schemas.openxmlformats.org/officeDocument/2006/relationships/image" Target="media/image112.png"/><Relationship Id="rId139" Type="http://schemas.openxmlformats.org/officeDocument/2006/relationships/image" Target="media/image113.png"/><Relationship Id="rId140" Type="http://schemas.openxmlformats.org/officeDocument/2006/relationships/image" Target="media/image114.png"/><Relationship Id="rId141" Type="http://schemas.openxmlformats.org/officeDocument/2006/relationships/image" Target="media/image115.png"/><Relationship Id="rId142" Type="http://schemas.openxmlformats.org/officeDocument/2006/relationships/image" Target="media/image116.png"/><Relationship Id="rId143" Type="http://schemas.openxmlformats.org/officeDocument/2006/relationships/image" Target="media/image117.png"/><Relationship Id="rId144" Type="http://schemas.openxmlformats.org/officeDocument/2006/relationships/image" Target="media/image118.png"/><Relationship Id="rId145" Type="http://schemas.openxmlformats.org/officeDocument/2006/relationships/image" Target="media/image119.png"/><Relationship Id="rId146" Type="http://schemas.openxmlformats.org/officeDocument/2006/relationships/image" Target="media/image120.png"/><Relationship Id="rId147" Type="http://schemas.openxmlformats.org/officeDocument/2006/relationships/image" Target="media/image121.png"/><Relationship Id="rId148" Type="http://schemas.openxmlformats.org/officeDocument/2006/relationships/image" Target="media/image122.png"/><Relationship Id="rId149" Type="http://schemas.openxmlformats.org/officeDocument/2006/relationships/image" Target="media/image123.png"/><Relationship Id="rId150" Type="http://schemas.openxmlformats.org/officeDocument/2006/relationships/image" Target="media/image124.png"/><Relationship Id="rId151" Type="http://schemas.openxmlformats.org/officeDocument/2006/relationships/image" Target="media/image125.png"/><Relationship Id="rId152" Type="http://schemas.openxmlformats.org/officeDocument/2006/relationships/image" Target="media/image126.png"/><Relationship Id="rId153" Type="http://schemas.openxmlformats.org/officeDocument/2006/relationships/image" Target="media/image127.png"/><Relationship Id="rId154" Type="http://schemas.openxmlformats.org/officeDocument/2006/relationships/image" Target="media/image128.png"/><Relationship Id="rId155" Type="http://schemas.openxmlformats.org/officeDocument/2006/relationships/image" Target="media/image129.png"/><Relationship Id="rId156" Type="http://schemas.openxmlformats.org/officeDocument/2006/relationships/image" Target="media/image130.png"/><Relationship Id="rId157" Type="http://schemas.openxmlformats.org/officeDocument/2006/relationships/image" Target="media/image131.png"/><Relationship Id="rId158" Type="http://schemas.openxmlformats.org/officeDocument/2006/relationships/image" Target="media/image132.png"/><Relationship Id="rId159" Type="http://schemas.openxmlformats.org/officeDocument/2006/relationships/image" Target="media/image133.png"/><Relationship Id="rId160" Type="http://schemas.openxmlformats.org/officeDocument/2006/relationships/image" Target="media/image134.png"/><Relationship Id="rId161" Type="http://schemas.openxmlformats.org/officeDocument/2006/relationships/image" Target="media/image135.png"/><Relationship Id="rId162" Type="http://schemas.openxmlformats.org/officeDocument/2006/relationships/image" Target="media/image136.png"/><Relationship Id="rId163" Type="http://schemas.openxmlformats.org/officeDocument/2006/relationships/image" Target="media/image137.png"/><Relationship Id="rId164" Type="http://schemas.openxmlformats.org/officeDocument/2006/relationships/image" Target="media/image138.png"/><Relationship Id="rId165" Type="http://schemas.openxmlformats.org/officeDocument/2006/relationships/image" Target="media/image139.png"/><Relationship Id="rId166" Type="http://schemas.openxmlformats.org/officeDocument/2006/relationships/image" Target="media/image140.png"/><Relationship Id="rId167" Type="http://schemas.openxmlformats.org/officeDocument/2006/relationships/image" Target="media/image141.png"/><Relationship Id="rId168" Type="http://schemas.openxmlformats.org/officeDocument/2006/relationships/image" Target="media/image142.png"/><Relationship Id="rId169" Type="http://schemas.openxmlformats.org/officeDocument/2006/relationships/image" Target="media/image143.png"/><Relationship Id="rId170" Type="http://schemas.openxmlformats.org/officeDocument/2006/relationships/image" Target="media/image144.png"/><Relationship Id="rId171" Type="http://schemas.openxmlformats.org/officeDocument/2006/relationships/image" Target="media/image145.png"/><Relationship Id="rId172" Type="http://schemas.openxmlformats.org/officeDocument/2006/relationships/image" Target="media/image146.png"/><Relationship Id="rId173" Type="http://schemas.openxmlformats.org/officeDocument/2006/relationships/image" Target="media/image147.png"/><Relationship Id="rId174" Type="http://schemas.openxmlformats.org/officeDocument/2006/relationships/image" Target="media/image148.png"/><Relationship Id="rId175" Type="http://schemas.openxmlformats.org/officeDocument/2006/relationships/image" Target="media/image149.png"/><Relationship Id="rId176" Type="http://schemas.openxmlformats.org/officeDocument/2006/relationships/image" Target="media/image150.png"/><Relationship Id="rId177" Type="http://schemas.openxmlformats.org/officeDocument/2006/relationships/image" Target="media/image151.png"/><Relationship Id="rId178" Type="http://schemas.openxmlformats.org/officeDocument/2006/relationships/image" Target="media/image152.png"/><Relationship Id="rId179" Type="http://schemas.openxmlformats.org/officeDocument/2006/relationships/image" Target="media/image153.png"/><Relationship Id="rId180" Type="http://schemas.openxmlformats.org/officeDocument/2006/relationships/image" Target="media/image154.png"/><Relationship Id="rId181" Type="http://schemas.openxmlformats.org/officeDocument/2006/relationships/image" Target="media/image155.png"/><Relationship Id="rId182" Type="http://schemas.openxmlformats.org/officeDocument/2006/relationships/image" Target="media/image156.png"/><Relationship Id="rId183" Type="http://schemas.openxmlformats.org/officeDocument/2006/relationships/image" Target="media/image157.png"/><Relationship Id="rId184" Type="http://schemas.openxmlformats.org/officeDocument/2006/relationships/image" Target="media/image158.png"/><Relationship Id="rId185" Type="http://schemas.openxmlformats.org/officeDocument/2006/relationships/image" Target="media/image159.png"/><Relationship Id="rId186" Type="http://schemas.openxmlformats.org/officeDocument/2006/relationships/image" Target="media/image160.png"/><Relationship Id="rId187" Type="http://schemas.openxmlformats.org/officeDocument/2006/relationships/image" Target="media/image161.png"/><Relationship Id="rId188" Type="http://schemas.openxmlformats.org/officeDocument/2006/relationships/image" Target="media/image162.png"/><Relationship Id="rId189" Type="http://schemas.openxmlformats.org/officeDocument/2006/relationships/image" Target="media/image163.png"/><Relationship Id="rId190" Type="http://schemas.openxmlformats.org/officeDocument/2006/relationships/image" Target="media/image164.png"/><Relationship Id="rId191" Type="http://schemas.openxmlformats.org/officeDocument/2006/relationships/image" Target="media/image165.png"/><Relationship Id="rId192" Type="http://schemas.openxmlformats.org/officeDocument/2006/relationships/image" Target="media/image166.png"/><Relationship Id="rId193" Type="http://schemas.openxmlformats.org/officeDocument/2006/relationships/image" Target="media/image167.png"/><Relationship Id="rId194" Type="http://schemas.openxmlformats.org/officeDocument/2006/relationships/image" Target="media/image168.png"/><Relationship Id="rId195" Type="http://schemas.openxmlformats.org/officeDocument/2006/relationships/image" Target="media/image169.png"/><Relationship Id="rId196" Type="http://schemas.openxmlformats.org/officeDocument/2006/relationships/image" Target="media/image170.png"/><Relationship Id="rId197" Type="http://schemas.openxmlformats.org/officeDocument/2006/relationships/image" Target="media/image171.png"/><Relationship Id="rId198" Type="http://schemas.openxmlformats.org/officeDocument/2006/relationships/image" Target="media/image172.png"/><Relationship Id="rId199" Type="http://schemas.openxmlformats.org/officeDocument/2006/relationships/image" Target="media/image173.png"/><Relationship Id="rId200" Type="http://schemas.openxmlformats.org/officeDocument/2006/relationships/image" Target="media/image174.png"/><Relationship Id="rId201" Type="http://schemas.openxmlformats.org/officeDocument/2006/relationships/image" Target="media/image175.png"/><Relationship Id="rId202" Type="http://schemas.openxmlformats.org/officeDocument/2006/relationships/image" Target="media/image176.png"/><Relationship Id="rId203" Type="http://schemas.openxmlformats.org/officeDocument/2006/relationships/image" Target="media/image177.png"/><Relationship Id="rId204" Type="http://schemas.openxmlformats.org/officeDocument/2006/relationships/image" Target="media/image178.png"/><Relationship Id="rId205" Type="http://schemas.openxmlformats.org/officeDocument/2006/relationships/image" Target="media/image179.png"/><Relationship Id="rId206" Type="http://schemas.openxmlformats.org/officeDocument/2006/relationships/image" Target="media/image180.png"/><Relationship Id="rId207" Type="http://schemas.openxmlformats.org/officeDocument/2006/relationships/image" Target="media/image181.png"/><Relationship Id="rId208" Type="http://schemas.openxmlformats.org/officeDocument/2006/relationships/image" Target="media/image182.png"/><Relationship Id="rId209" Type="http://schemas.openxmlformats.org/officeDocument/2006/relationships/image" Target="media/image183.png"/><Relationship Id="rId210" Type="http://schemas.openxmlformats.org/officeDocument/2006/relationships/image" Target="media/image184.png"/><Relationship Id="rId211" Type="http://schemas.openxmlformats.org/officeDocument/2006/relationships/image" Target="media/image185.png"/><Relationship Id="rId212" Type="http://schemas.openxmlformats.org/officeDocument/2006/relationships/image" Target="media/image186.png"/><Relationship Id="rId213" Type="http://schemas.openxmlformats.org/officeDocument/2006/relationships/image" Target="media/image187.png"/><Relationship Id="rId214" Type="http://schemas.openxmlformats.org/officeDocument/2006/relationships/image" Target="media/image188.png"/><Relationship Id="rId215" Type="http://schemas.openxmlformats.org/officeDocument/2006/relationships/image" Target="media/image189.png"/><Relationship Id="rId216" Type="http://schemas.openxmlformats.org/officeDocument/2006/relationships/image" Target="media/image190.png"/><Relationship Id="rId217" Type="http://schemas.openxmlformats.org/officeDocument/2006/relationships/image" Target="media/image191.png"/><Relationship Id="rId218" Type="http://schemas.openxmlformats.org/officeDocument/2006/relationships/image" Target="media/image192.png"/><Relationship Id="rId219" Type="http://schemas.openxmlformats.org/officeDocument/2006/relationships/image" Target="media/image193.png"/><Relationship Id="rId220" Type="http://schemas.openxmlformats.org/officeDocument/2006/relationships/image" Target="media/image194.png"/><Relationship Id="rId221" Type="http://schemas.openxmlformats.org/officeDocument/2006/relationships/image" Target="media/image195.png"/><Relationship Id="rId222" Type="http://schemas.openxmlformats.org/officeDocument/2006/relationships/image" Target="media/image196.png"/><Relationship Id="rId223" Type="http://schemas.openxmlformats.org/officeDocument/2006/relationships/image" Target="media/image197.png"/><Relationship Id="rId224" Type="http://schemas.openxmlformats.org/officeDocument/2006/relationships/image" Target="media/image198.png"/><Relationship Id="rId225" Type="http://schemas.openxmlformats.org/officeDocument/2006/relationships/image" Target="media/image199.png"/><Relationship Id="rId226" Type="http://schemas.openxmlformats.org/officeDocument/2006/relationships/image" Target="media/image200.png"/><Relationship Id="rId227" Type="http://schemas.openxmlformats.org/officeDocument/2006/relationships/image" Target="media/image201.png"/><Relationship Id="rId228" Type="http://schemas.openxmlformats.org/officeDocument/2006/relationships/image" Target="media/image202.png"/><Relationship Id="rId229" Type="http://schemas.openxmlformats.org/officeDocument/2006/relationships/image" Target="media/image203.png"/><Relationship Id="rId230" Type="http://schemas.openxmlformats.org/officeDocument/2006/relationships/image" Target="media/image204.png"/><Relationship Id="rId231" Type="http://schemas.openxmlformats.org/officeDocument/2006/relationships/image" Target="media/image205.png"/><Relationship Id="rId232" Type="http://schemas.openxmlformats.org/officeDocument/2006/relationships/image" Target="media/image206.png"/><Relationship Id="rId233" Type="http://schemas.openxmlformats.org/officeDocument/2006/relationships/image" Target="media/image207.png"/><Relationship Id="rId234" Type="http://schemas.openxmlformats.org/officeDocument/2006/relationships/image" Target="media/image208.png"/><Relationship Id="rId235" Type="http://schemas.openxmlformats.org/officeDocument/2006/relationships/image" Target="media/image209.png"/><Relationship Id="rId236" Type="http://schemas.openxmlformats.org/officeDocument/2006/relationships/image" Target="media/image210.png"/><Relationship Id="rId237" Type="http://schemas.openxmlformats.org/officeDocument/2006/relationships/image" Target="media/image211.png"/><Relationship Id="rId238" Type="http://schemas.openxmlformats.org/officeDocument/2006/relationships/image" Target="media/image212.png"/><Relationship Id="rId239" Type="http://schemas.openxmlformats.org/officeDocument/2006/relationships/image" Target="media/image213.png"/><Relationship Id="rId240" Type="http://schemas.openxmlformats.org/officeDocument/2006/relationships/image" Target="media/image214.png"/><Relationship Id="rId241" Type="http://schemas.openxmlformats.org/officeDocument/2006/relationships/image" Target="media/image215.png"/><Relationship Id="rId242" Type="http://schemas.openxmlformats.org/officeDocument/2006/relationships/image" Target="media/image216.png"/><Relationship Id="rId243" Type="http://schemas.openxmlformats.org/officeDocument/2006/relationships/image" Target="media/image217.png"/><Relationship Id="rId244" Type="http://schemas.openxmlformats.org/officeDocument/2006/relationships/image" Target="media/image218.png"/><Relationship Id="rId245" Type="http://schemas.openxmlformats.org/officeDocument/2006/relationships/image" Target="media/image219.png"/><Relationship Id="rId246" Type="http://schemas.openxmlformats.org/officeDocument/2006/relationships/image" Target="media/image220.png"/><Relationship Id="rId247" Type="http://schemas.openxmlformats.org/officeDocument/2006/relationships/image" Target="media/image221.png"/><Relationship Id="rId248" Type="http://schemas.openxmlformats.org/officeDocument/2006/relationships/image" Target="media/image222.png"/><Relationship Id="rId116" Type="http://schemas.openxmlformats.org/officeDocument/2006/relationships/hyperlink" Target="http://www.sec.gov/Archives/edgar/data/1383414/000119312507075646/dex99a.htm" TargetMode="External"/><Relationship Id="rId117" Type="http://schemas.openxmlformats.org/officeDocument/2006/relationships/hyperlink" Target="http://www.sec.gov/Archives/edgar/data/1383414/000156459020024172/pnnt-ex32_163.htm" TargetMode="External"/><Relationship Id="rId118" Type="http://schemas.openxmlformats.org/officeDocument/2006/relationships/hyperlink" Target="http://www.sec.gov/Archives/edgar/data/1383414/000119312508072557/dex99d1.htm" TargetMode="External"/><Relationship Id="rId119" Type="http://schemas.openxmlformats.org/officeDocument/2006/relationships/hyperlink" Target="http://www.sec.gov/Archives/edgar/data/1383414/000119312513018556/d470556dex99d8.htm" TargetMode="External"/><Relationship Id="rId120" Type="http://schemas.openxmlformats.org/officeDocument/2006/relationships/hyperlink" Target="http://www.sec.gov/Archives/edgar/data/1383414/000119312514349933/d793312dex99d11.htm" TargetMode="External"/><Relationship Id="rId121" Type="http://schemas.openxmlformats.org/officeDocument/2006/relationships/hyperlink" Target="http://www.sec.gov/Archives/edgar/data/1383414/000119312519257341/d812658dex41.htm" TargetMode="External"/><Relationship Id="rId122" Type="http://schemas.openxmlformats.org/officeDocument/2006/relationships/hyperlink" Target="http://www.sec.gov/Archives/edgar/data/1383414/000119312521125241/d124015dex41.htm" TargetMode="External"/><Relationship Id="rId123" Type="http://schemas.openxmlformats.org/officeDocument/2006/relationships/hyperlink" Target="http://www.sec.gov/Archives/edgar/data/1383414/000119312521303994/d236895dex41.htm" TargetMode="External"/><Relationship Id="rId124" Type="http://schemas.openxmlformats.org/officeDocument/2006/relationships/hyperlink" Target="http://www.sec.gov/Archives/edgar/data/1383414/000156459019044110/pnnt-ex47_7.htm" TargetMode="External"/><Relationship Id="rId125" Type="http://schemas.openxmlformats.org/officeDocument/2006/relationships/hyperlink" Target="http://www.sec.gov/Archives/edgar/data/1383414/000119312508072557/dex99k1.htm" TargetMode="External"/><Relationship Id="rId126" Type="http://schemas.openxmlformats.org/officeDocument/2006/relationships/hyperlink" Target="http://www.sec.gov/Archives/edgar/data/1383414/000119312508072557/dex99e.htm" TargetMode="External"/><Relationship Id="rId127" Type="http://schemas.openxmlformats.org/officeDocument/2006/relationships/hyperlink" Target="http://www.sec.gov/Archives/edgar/data/1383414/000156459017015976/pnnt-ex101_12.htm" TargetMode="External"/><Relationship Id="rId128" Type="http://schemas.openxmlformats.org/officeDocument/2006/relationships/hyperlink" Target="http://www.sec.gov/Archives/edgar/data/1383414/000119312516773701/d285279dex105.htm" TargetMode="External"/><Relationship Id="rId129" Type="http://schemas.openxmlformats.org/officeDocument/2006/relationships/hyperlink" Target="http://www.sec.gov/Archives/edgar/data/1383414/000119312519105161/d630383dex99g3.htm" TargetMode="External"/><Relationship Id="rId132" Type="http://schemas.openxmlformats.org/officeDocument/2006/relationships/hyperlink" Target="http://www.sec.gov/Archives/edgar/data/1383414/000119312519240958/d761962dex101.htm" TargetMode="External"/><Relationship Id="rId133" Type="http://schemas.openxmlformats.org/officeDocument/2006/relationships/hyperlink" Target="http://www.sec.gov/Archives/edgar/data/1383414/000119312520208851/d41849dex101.htm" TargetMode="External"/><Relationship Id="rId134" Type="http://schemas.openxmlformats.org/officeDocument/2006/relationships/hyperlink" Target="http://www.sec.gov/Archives/edgar/data/1383414/000156459020054639/pnnt-ex1012_753.htm" TargetMode="External"/><Relationship Id="rId135" Type="http://schemas.openxmlformats.org/officeDocument/2006/relationships/hyperlink" Target="http://www.sec.gov/Archives/edgar/data/1383414/000119312520208851/d41849dex102.htm" TargetMode="External"/><Relationship Id="rId136" Type="http://schemas.openxmlformats.org/officeDocument/2006/relationships/hyperlink" Target="http://www.sec.gov/Archives/edgar/data/1383414/000138341411000013/pnntprivacypolicy09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2021-11-17T15:49:08Z</dcterms:created>
  <dcterms:modified xsi:type="dcterms:W3CDTF">2021-11-17T15:49:08Z</dcterms:modified>
</cp:coreProperties>
</file>