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213" w:lineRule="exact"/>
        <w:rPr>
          <w:sz w:val="24"/>
          <w:szCs w:val="24"/>
          <w:color w:val="auto"/>
        </w:rPr>
      </w:pPr>
    </w:p>
    <w:p>
      <w:pPr>
        <w:ind w:right="40"/>
        <w:spacing w:after="0" w:line="310" w:lineRule="auto"/>
        <w:rPr>
          <w:sz w:val="20"/>
          <w:szCs w:val="20"/>
          <w:color w:val="auto"/>
        </w:rPr>
      </w:pPr>
      <w:r>
        <w:rPr>
          <w:rFonts w:ascii="Arial" w:cs="Arial" w:eastAsia="Arial" w:hAnsi="Arial"/>
          <w:sz w:val="16"/>
          <w:szCs w:val="16"/>
          <w:b w:val="1"/>
          <w:bCs w:val="1"/>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February 7, 2011</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223" w:lineRule="auto"/>
        <w:rPr>
          <w:sz w:val="20"/>
          <w:szCs w:val="20"/>
          <w:color w:val="auto"/>
        </w:rPr>
      </w:pPr>
      <w:r>
        <w:rPr>
          <w:rFonts w:ascii="Arial" w:cs="Arial" w:eastAsia="Arial" w:hAnsi="Arial"/>
          <w:sz w:val="14"/>
          <w:szCs w:val="14"/>
          <w:b w:val="1"/>
          <w:bCs w:val="1"/>
          <w:color w:val="auto"/>
        </w:rPr>
        <w:t>To the Prospectus dated</w:t>
      </w:r>
    </w:p>
    <w:p>
      <w:pPr>
        <w:spacing w:after="0"/>
        <w:rPr>
          <w:sz w:val="20"/>
          <w:szCs w:val="20"/>
          <w:color w:val="auto"/>
        </w:rPr>
      </w:pPr>
      <w:r>
        <w:rPr>
          <w:rFonts w:ascii="Arial" w:cs="Arial" w:eastAsia="Arial" w:hAnsi="Arial"/>
          <w:sz w:val="14"/>
          <w:szCs w:val="14"/>
          <w:b w:val="1"/>
          <w:bCs w:val="1"/>
          <w:color w:val="auto"/>
        </w:rPr>
        <w:t>January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26035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7,500,000 Shares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79" w:lineRule="exact"/>
        <w:rPr>
          <w:sz w:val="24"/>
          <w:szCs w:val="24"/>
          <w:color w:val="auto"/>
        </w:rPr>
      </w:pPr>
    </w:p>
    <w:p>
      <w:pPr>
        <w:ind w:right="140" w:firstLine="342"/>
        <w:spacing w:after="0" w:line="233" w:lineRule="auto"/>
        <w:rPr>
          <w:sz w:val="20"/>
          <w:szCs w:val="20"/>
          <w:color w:val="auto"/>
        </w:rPr>
      </w:pPr>
      <w:r>
        <w:rPr>
          <w:rFonts w:ascii="Arial" w:cs="Arial" w:eastAsia="Arial" w:hAnsi="Arial"/>
          <w:sz w:val="14"/>
          <w:szCs w:val="14"/>
          <w:color w:val="auto"/>
        </w:rPr>
        <w:t>We are offering for sale 7,500,000 shares of our common stock. Our common stock is traded on the NASDAQ Global Select Market under the symbol “PNNT”. The last reported closing price for our common stock on February 4, 2011 was $12.96 per share. The net asset value of our common stock on December 31, 2010 (the last date prior to the date of this prospectus supplement on which we determined net asset value) was $11.14 per share.</w:t>
      </w:r>
    </w:p>
    <w:p>
      <w:pPr>
        <w:spacing w:after="0" w:line="31" w:lineRule="exact"/>
        <w:rPr>
          <w:sz w:val="24"/>
          <w:szCs w:val="24"/>
          <w:color w:val="auto"/>
        </w:rPr>
      </w:pPr>
    </w:p>
    <w:p>
      <w:pPr>
        <w:ind w:right="120" w:firstLine="342"/>
        <w:spacing w:after="0" w:line="230"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(“BDC”) under the Investment Company Act of 1940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31" w:lineRule="exact"/>
        <w:rPr>
          <w:sz w:val="24"/>
          <w:szCs w:val="24"/>
          <w:color w:val="auto"/>
        </w:rPr>
      </w:pPr>
    </w:p>
    <w:p>
      <w:pPr>
        <w:ind w:right="160" w:firstLine="342"/>
        <w:spacing w:after="0" w:line="273" w:lineRule="auto"/>
        <w:rPr>
          <w:sz w:val="20"/>
          <w:szCs w:val="20"/>
          <w:color w:val="auto"/>
        </w:rPr>
      </w:pPr>
      <w:r>
        <w:rPr>
          <w:rFonts w:ascii="Arial" w:cs="Arial" w:eastAsia="Arial" w:hAnsi="Arial"/>
          <w:sz w:val="12"/>
          <w:szCs w:val="12"/>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(the “SEC”). This information is available free of charge by contacting us at 590 Madison Avenue, New York, NY 10022 or by telephone at (212) 905-1000 or on our website at </w:t>
      </w:r>
      <w:r>
        <w:rPr>
          <w:rFonts w:ascii="Arial" w:cs="Arial" w:eastAsia="Arial" w:hAnsi="Arial"/>
          <w:sz w:val="12"/>
          <w:szCs w:val="12"/>
          <w:i w:val="1"/>
          <w:iCs w:val="1"/>
          <w:color w:val="auto"/>
        </w:rPr>
        <w:t>www.pennantpark.com.</w:t>
      </w:r>
      <w:r>
        <w:rPr>
          <w:rFonts w:ascii="Arial" w:cs="Arial" w:eastAsia="Arial" w:hAnsi="Arial"/>
          <w:sz w:val="12"/>
          <w:szCs w:val="12"/>
          <w:color w:val="auto"/>
        </w:rPr>
        <w:t xml:space="preserve"> The SEC also maintains a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6" w:lineRule="exact"/>
        <w:rPr>
          <w:sz w:val="24"/>
          <w:szCs w:val="24"/>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9 and “Sales of Common Stock Below Net Asset Value” on page 51 of the accompanying prospectus.</w:t>
      </w:r>
    </w:p>
    <w:p>
      <w:pPr>
        <w:spacing w:after="0" w:line="134" w:lineRule="exact"/>
        <w:rPr>
          <w:sz w:val="24"/>
          <w:szCs w:val="24"/>
          <w:color w:val="auto"/>
        </w:rPr>
      </w:pPr>
    </w:p>
    <w:p>
      <w:pPr>
        <w:ind w:right="5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244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732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620" w:type="dxa"/>
            <w:vAlign w:val="bottom"/>
          </w:tcPr>
          <w:p>
            <w:pPr>
              <w:jc w:val="right"/>
              <w:ind w:right="472"/>
              <w:spacing w:after="0" w:line="131"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73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 (sales load)</w:t>
            </w:r>
          </w:p>
        </w:tc>
        <w:tc>
          <w:tcPr>
            <w:tcW w:w="3020" w:type="dxa"/>
            <w:vAlign w:val="bottom"/>
            <w:gridSpan w:val="2"/>
          </w:tcPr>
          <w:p>
            <w:pPr>
              <w:ind w:left="2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320" w:type="dxa"/>
            <w:vAlign w:val="bottom"/>
          </w:tcPr>
          <w:p>
            <w:pPr>
              <w:spacing w:after="0"/>
              <w:rPr>
                <w:sz w:val="20"/>
                <w:szCs w:val="20"/>
                <w:color w:val="auto"/>
              </w:rPr>
            </w:pPr>
            <w:r>
              <w:rPr>
                <w:rFonts w:ascii="Arial" w:cs="Arial" w:eastAsia="Arial" w:hAnsi="Arial"/>
                <w:sz w:val="14"/>
                <w:szCs w:val="14"/>
                <w:color w:val="auto"/>
              </w:rPr>
              <w:t>Proceeds to PennantPark Investment Corporation (before estimated expenses of $325,000)</w:t>
            </w:r>
          </w:p>
        </w:tc>
        <w:tc>
          <w:tcPr>
            <w:tcW w:w="3020" w:type="dxa"/>
            <w:vAlign w:val="bottom"/>
            <w:gridSpan w:val="2"/>
          </w:tcPr>
          <w:p>
            <w:pPr>
              <w:ind w:left="2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ind w:left="360"/>
        <w:spacing w:after="0"/>
        <w:rPr>
          <w:sz w:val="20"/>
          <w:szCs w:val="20"/>
          <w:color w:val="auto"/>
        </w:rPr>
      </w:pPr>
      <w:r>
        <w:rPr>
          <w:rFonts w:ascii="Arial" w:cs="Arial" w:eastAsia="Arial" w:hAnsi="Arial"/>
          <w:sz w:val="12"/>
          <w:szCs w:val="12"/>
          <w:b w:val="1"/>
          <w:bCs w:val="1"/>
          <w:color w:val="auto"/>
        </w:rPr>
        <w:t>The underwriters may also purchase up to an additional 1,125,000 shares from us at the public offering price, less the underwriting discounts, within 30 days from the date of this prospectus</w:t>
      </w:r>
    </w:p>
    <w:p>
      <w:pPr>
        <w:spacing w:after="0" w:line="25" w:lineRule="exact"/>
        <w:rPr>
          <w:sz w:val="24"/>
          <w:szCs w:val="24"/>
          <w:color w:val="auto"/>
        </w:rPr>
      </w:pPr>
    </w:p>
    <w:p>
      <w:pPr>
        <w:ind w:right="140"/>
        <w:spacing w:after="0" w:line="230" w:lineRule="auto"/>
        <w:rPr>
          <w:sz w:val="20"/>
          <w:szCs w:val="20"/>
          <w:color w:val="auto"/>
        </w:rPr>
      </w:pPr>
      <w:r>
        <w:rPr>
          <w:rFonts w:ascii="Arial" w:cs="Arial" w:eastAsia="Arial" w:hAnsi="Arial"/>
          <w:sz w:val="14"/>
          <w:szCs w:val="14"/>
          <w:b w:val="1"/>
          <w:bCs w:val="1"/>
          <w:color w:val="auto"/>
        </w:rPr>
        <w:t>supplement to cover overallotments. If the underwriters exercise this option in full, the total public offering price will be $ , the total underwriting discount and commissions (sales load) paid by us will be $ , and total proceeds, before expenses, will be $ .</w:t>
      </w:r>
    </w:p>
    <w:p>
      <w:pPr>
        <w:sectPr>
          <w:pgSz w:w="11900" w:h="16838" w:orient="portrait"/>
          <w:cols w:equalWidth="0" w:num="1">
            <w:col w:w="11420"/>
          </w:cols>
          <w:pgMar w:left="240" w:top="230" w:right="239" w:bottom="1440" w:gutter="0" w:footer="0" w:header="0"/>
        </w:sectPr>
      </w:pPr>
    </w:p>
    <w:p>
      <w:pPr>
        <w:spacing w:after="0" w:line="29" w:lineRule="exact"/>
        <w:rPr>
          <w:sz w:val="24"/>
          <w:szCs w:val="24"/>
          <w:color w:val="auto"/>
        </w:rPr>
      </w:pPr>
    </w:p>
    <w:p>
      <w:pPr>
        <w:ind w:left="360"/>
        <w:spacing w:after="0"/>
        <w:rPr>
          <w:sz w:val="20"/>
          <w:szCs w:val="20"/>
          <w:color w:val="auto"/>
        </w:rPr>
      </w:pPr>
      <w:r>
        <w:rPr>
          <w:rFonts w:ascii="Arial" w:cs="Arial" w:eastAsia="Arial" w:hAnsi="Arial"/>
          <w:sz w:val="12"/>
          <w:szCs w:val="12"/>
          <w:b w:val="1"/>
          <w:bCs w:val="1"/>
          <w:color w:val="auto"/>
        </w:rPr>
        <w:t>The underwriters expect to deliver the shares on or about February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62865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sectPr>
          <w:pgSz w:w="11900" w:h="16838" w:orient="portrait"/>
          <w:cols w:equalWidth="0" w:num="2">
            <w:col w:w="4240" w:space="180"/>
            <w:col w:w="7000"/>
          </w:cols>
          <w:pgMar w:left="240" w:top="230" w:right="239" w:bottom="1440" w:gutter="0" w:footer="0" w:header="0"/>
          <w:type w:val="continuous"/>
        </w:sectPr>
      </w:pPr>
    </w:p>
    <w:p>
      <w:pPr>
        <w:spacing w:after="0" w:line="66"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Stifel Nicolaus Weisel</w:t>
      </w:r>
    </w:p>
    <w:p>
      <w:pPr>
        <w:spacing w:after="0" w:line="159" w:lineRule="exact"/>
        <w:rPr>
          <w:sz w:val="24"/>
          <w:szCs w:val="24"/>
          <w:color w:val="auto"/>
        </w:rPr>
      </w:pPr>
    </w:p>
    <w:p>
      <w:pPr>
        <w:sectPr>
          <w:pgSz w:w="11900" w:h="16838" w:orient="portrait"/>
          <w:cols w:equalWidth="0" w:num="3">
            <w:col w:w="4560" w:space="720"/>
            <w:col w:w="2600" w:space="720"/>
            <w:col w:w="282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FBR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Ladenburg Thalmann &amp; Co.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RBC Capital Markets</w:t>
      </w:r>
    </w:p>
    <w:p>
      <w:pPr>
        <w:spacing w:after="0" w:line="119" w:lineRule="exact"/>
        <w:rPr>
          <w:sz w:val="24"/>
          <w:szCs w:val="24"/>
          <w:color w:val="auto"/>
        </w:rPr>
      </w:pPr>
    </w:p>
    <w:p>
      <w:pPr>
        <w:sectPr>
          <w:pgSz w:w="11900" w:h="16838" w:orient="portrait"/>
          <w:cols w:equalWidth="0" w:num="4">
            <w:col w:w="2240" w:space="720"/>
            <w:col w:w="2040" w:space="720"/>
            <w:col w:w="3220" w:space="720"/>
            <w:col w:w="1760"/>
          </w:cols>
          <w:pgMar w:left="240" w:top="230" w:right="239" w:bottom="1440" w:gutter="0" w:footer="0" w:header="0"/>
          <w:type w:val="continuous"/>
        </w:sectPr>
      </w:pPr>
    </w:p>
    <w:p>
      <w:pPr>
        <w:jc w:val="center"/>
        <w:ind w:right="-19"/>
        <w:spacing w:after="0"/>
        <w:tabs>
          <w:tab w:leader="none" w:pos="200" w:val="left"/>
        </w:tabs>
        <w:rPr>
          <w:sz w:val="20"/>
          <w:szCs w:val="20"/>
          <w:color w:val="auto"/>
        </w:rPr>
      </w:pPr>
      <w:r>
        <w:rPr>
          <w:rFonts w:ascii="Arial" w:cs="Arial" w:eastAsia="Arial" w:hAnsi="Arial"/>
          <w:sz w:val="18"/>
          <w:szCs w:val="18"/>
          <w:color w:val="auto"/>
        </w:rPr>
        <w:t>The date of this prospectus supplement is February</w:t>
      </w:r>
      <w:r>
        <w:rPr>
          <w:sz w:val="20"/>
          <w:szCs w:val="20"/>
          <w:color w:val="auto"/>
        </w:rPr>
        <w:tab/>
      </w:r>
      <w:r>
        <w:rPr>
          <w:rFonts w:ascii="Arial" w:cs="Arial" w:eastAsia="Arial" w:hAnsi="Arial"/>
          <w:sz w:val="15"/>
          <w:szCs w:val="15"/>
          <w:color w:val="auto"/>
        </w:rPr>
        <w:t>,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6"/>
              </w:rPr>
              <w:t>TABLE OF CONTENTS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5"/>
              </w:rPr>
              <w:t>PROSPECTUS SUPPLEMENT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6420" w:type="dxa"/>
            <w:vAlign w:val="bottom"/>
            <w:gridSpan w:val="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S-1</w:t>
            </w:r>
          </w:p>
        </w:tc>
        <w:tc>
          <w:tcPr>
            <w:tcW w:w="0" w:type="dxa"/>
            <w:vAlign w:val="bottom"/>
          </w:tcPr>
          <w:p>
            <w:pPr>
              <w:spacing w:after="0"/>
              <w:rPr>
                <w:sz w:val="1"/>
                <w:szCs w:val="1"/>
                <w:color w:val="auto"/>
              </w:rPr>
            </w:pPr>
          </w:p>
        </w:tc>
      </w:tr>
      <w:tr>
        <w:trPr>
          <w:trHeight w:val="196"/>
        </w:trPr>
        <w:tc>
          <w:tcPr>
            <w:tcW w:w="10040" w:type="dxa"/>
            <w:vAlign w:val="bottom"/>
            <w:gridSpan w:val="1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FEES AND EXPENSES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S-7</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40" w:type="dxa"/>
            <w:vAlign w:val="bottom"/>
            <w:gridSpan w:val="14"/>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FORWARD-LOOKING STATEMENTS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S-9</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3"/>
              </w:rPr>
            </w:pPr>
            <w:hyperlink w:anchor="page13">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3"/>
          </w:tcPr>
          <w:p>
            <w:pPr>
              <w:spacing w:after="0"/>
              <w:rPr>
                <w:sz w:val="17"/>
                <w:szCs w:val="17"/>
                <w:color w:val="auto"/>
              </w:rPr>
            </w:pPr>
          </w:p>
        </w:tc>
        <w:tc>
          <w:tcPr>
            <w:tcW w:w="7000" w:type="dxa"/>
            <w:vAlign w:val="bottom"/>
            <w:gridSpan w:val="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S-10</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CAPITALIZATION</w:t>
              </w:r>
            </w:hyperlink>
          </w:p>
        </w:tc>
        <w:tc>
          <w:tcPr>
            <w:tcW w:w="8500" w:type="dxa"/>
            <w:vAlign w:val="bottom"/>
            <w:gridSpan w:val="1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S-11</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PRICE RANGE OF COMMON STOCK</w:t>
              </w:r>
            </w:hyperlink>
          </w:p>
        </w:tc>
        <w:tc>
          <w:tcPr>
            <w:tcW w:w="696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SELECTED FINANCIAL DATA</w:t>
              </w:r>
            </w:hyperlink>
          </w:p>
        </w:tc>
        <w:tc>
          <w:tcPr>
            <w:tcW w:w="7540" w:type="dxa"/>
            <w:vAlign w:val="bottom"/>
            <w:gridSpan w:val="8"/>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S-13</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b w:val="1"/>
                <w:bCs w:val="1"/>
                <w:color w:val="0000EE"/>
                <w:w w:val="97"/>
              </w:rPr>
              <w:t>MANAGEMENT’S DISCUSSION AND ANALYSIS OF FINANCIAL CONDITION AND RESULTS OF OPERATIONS</w:t>
            </w:r>
          </w:p>
        </w:tc>
        <w:tc>
          <w:tcPr>
            <w:tcW w:w="9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S-15</w:t>
            </w:r>
          </w:p>
        </w:tc>
        <w:tc>
          <w:tcPr>
            <w:tcW w:w="0" w:type="dxa"/>
            <w:vAlign w:val="bottom"/>
          </w:tcPr>
          <w:p>
            <w:pPr>
              <w:spacing w:after="0"/>
              <w:rPr>
                <w:sz w:val="1"/>
                <w:szCs w:val="1"/>
                <w:color w:val="auto"/>
              </w:rPr>
            </w:pPr>
          </w:p>
        </w:tc>
      </w:tr>
      <w:tr>
        <w:trPr>
          <w:trHeight w:val="196"/>
        </w:trPr>
        <w:tc>
          <w:tcPr>
            <w:tcW w:w="10040" w:type="dxa"/>
            <w:vAlign w:val="bottom"/>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UNDERWRITING</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S-27</w:t>
            </w:r>
          </w:p>
        </w:tc>
        <w:tc>
          <w:tcPr>
            <w:tcW w:w="0" w:type="dxa"/>
            <w:vAlign w:val="bottom"/>
          </w:tcPr>
          <w:p>
            <w:pPr>
              <w:spacing w:after="0"/>
              <w:rPr>
                <w:sz w:val="1"/>
                <w:szCs w:val="1"/>
                <w:color w:val="auto"/>
              </w:rPr>
            </w:pPr>
          </w:p>
        </w:tc>
      </w:tr>
      <w:tr>
        <w:trPr>
          <w:trHeight w:val="236"/>
        </w:trPr>
        <w:tc>
          <w:tcPr>
            <w:tcW w:w="14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MANAGEMENT</w:t>
            </w:r>
          </w:p>
        </w:tc>
        <w:tc>
          <w:tcPr>
            <w:tcW w:w="8600" w:type="dxa"/>
            <w:vAlign w:val="bottom"/>
            <w:gridSpan w:val="13"/>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S-30</w:t>
            </w:r>
          </w:p>
        </w:tc>
        <w:tc>
          <w:tcPr>
            <w:tcW w:w="0" w:type="dxa"/>
            <w:vAlign w:val="bottom"/>
          </w:tcPr>
          <w:p>
            <w:pPr>
              <w:spacing w:after="0"/>
              <w:rPr>
                <w:sz w:val="1"/>
                <w:szCs w:val="1"/>
                <w:color w:val="auto"/>
              </w:rPr>
            </w:pPr>
          </w:p>
        </w:tc>
      </w:tr>
      <w:tr>
        <w:trPr>
          <w:trHeight w:val="190"/>
        </w:trPr>
        <w:tc>
          <w:tcPr>
            <w:tcW w:w="10040" w:type="dxa"/>
            <w:vAlign w:val="bottom"/>
            <w:gridSpan w:val="14"/>
          </w:tcPr>
          <w:p>
            <w:pPr>
              <w:spacing w:after="0" w:line="190"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MATTERS</w:t>
              </w:r>
            </w:hyperlink>
          </w:p>
        </w:tc>
        <w:tc>
          <w:tcPr>
            <w:tcW w:w="128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S-31</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INDEX TO INTERIM FINANCIAL STATEMENTS</w:t>
              </w:r>
            </w:hyperlink>
          </w:p>
        </w:tc>
        <w:tc>
          <w:tcPr>
            <w:tcW w:w="608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S-32</w:t>
            </w:r>
          </w:p>
        </w:tc>
        <w:tc>
          <w:tcPr>
            <w:tcW w:w="0" w:type="dxa"/>
            <w:vAlign w:val="bottom"/>
          </w:tcPr>
          <w:p>
            <w:pPr>
              <w:spacing w:after="0"/>
              <w:rPr>
                <w:sz w:val="1"/>
                <w:szCs w:val="1"/>
                <w:color w:val="auto"/>
              </w:rPr>
            </w:pPr>
          </w:p>
        </w:tc>
      </w:tr>
      <w:tr>
        <w:trPr>
          <w:trHeight w:val="196"/>
        </w:trPr>
        <w:tc>
          <w:tcPr>
            <w:tcW w:w="10040" w:type="dxa"/>
            <w:vAlign w:val="bottom"/>
            <w:gridSpan w:val="14"/>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AWARENESS LETTER OF INDEPENDENT REGISTERED PUBLIC ACCOUNTING FIRM</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S-62</w:t>
            </w:r>
          </w:p>
        </w:tc>
        <w:tc>
          <w:tcPr>
            <w:tcW w:w="0" w:type="dxa"/>
            <w:vAlign w:val="bottom"/>
          </w:tcPr>
          <w:p>
            <w:pPr>
              <w:spacing w:after="0"/>
              <w:rPr>
                <w:sz w:val="1"/>
                <w:szCs w:val="1"/>
                <w:color w:val="auto"/>
              </w:rPr>
            </w:pPr>
          </w:p>
        </w:tc>
      </w:tr>
      <w:tr>
        <w:trPr>
          <w:trHeight w:val="196"/>
        </w:trPr>
        <w:tc>
          <w:tcPr>
            <w:tcW w:w="712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CONSENT OF INDEPENDENT REGISTERED PUBLIC ACCOUNTING FIRM</w:t>
              </w:r>
            </w:hyperlink>
          </w:p>
        </w:tc>
        <w:tc>
          <w:tcPr>
            <w:tcW w:w="292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S-63</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3"/>
              </w:rPr>
              <w:t>PROSPECTUS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PROSPECTUS SUMMARY</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040" w:type="dxa"/>
            <w:vAlign w:val="bottom"/>
            <w:gridSpan w:val="14"/>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FEES AND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RISK FACTORS</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FORWARD-LOOKING STATEMENTS</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USE OF PROCEEDS</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SELECTED FINANCIAL DATA</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SENIOR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PRICE RANGE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SALES OF COMMON STOCK BELOW NET ASSET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DISTRIBUTIONS</w:t>
            </w: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BUSINESS</w:t>
            </w: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INVESTMENT OBJECTIVES AND POLICIES</w:t>
            </w: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PORTFOLIO COMPANIES</w:t>
            </w: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MANAGEMENT</w:t>
            </w: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CONTROL PERSONS AND PRINCIPAL STOCKHOLDERS</w:t>
            </w: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CERTAIN RELATIONSHIPS AND TRANSACTIONS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DETERMINATION OF NET ASSET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10040" w:type="dxa"/>
            <w:vAlign w:val="bottom"/>
            <w:gridSpan w:val="14"/>
          </w:tcPr>
          <w:p>
            <w:pPr>
              <w:spacing w:after="0"/>
              <w:rPr>
                <w:sz w:val="20"/>
                <w:szCs w:val="20"/>
                <w:color w:val="auto"/>
              </w:rPr>
            </w:pPr>
            <w:r>
              <w:rPr>
                <w:rFonts w:ascii="Arial" w:cs="Arial" w:eastAsia="Arial" w:hAnsi="Arial"/>
                <w:sz w:val="18"/>
                <w:szCs w:val="18"/>
                <w:b w:val="1"/>
                <w:bCs w:val="1"/>
                <w:color w:val="auto"/>
              </w:rPr>
              <w:t>DESCRIPTION OF OUR CAPITAL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PREFERRED STOCK</w:t>
            </w:r>
          </w:p>
        </w:tc>
        <w:tc>
          <w:tcPr>
            <w:tcW w:w="3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WARRANTS</w:t>
            </w:r>
          </w:p>
        </w:tc>
        <w:tc>
          <w:tcPr>
            <w:tcW w:w="32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SUBSCRIPTION RIGHTS</w:t>
            </w:r>
          </w:p>
        </w:tc>
        <w:tc>
          <w:tcPr>
            <w:tcW w:w="3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DEBT SECURITIES</w:t>
            </w:r>
          </w:p>
        </w:tc>
        <w:tc>
          <w:tcPr>
            <w:tcW w:w="3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REGULATION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BROKERAGE ALLOCATIONS AND OTHER PRACTICES</w:t>
            </w:r>
          </w:p>
        </w:tc>
        <w:tc>
          <w:tcPr>
            <w:tcW w:w="32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MATERIAL U.S. FEDERAL INCOME TAX CONSIDERATIONS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PLAN OF DISTRIBUTION</w:t>
            </w:r>
          </w:p>
        </w:tc>
        <w:tc>
          <w:tcPr>
            <w:tcW w:w="32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CUSTODIAN, TRANSFER AGENT AND TRUSTEE</w:t>
            </w:r>
          </w:p>
        </w:tc>
        <w:tc>
          <w:tcPr>
            <w:tcW w:w="3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LEGAL MATTERS</w:t>
            </w:r>
          </w:p>
        </w:tc>
        <w:tc>
          <w:tcPr>
            <w:tcW w:w="3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INDEPENDENT REGISTERED PUBLIC ACCOUNTING FIRM</w:t>
            </w:r>
          </w:p>
        </w:tc>
        <w:tc>
          <w:tcPr>
            <w:tcW w:w="3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8"/>
        </w:trPr>
        <w:tc>
          <w:tcPr>
            <w:tcW w:w="8040" w:type="dxa"/>
            <w:vAlign w:val="bottom"/>
          </w:tcPr>
          <w:p>
            <w:pPr>
              <w:spacing w:after="0"/>
              <w:rPr>
                <w:sz w:val="20"/>
                <w:szCs w:val="20"/>
                <w:color w:val="auto"/>
              </w:rPr>
            </w:pPr>
            <w:r>
              <w:rPr>
                <w:rFonts w:ascii="Arial" w:cs="Arial" w:eastAsia="Arial" w:hAnsi="Arial"/>
                <w:sz w:val="18"/>
                <w:szCs w:val="18"/>
                <w:b w:val="1"/>
                <w:bCs w:val="1"/>
                <w:color w:val="auto"/>
              </w:rPr>
              <w:t>INDEX TO FINANCIAL STATEMENTS</w:t>
            </w:r>
          </w:p>
        </w:tc>
        <w:tc>
          <w:tcPr>
            <w:tcW w:w="328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You should read carefully the more detailed information set forth under “Risk Factors” and the other information included in the accompanying prospectus before making an investment decision. The forward-looking statements involve risks and uncertainties for both us and our consolidated Small Business Investment Company (“SBIC”) subsidiary and actual results could differ materially from those projected in the forward-looking statements for many reasons, including those factors discussed in “Risk Factors” and elsewhere in the accompanying prospectus and this prospectus supplement. In this prospectus supplement and the accompanying prospectus, except where the context suggests otherwise, the terms “we,” “us,” “Company,” “our” and “PennantPark Investment” refer to PennantPark Investment Corporation; “SBIC LP” and “our SBIC” refer to our wholly owned, consolidated SBIC subsidiary, PennantPark SBIC LP; “PennantPark Investment Advisers” or the “Investment Adviser” refers to PennantPark Investment Advisers, LLC; “PennantPark Investment Administration” or the “Administrator” refers to PennantPark Investment Administration, LLC.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Small Business Administration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business development company under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Small Business Investment Act of 1958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inception in 2007, we have raised nearly $900 million in debt and equity capital, and have invested over $1 billion in over 100 companies and 54 different financial sponsors.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“Management,” “Certain Relationships and Transactions—Investment Management Agreement,” and “Risk Factors—Risks Related to our Business and Structure” in the accompanying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80" w:hanging="325"/>
        <w:spacing w:after="0" w:line="26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900" w:hanging="325"/>
        <w:spacing w:after="0" w:line="31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325"/>
        <w:spacing w:after="0" w:line="26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equity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3" w:lineRule="exact"/>
        <w:rPr>
          <w:sz w:val="20"/>
          <w:szCs w:val="20"/>
          <w:color w:val="auto"/>
        </w:rPr>
      </w:pPr>
    </w:p>
    <w:p>
      <w:pPr>
        <w:ind w:left="900" w:right="140" w:hanging="325"/>
        <w:spacing w:after="0" w:line="262"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Selection Criteria” in the accompanying prospectus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Ability to Source and Evaluate Transactions through our Investment Adviser’s Research Capability and Established Network</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other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financial needs of a company while also generating attractive risk-adjusted returns. We can invest in any part of a capital structure and our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business development company. See “Risk Factors—Risks Relating to our Business and Structure—We operate in a highly competitive market for investment opportunities” in the accompanying prospectus for more information.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(excluding the assets of SBIC LP) with a group of lenders, under which we had $255.8 million outstanding with a weighted average interest rate at the time of 1.28% and had $44.2 million of unused borrowing capacity, which is subject to maintenance of the applicable total assets to debt ratio of 200%, as of December 31, 2010. Pricing of borrowings under our credit facility is set at 100 basis points over the London Interbank Offering Rate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 See “Recent Developments” in this prospectus supplement for more information.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SBA debentures offer competitive terms such as being non-recourse to us, having a 10-year maturity, requiring semi-annual interest payments, not requiring principal payments prior to maturity and may be prepaid at any time without penalty. The SBA debentures are secured by all the investment portfolio assets of SBIC LP and have a superior claim over such assets. See “Regulation” in the accompanying prospectus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PennantPark Investment. Under our investment management agreement (the “Investment Management Agreement”), we have agreed to pay our Investment Adviser an annual base management fee based on our average adjusted gross assets as well as an incentive fee based on our investment performance. See “Business—Investment Management Agreement” in the accompanying prospectus for more information.</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“Business—Administration Agreement” in the accompanying prospectus for more information.</w:t>
      </w:r>
    </w:p>
    <w:p>
      <w:pPr>
        <w:spacing w:after="0" w:line="14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As a business development company, we are required to comply with certain regulatory requirements. Also, while we are permitted to finance investments using debt, our ability to use debt is limited in certain significant respects. See “Regulation” for more information. We have elected to be treated for federal income tax purposes under the Code as a RIC. See “Material U.S. Federal Income Tax Considerations” in the accompanying prospectus for more information.</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wholly owned subsidiary, SBIC LP, received a license from the SBA to operate as an SBIC under Section 301(c) of the 1958 Act and is regulated by the SBA. We serve as the investment adviser and administrator to SBIC LP. As an SBIC, the SBA regulates, among other matters, SBIC LP’s investing activities. See “Regulation” in the accompanying prospectus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supplement to reduce our then-outstanding obligations under our credit facility, to invest in new or existing portfolio companies or for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general corporate purposes. See “Use of Proceeds” in this prospectus supplement for information regarding our outstanding borrowings as of December 31, 2010, the corresponding interest rate charged on such borrowings as of that date and the length of time that it may take us to invest any proceeds in new or existing portfolio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in the accompanying prospectus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 Individuals who hold shares as of this record date and purchased shares in this offering will be eligible to receive such dividends.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 .</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4.75%</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0.33%</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3.67%</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2.53%</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1.03%</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1.14%</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righ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$325,000 and based on the 7,500,000 shares offered in this offering at the last reported closing price of $12.96 per share of our common stock on February 4, 2011.</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assets attributable to common shares equals average net assets at December 31, 2010 plus the anticipated net proceeds from this offering.</w:t>
      </w:r>
    </w:p>
    <w:p>
      <w:pPr>
        <w:spacing w:after="0" w:line="32" w:lineRule="exact"/>
        <w:rPr>
          <w:rFonts w:ascii="Arial" w:cs="Arial" w:eastAsia="Arial" w:hAnsi="Arial"/>
          <w:sz w:val="16"/>
          <w:szCs w:val="16"/>
          <w:color w:val="auto"/>
        </w:rPr>
      </w:pPr>
    </w:p>
    <w:p>
      <w:pPr>
        <w:ind w:left="460" w:right="6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2010,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2010. For more detailed information about the incentive fee, please see “Certain Relationships and Transactions—Investment Management Agreement” in the accompanying prospectus.</w:t>
      </w:r>
    </w:p>
    <w:p>
      <w:pPr>
        <w:spacing w:after="0" w:line="6" w:lineRule="exact"/>
        <w:rPr>
          <w:rFonts w:ascii="Arial" w:cs="Arial" w:eastAsia="Arial" w:hAnsi="Arial"/>
          <w:sz w:val="16"/>
          <w:szCs w:val="16"/>
          <w:color w:val="auto"/>
        </w:rPr>
      </w:pPr>
    </w:p>
    <w:p>
      <w:pPr>
        <w:ind w:left="460" w:right="4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2010, we had $44.2 million unused borrowing capacity, subject to maintenance of the applicable total assets to debt ratio of 200%, and $255.8 million in borrowings outstanding under our $300.0 million credit facility. We may use proceeds of this offering to repay outstanding obligations under our credit facility. After completing this offering, we intend to continue to borrow under our credit facility to finance portfolio investments and are permitted to do so under the terms of our credit facility. We have estimated the interest payments on borrowed funds to take this into account; however, we caution you that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ind w:left="460" w:right="380" w:hanging="452"/>
        <w:spacing w:after="0" w:line="32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2010, annualized for a full year. See our Consolidated Statement of Operations in our consolidated financial statements in this prospectus supplement.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0.33%, (2) total net annual expenses of 5.84% of average net assets attributable to common shares for the three months ended December 31, 2010 as set forth in the table above (other than performance-based incentive fees) and (3) a 5% annual return:</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66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3 Years</w:t>
            </w:r>
          </w:p>
        </w:tc>
        <w:tc>
          <w:tcPr>
            <w:tcW w:w="6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5 Years</w:t>
            </w:r>
          </w:p>
        </w:tc>
        <w:tc>
          <w:tcPr>
            <w:tcW w:w="6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10 Years</w:t>
            </w:r>
          </w:p>
        </w:tc>
        <w:tc>
          <w:tcPr>
            <w:tcW w:w="10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540" w:type="dxa"/>
            <w:vAlign w:val="bottom"/>
            <w:gridSpan w:val="3"/>
            <w:shd w:val="clear" w:color="auto" w:fill="CCEEFF"/>
          </w:tcPr>
          <w:p>
            <w:pPr>
              <w:ind w:left="2500"/>
              <w:spacing w:after="0"/>
              <w:rPr>
                <w:sz w:val="20"/>
                <w:szCs w:val="20"/>
                <w:color w:val="auto"/>
              </w:rPr>
            </w:pPr>
            <w:r>
              <w:rPr>
                <w:rFonts w:ascii="Arial" w:cs="Arial" w:eastAsia="Arial" w:hAnsi="Arial"/>
                <w:sz w:val="18"/>
                <w:szCs w:val="18"/>
                <w:color w:val="auto"/>
              </w:rPr>
              <w:t>$ 106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$ 215</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$ 322</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582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including the Management’s Discussion and Analysis of Financial Condition and Results of Operations, contains statements that constitute forward-looking statements, which relate to both us and our consolidated SBIC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for both us and our consolidated SBIC subsidiary, including statements as to:</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should understand that, under Section 27A(b)(2)(B) of the Securities Act and Section 21E(b)(2)(B) of the Exchange Act, the “safe harbor” provisions of the Private Securities Litigation Reform Act of 1995 do not apply to statements made in connection with any offering of securities pursuant to this prospectus supplement or the accompanying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estimate that net proceeds we will receive from the sale of 7,500,000 shares of our common stock in this offering will be approximately $92.3 million (or approximately $106.1 million if the underwriters fully exercise their overallotment option), in each case based on a public offering price of $12.96 per share, which was the last reported closing price of our common stock on February 4, 2011, after deducting the underwriting discounts and commissions of $4.6 million (or approximately $5.3 million if the underwriters fully exercise their overallotment option) payable by us and estimated offering expenses of approximately $325,000 payable by us. The amount of net 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2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2010, we had $44.2 million unused borrowing capacity, subject to maintenance of the applicable total assets to debt ratio of 200%, and $255.8 million in borrowings outstanding under our $300.0 million credit facility. Borrowings under our credit facility bear interest at an annual rate equal to LIBOR plus 100 basis points per annum. At December 31, 2010, the interest rate at that time was 1.28%. The credit facility is a five-year revolving facility with a stated maturity date of June 25, 2012 and is secured by substantially all of the assets in our investment portfolio, excluding assets of SBIC LP. Amounts repaid under our credit facility will remain available for future borrowings. See “Recent Developments” for more information.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SBA debentures offer competitive terms such as being non-recourse to us, having a 10-year maturity, requiring semi-annual interest payments, not requiring principal payments prior to maturity and may be prepaid at any time without penalty. The SBA debentures are secured by all the investment portfolio assets of SBIC LP and have a superior claim over such assets.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table sets forth our cash and capitalization on December 31, 2010 (1) on an actual basis and (2) on an as-adjusted basis to reflect the effects of the sale of 7,500,000 shares of our common stock in this offering at an offering price of $12.96 per share, which was the last reported closing price of our common stock on February 4, 2011, ($12.30 per share net).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December 31, 2010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4"/>
              <w:spacing w:after="0" w:line="115" w:lineRule="exact"/>
              <w:rPr>
                <w:sz w:val="20"/>
                <w:szCs w:val="20"/>
                <w:color w:val="auto"/>
              </w:rPr>
            </w:pPr>
            <w:r>
              <w:rPr>
                <w:rFonts w:ascii="Arial" w:cs="Arial" w:eastAsia="Arial" w:hAnsi="Arial"/>
                <w:sz w:val="12"/>
                <w:szCs w:val="12"/>
                <w:b w:val="1"/>
                <w:bCs w:val="1"/>
                <w:color w:val="auto"/>
              </w:rPr>
              <w:t>As 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3"/>
                <w:szCs w:val="13"/>
                <w:b w:val="1"/>
                <w:bCs w:val="1"/>
                <w:color w:val="auto"/>
                <w:w w:val="89"/>
              </w:rPr>
              <w:t xml:space="preserve">the offering </w:t>
            </w:r>
            <w:r>
              <w:rPr>
                <w:rFonts w:ascii="Arial" w:cs="Arial" w:eastAsia="Arial" w:hAnsi="Arial"/>
                <w:sz w:val="20"/>
                <w:szCs w:val="20"/>
                <w:b w:val="1"/>
                <w:bCs w:val="1"/>
                <w:color w:val="auto"/>
                <w:w w:val="89"/>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3,022,137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95,280,137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717,319,253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809,577,253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secured credit facility (cost—$255,800,000)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248,445,750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248,445,750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Borrowings under SBA debentures (cost—$30,000,000)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30,000,000</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36,223,950 shares issued and outstanding,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43,723,950 shares issued and outstanding, as-adjusted, respectively.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36,224</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in excess of par</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429,267,895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521,518,395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3,672,171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(63,618,182)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(63,618,182)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26,678,604</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26,678,604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7,354,250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7,354,250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403,390,962</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495,648,962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681,836,712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774,094,712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4, 2011, the last reported closing price of our common stock was $12.96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3"/>
            <w:vMerge w:val="restart"/>
          </w:tcPr>
          <w:p>
            <w:pPr>
              <w:jc w:val="right"/>
              <w:ind w:right="113"/>
              <w:spacing w:after="0"/>
              <w:rPr>
                <w:sz w:val="20"/>
                <w:szCs w:val="20"/>
                <w:color w:val="auto"/>
              </w:rPr>
            </w:pPr>
            <w:r>
              <w:rPr>
                <w:rFonts w:ascii="Arial" w:cs="Arial" w:eastAsia="Arial" w:hAnsi="Arial"/>
                <w:sz w:val="14"/>
                <w:szCs w:val="14"/>
                <w:b w:val="1"/>
                <w:bCs w:val="1"/>
                <w:color w:val="auto"/>
                <w:w w:val="96"/>
              </w:rPr>
              <w:t>Closing Sales Price</w:t>
            </w:r>
          </w:p>
        </w:tc>
        <w:tc>
          <w:tcPr>
            <w:tcW w:w="46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Borders>
              <w:bottom w:val="single" w:sz="8" w:color="auto"/>
            </w:tcBorders>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6"/>
                <w:szCs w:val="6"/>
                <w:color w:val="auto"/>
              </w:rPr>
            </w:pPr>
          </w:p>
        </w:tc>
        <w:tc>
          <w:tcPr>
            <w:tcW w:w="76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gridSpan w:val="2"/>
            <w:vMerge w:val="restart"/>
          </w:tcPr>
          <w:p>
            <w:pPr>
              <w:jc w:val="right"/>
              <w:ind w:right="520"/>
              <w:spacing w:after="0" w:line="209"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15"/>
                <w:szCs w:val="15"/>
                <w:color w:val="auto"/>
              </w:rPr>
            </w:pPr>
          </w:p>
        </w:tc>
        <w:tc>
          <w:tcPr>
            <w:tcW w:w="1200" w:type="dxa"/>
            <w:vAlign w:val="bottom"/>
            <w:gridSpan w:val="2"/>
          </w:tcPr>
          <w:p>
            <w:pPr>
              <w:jc w:val="center"/>
              <w:ind w:right="56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96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2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quarter (through February 4, 2011)</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w:t>
            </w:r>
          </w:p>
        </w:tc>
        <w:tc>
          <w:tcPr>
            <w:tcW w:w="4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0.27</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97</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11.86</w:t>
            </w:r>
          </w:p>
        </w:tc>
        <w:tc>
          <w:tcPr>
            <w:tcW w:w="500" w:type="dxa"/>
            <w:vAlign w:val="bottom"/>
          </w:tcPr>
          <w:p>
            <w:pPr>
              <w:jc w:val="right"/>
              <w:spacing w:after="0"/>
              <w:rPr>
                <w:sz w:val="20"/>
                <w:szCs w:val="20"/>
                <w:color w:val="auto"/>
              </w:rPr>
            </w:pPr>
            <w:r>
              <w:rPr>
                <w:rFonts w:ascii="Arial" w:cs="Arial" w:eastAsia="Arial" w:hAnsi="Arial"/>
                <w:sz w:val="18"/>
                <w:szCs w:val="18"/>
                <w:color w:val="auto"/>
              </w:rPr>
              <w:t>9.15</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77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11.85</w:t>
            </w:r>
          </w:p>
        </w:tc>
        <w:tc>
          <w:tcPr>
            <w:tcW w:w="500" w:type="dxa"/>
            <w:vAlign w:val="bottom"/>
          </w:tcPr>
          <w:p>
            <w:pPr>
              <w:jc w:val="right"/>
              <w:spacing w:after="0"/>
              <w:rPr>
                <w:sz w:val="20"/>
                <w:szCs w:val="20"/>
                <w:color w:val="auto"/>
              </w:rPr>
            </w:pPr>
            <w:r>
              <w:rPr>
                <w:rFonts w:ascii="Arial" w:cs="Arial" w:eastAsia="Arial" w:hAnsi="Arial"/>
                <w:sz w:val="18"/>
                <w:szCs w:val="18"/>
                <w:color w:val="auto"/>
              </w:rPr>
              <w:t>9.06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76</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12.00</w:t>
            </w:r>
          </w:p>
        </w:tc>
        <w:tc>
          <w:tcPr>
            <w:tcW w:w="500" w:type="dxa"/>
            <w:vAlign w:val="bottom"/>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10.26</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12.07</w:t>
            </w:r>
          </w:p>
        </w:tc>
        <w:tc>
          <w:tcPr>
            <w:tcW w:w="500" w:type="dxa"/>
            <w:vAlign w:val="bottom"/>
          </w:tcPr>
          <w:p>
            <w:pPr>
              <w:jc w:val="right"/>
              <w:spacing w:after="0"/>
              <w:rPr>
                <w:sz w:val="20"/>
                <w:szCs w:val="20"/>
                <w:color w:val="auto"/>
              </w:rPr>
            </w:pPr>
            <w:r>
              <w:rPr>
                <w:rFonts w:ascii="Arial" w:cs="Arial" w:eastAsia="Arial" w:hAnsi="Arial"/>
                <w:sz w:val="18"/>
                <w:szCs w:val="18"/>
                <w:color w:val="auto"/>
              </w:rPr>
              <w:t>14.49</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12.83</w:t>
            </w:r>
          </w:p>
        </w:tc>
        <w:tc>
          <w:tcPr>
            <w:tcW w:w="500" w:type="dxa"/>
            <w:vAlign w:val="bottom"/>
          </w:tcPr>
          <w:p>
            <w:pPr>
              <w:jc w:val="right"/>
              <w:spacing w:after="0"/>
              <w:rPr>
                <w:sz w:val="20"/>
                <w:szCs w:val="20"/>
                <w:color w:val="auto"/>
              </w:rPr>
            </w:pPr>
            <w:r>
              <w:rPr>
                <w:rFonts w:ascii="Arial" w:cs="Arial" w:eastAsia="Arial" w:hAnsi="Arial"/>
                <w:sz w:val="18"/>
                <w:szCs w:val="18"/>
                <w:color w:val="auto"/>
              </w:rPr>
              <w:t>14.76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115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“Certain Relationships and Transactions” in the accompanying prospectus for more information.</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Payable April 1, 2011.</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From April 24, 2007 (initial public offering) to June 30, 2007.</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$12.25 and $10.61 as of December 31, 2010 and September 30, 2010, respectively. Our NAV was $11.14 and $10.69, as of December 31, 2010 and September 30,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2010, 2009 and 2008, and for the period from January 11, 2007 (inception) through September 30, 2007 are derived from our financial statements which have been audited by KPMG LLP, our independent registered public accounting firm. This selected financial data for the periods ended September 30, 2010, 2009, 2008 and 2007 should be read in conjunction with our financial statements and related notes thereto and “Management’s Discussion and Analysis of Financial Condition and Results of Operations” and “Regulation—Senior Securities” in the accompanying prospectus. Interim results as of and for the three months ended December 31, 2010, are not necessarily indicative of the results that may be expected for the year ending September 30, 2011. This selected financial data for the three months ended December 31, 2010 should be read in conjunction with our consolidated financial statements and related notes thereto and “Management’s Discussion and Analysis of Financial Condition and Results of Operations” in this prospectus supplement.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Three months</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ended</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7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7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19,979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60,140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45,119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39,811</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expenses before base management fee waiver</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21,676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Net expenses after base management fee waiver</w:t>
            </w:r>
            <w:r>
              <w:rPr>
                <w:rFonts w:ascii="Arial" w:cs="Arial" w:eastAsia="Arial" w:hAnsi="Arial"/>
                <w:sz w:val="11"/>
                <w:szCs w:val="11"/>
                <w:color w:val="auto"/>
                <w:w w:val="99"/>
              </w:rPr>
              <w:t>(1)</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8,808</w:t>
            </w:r>
          </w:p>
        </w:tc>
        <w:tc>
          <w:tcPr>
            <w:tcW w:w="820" w:type="dxa"/>
            <w:vAlign w:val="bottom"/>
          </w:tcPr>
          <w:p>
            <w:pPr>
              <w:jc w:val="right"/>
              <w:spacing w:after="0"/>
              <w:rPr>
                <w:sz w:val="20"/>
                <w:szCs w:val="20"/>
                <w:color w:val="auto"/>
              </w:rPr>
            </w:pPr>
            <w:r>
              <w:rPr>
                <w:rFonts w:ascii="Arial" w:cs="Arial" w:eastAsia="Arial" w:hAnsi="Arial"/>
                <w:sz w:val="18"/>
                <w:szCs w:val="18"/>
                <w:color w:val="auto"/>
              </w:rPr>
              <w:t>28,065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21,255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11,171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14,351</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(15,539)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from operations</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25,522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0.31</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0.40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Net increase (decrease) in net assets resulting</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0.71</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(0.26)</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717,319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419,811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704,268</w:t>
            </w:r>
          </w:p>
        </w:tc>
        <w:tc>
          <w:tcPr>
            <w:tcW w:w="820" w:type="dxa"/>
            <w:vAlign w:val="bottom"/>
          </w:tcPr>
          <w:p>
            <w:pPr>
              <w:jc w:val="right"/>
              <w:spacing w:after="0"/>
              <w:rPr>
                <w:sz w:val="20"/>
                <w:szCs w:val="20"/>
                <w:color w:val="auto"/>
              </w:rPr>
            </w:pPr>
            <w:r>
              <w:rPr>
                <w:rFonts w:ascii="Arial" w:cs="Arial" w:eastAsia="Arial" w:hAnsi="Arial"/>
                <w:sz w:val="18"/>
                <w:szCs w:val="18"/>
                <w:color w:val="auto"/>
              </w:rPr>
              <w:t>664,724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469,760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372,148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278,446</w:t>
            </w:r>
            <w:r>
              <w:rPr>
                <w:rFonts w:ascii="Arial" w:cs="Arial" w:eastAsia="Arial" w:hAnsi="Arial"/>
                <w:sz w:val="11"/>
                <w:szCs w:val="11"/>
                <w:color w:val="auto"/>
              </w:rPr>
              <w:t>(5)</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Payable for investments and unfunded</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18,580</w:t>
            </w:r>
          </w:p>
        </w:tc>
        <w:tc>
          <w:tcPr>
            <w:tcW w:w="820" w:type="dxa"/>
            <w:vAlign w:val="bottom"/>
          </w:tcPr>
          <w:p>
            <w:pPr>
              <w:jc w:val="right"/>
              <w:spacing w:after="0"/>
              <w:rPr>
                <w:sz w:val="20"/>
                <w:szCs w:val="20"/>
                <w:color w:val="auto"/>
              </w:rPr>
            </w:pPr>
            <w:r>
              <w:rPr>
                <w:rFonts w:ascii="Arial" w:cs="Arial" w:eastAsia="Arial" w:hAnsi="Arial"/>
                <w:sz w:val="18"/>
                <w:szCs w:val="18"/>
                <w:color w:val="auto"/>
              </w:rPr>
              <w:t>74,988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25,821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403,391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210,728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17.91%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220" w:hanging="332"/>
        <w:spacing w:after="0" w:line="25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 in the accompanying prospectus for more information.</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taking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2011</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$19,979</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$25,522</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51"/>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5"/>
              </w:rPr>
              <w:t>Q1</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16,681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16,335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13,525</w:t>
            </w: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$ 13,599</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8,957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8,821</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7,238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(10,090)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1,438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6,630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4,260</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8,676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11.07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11.86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r>
      <w:tr>
        <w:trPr>
          <w:trHeight w:val="365"/>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5"/>
              </w:rPr>
              <w:t>Q1</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11,847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10,770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10,425</w:t>
            </w: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$ 12,077</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6,018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5,768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20,162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36,932</w:t>
            </w:r>
          </w:p>
        </w:tc>
        <w:tc>
          <w:tcPr>
            <w:tcW w:w="24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(37,525)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26,180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42,199</w:t>
            </w:r>
          </w:p>
        </w:tc>
        <w:tc>
          <w:tcPr>
            <w:tcW w:w="240" w:type="dxa"/>
            <w:vAlign w:val="bottom"/>
          </w:tcPr>
          <w:p>
            <w:pPr>
              <w:spacing w:after="0"/>
              <w:rPr>
                <w:sz w:val="18"/>
                <w:szCs w:val="18"/>
                <w:color w:val="auto"/>
              </w:rPr>
            </w:pPr>
          </w:p>
        </w:tc>
        <w:tc>
          <w:tcPr>
            <w:tcW w:w="980" w:type="dxa"/>
            <w:vAlign w:val="bottom"/>
            <w:gridSpan w:val="6"/>
          </w:tcPr>
          <w:p>
            <w:pPr>
              <w:jc w:val="right"/>
              <w:ind w:right="80"/>
              <w:spacing w:after="0"/>
              <w:rPr>
                <w:sz w:val="20"/>
                <w:szCs w:val="20"/>
                <w:color w:val="auto"/>
              </w:rPr>
            </w:pPr>
            <w:r>
              <w:rPr>
                <w:rFonts w:ascii="Arial" w:cs="Arial" w:eastAsia="Arial" w:hAnsi="Arial"/>
                <w:sz w:val="18"/>
                <w:szCs w:val="18"/>
                <w:color w:val="auto"/>
              </w:rPr>
              <w:t>$ (31,757)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10.24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r>
      <w:tr>
        <w:trPr>
          <w:trHeight w:val="365"/>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5"/>
              </w:rPr>
              <w:t>Q1</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11,431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9,004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3,941</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4,732</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(16,475)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11,263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(37,778)</w:t>
            </w:r>
          </w:p>
        </w:tc>
        <w:tc>
          <w:tcPr>
            <w:tcW w:w="9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(16,269)</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(11,041)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15,204</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(33,329)</w:t>
            </w:r>
          </w:p>
        </w:tc>
        <w:tc>
          <w:tcPr>
            <w:tcW w:w="980" w:type="dxa"/>
            <w:vAlign w:val="bottom"/>
            <w:gridSpan w:val="6"/>
          </w:tcPr>
          <w:p>
            <w:pPr>
              <w:jc w:val="right"/>
              <w:ind w:right="80"/>
              <w:spacing w:after="0"/>
              <w:rPr>
                <w:sz w:val="20"/>
                <w:szCs w:val="20"/>
                <w:color w:val="auto"/>
              </w:rPr>
            </w:pPr>
            <w:r>
              <w:rPr>
                <w:rFonts w:ascii="Arial" w:cs="Arial" w:eastAsia="Arial" w:hAnsi="Arial"/>
                <w:sz w:val="18"/>
                <w:szCs w:val="18"/>
                <w:color w:val="auto"/>
              </w:rPr>
              <w:t>$ (11,537)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12.07</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10.02</w:t>
            </w:r>
          </w:p>
        </w:tc>
        <w:tc>
          <w:tcPr>
            <w:tcW w:w="100" w:type="dxa"/>
            <w:vAlign w:val="bottom"/>
            <w:shd w:val="clear" w:color="auto" w:fill="CCEEFF"/>
          </w:tcPr>
          <w:p>
            <w:pPr>
              <w:spacing w:after="0"/>
              <w:rPr>
                <w:sz w:val="18"/>
                <w:szCs w:val="18"/>
                <w:color w:val="auto"/>
              </w:rPr>
            </w:pPr>
          </w:p>
        </w:tc>
      </w:tr>
      <w:tr>
        <w:trPr>
          <w:trHeight w:val="365"/>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9"/>
              </w:rPr>
              <w:t>Q2*</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3,208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(18,870)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(14,522)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12.08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320"/>
        <w:spacing w:after="0" w:line="3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Overview</w:t>
      </w:r>
    </w:p>
    <w:p>
      <w:pPr>
        <w:spacing w:after="0" w:line="2"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PennantPark Investment, through the Investment Adviser, provides similar services to SBIC LP under its investment management agreement with us. The SBIC LP investment management agreement does not affect the management and incentive fees that we pay to the Investment Adviser on a consolidated basis. We have also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PennantPark Investment Advisers, supervises our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payments-in-kind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contractual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December 31, 2010, our portfolio totaled $704.3 million and consisted of $277.6 million of senior secured loans, $101.5 million of second lien secured debt, $266.8 million of subordinated debt and $58.4 million of preferred and common equity investments. Our portfolio consisted of 52% fixed rate investments, 34% variable rate investments with a LIBOR or prime floor and 14% variable rate investments. Overall, the portfolio had an unrealized appreciation of $26.7 million. Our overall portfolio consisted of 45 companies with an average investment size of $15.7 million, a weighted average yield on debt investments of 13.4%, and was invested 40% in senior secured loans, 14% in second lien secured debt, 38% in subordinated debt and 8% in preferred and common equity investments.</w:t>
      </w:r>
    </w:p>
    <w:p>
      <w:pPr>
        <w:spacing w:after="0" w:line="14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investments, 26% variable rate investments with a LIBOR or prime floor and 25% variable rate investments. Overall, the portfolio had an unrealized appreciation of $8.0 million.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December 31, 2010, we invested $99.9 million in six new portfolio companies and one existing portfolio company with a weighted average yield on debt investments of 15.0% (yield on debt investments, excluding value of attached equity, was 14.0%). Sales and repayments of long-term investments for the three months ended December 31, 2010 totaled $85.5 million.</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 term investments for the three months ended December 31, 2009 totaled $16.8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generally accepted accounting principles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 in this prospectus supplement.</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Fair Value Measurements, as defined under Accounting Standards Codification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to using the above inputs in cash and cash equivalents, investments and long-term credit facility valuations, PennantPark Investment employs the valuation policy approved by its board of directors that is consistent with ASC 820 (See Note 2 to our consolidated financial statements in this prospectus supplement). Consistent with our valuation policy, PennantPark Investment evaluates the source of inputs, including any markets in which its investments are trading, in determining fair value.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of an investment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three months ended December 31, 2010 was $20.0 million and was primarily attributable to $7.3 million from senior secured loans, $3.2 million from second lien secured debt investments and $7.4 million from subordinated debt investments. This compares to investment income for the three months ended December 31, 2009, which was $13.6 million, and was primarily attributable to $3.5 million from senior secured loans, $3.2 million from second lien secured debt investments and $5.4 million from subordinated debt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investments. The remaining investment income for the three months ended December 31, 2010 and 2009 was primarily attributed to interest income from net accretion of discount and amortization of premium. The increase in investment income compared with the same period in the prior year is due to the growth of our portfolio and by rotation out of lower yielding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for the three months ended December 31, 2010, totaled $8.8 million. Base management fee for the same period totaled $3.5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incentive fee totaled $2.8 million, credit facility and SBA debentures related expenses totaled $1.1 million,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totaled $1.3 million, and excise taxes totaled $0.1 million. This compares to expenses for the three months ended December 31, 2009, which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 million. Base management fee for the same period totaled $2.5 million, performance-based incentive fee totaled $1.8 million, credit facility 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totaled $0.8 million, general and administrative expenses totaled $1.1 million and excise taxes totaled $0.1 million. The increase in expenses is due to the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portfolio and net investment income.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investment income totaled $11.2 million, or $0.31 per share, for the three months ended December 31, 2010, and $7.2 million, or $0.28 per share, for the three months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months ended December 31, 2010 totaled $85.5 million and realized gains totaled $2.3 million due to sales and repayments of our debt investments. Sales and repayments of long-term investments totaled $16.8 million and net realized losses totaled $16.6 million for the three months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December 31, 2010 and 2009, our investments had a net change in unrealized appreciation of $18.7 million and $23.9 million, respectively. The decrease in the net change in unrealized appreciation compared to the prior year is the result of the changes in the leveraged credit markets over the comparable period. On December 31, 2010 and September 30, 2010, net unrealized appreciation on investments totaled $26.7 million and $8.0 million, respectively.</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the three months ended December 31, 2010 and 2009, our long-term credit facility had a net change in unrealized appreciation of $6.6 million and $5.8 million, respectively. Net change in unrealized appreciation on our credit facility over the prior year is the result of it approaching maturity. On December 31, 2010 and September 30, 2010, net unrealized depreciation on our long-term credit facility totaled $7.4 million and $14.0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$25.5 million, or $0.71 per share, for the three months ended December 31, 2010. This compares to a net increase in net assets resulting from operations which totaled $8.7 million, or $0.34 per share, for the three months ended December 31, 2009. This increase in net assets from operations is due to the continued growth in net investment income as a result of growing our portfolio offset by the appreciation in the value of our credit facility as it approaches maturity.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rotation out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2010 and September 30, 2010, we had $44.2 million and $66.9 million, respectively,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PennantPark Investment entered into its credit facility, among us, various lenders and SunTrust Bank, as administrative agent for the lenders. SunTrust Robinson Humphrey Capital Markets acted as the joint lead arranger and JPMorgan Chase (Chase Lincoln First Commercial as successor in interest of Bear Stearns Corporate Lending Inc.) acted as joint lead arranger and syndication agent. As of December 31, 2010 and September 30, 2010, there were $255.8 million and $233.1 million (including a $5.2 million temporary draw) in outstanding borrowings under the credit facility, with a weighted average interest rate at the time of 1.28% and 1.34%, exclusive of the fee on undrawn commitment of 0.20%, respectively.</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PennantPark Investment’s portfolio. As of December 31, 2010, we were in compliance with the terms of our credit facility.</w:t>
      </w:r>
    </w:p>
    <w:p>
      <w:pPr>
        <w:spacing w:after="0" w:line="14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private offerings of securities, by securitizing a portion of our investments or borrowing from the SBA through our SBIC subsidiary, among other considerations.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Furthermore, our availability under the credit facility depends on various covenants and restrictions discussed in the preceding paragraph. The primary uses of existing funds and any funds raised in the future is expected to be for repayment of indebtedness, investments in portfolio companies, cash distributions to our shareholders and other general corporate purposes. See “Recent Developments” for more information.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months ended December 31, 2010, we did not sell shares of our common stock. This compares to selling 0.4 million shares for $3.3 million for the same period in the prior year. Any sale or other issuance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shares of our common stock at a price below net asset value per share has resulted and will continue to result in an immediate dilution to our stockholder’s interest in our common stock and a reduction of our net asset value per share.</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2010, we had committed $50.0 million to SBIC LP, funded SBIC LP with equity capital of $50.0 million, had SBA debentures outstanding of $30.0 million with a weighted average interest rate at the time of 0.96%, exclusive of 3.43% of upfront fees and had $70 million remaining unused borrowing capacity subject to customary regulatory requirements. As of September 30, 2010, we had committed $50.0 million to SBIC LP, funded SBIC LP with equity capital of $14.5 million, had SBA debentures outstanding of $14.5 million with a weighted average interest rate at the time of 0.84%, exclusive of 3.43% of upfront fees, and had $19 million remaining unused borrowing capacity.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December 31, 2010, SBIC LP had a debenture commitment from the SBA in the amount of $100.0 million with $30.0 million outstanding. Of the $30.0 million of SBA debentures outstanding, $0.5 million is fixed for 10-years with a rate of 3.50% (inclusive of the SBA annual fee) and $29.5 million is temporary financing currently bearing a weighted average rate of 0.92% that will reset to a market-driven rate in March 2011 and will remain fixed thereafter for 10 years.</w:t>
      </w:r>
    </w:p>
    <w:p>
      <w:pPr>
        <w:spacing w:after="0" w:line="143"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December 31, 2010, SBIC LP was in compliance with its regulatory requirements.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filing of its SBA license application, PennantPark Investment has applied for exemptive relief from the SEC to permit us to exclude the debt of SBIC LP from our consolidated asset coverage ratio. There can be no assurance that we will be able to capitalize SBIC LP with sufficient regulatory capital to borrow the maximum amount available or that we will receive an exemptive relief from the SEC with respect to the SBA-guaranteed debentures.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2010, we had approximately $60 million of assets bearing a coupon of 9% or lower. We will seek to rotate these assets into new higher yielding investments over time.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activities used cash of $27.3 million for the three months ended December 31, 2010, and our financing activities provided cash of $28.5 million for the same period, primarily from net borrowings under the credit facility and SBA debentures.</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cash of $18.9 million for the same period, primarily from proceeds on issuance of common stock and net borrowings on our credit facility.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2010 including, but not limited to, borrowings under our multi-currency $300.0 million, five-year, revolving credit facility maturing in June 2012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1000" w:type="dxa"/>
            <w:vAlign w:val="bottom"/>
            <w:gridSpan w:val="2"/>
          </w:tcPr>
          <w:p>
            <w:pPr>
              <w:jc w:val="right"/>
              <w:ind w:right="82"/>
              <w:spacing w:after="0" w:line="129" w:lineRule="exact"/>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SBA debentures</w:t>
            </w:r>
            <w:r>
              <w:rPr>
                <w:rFonts w:ascii="Arial" w:cs="Arial" w:eastAsia="Arial" w:hAnsi="Arial"/>
                <w:sz w:val="11"/>
                <w:szCs w:val="11"/>
                <w:color w:val="auto"/>
              </w:rPr>
              <w:t>(2)</w:t>
            </w:r>
          </w:p>
        </w:tc>
        <w:tc>
          <w:tcPr>
            <w:tcW w:w="1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left="136"/>
              <w:spacing w:after="0"/>
              <w:rPr>
                <w:sz w:val="20"/>
                <w:szCs w:val="20"/>
                <w:color w:val="auto"/>
              </w:rPr>
            </w:pPr>
            <w:r>
              <w:rPr>
                <w:rFonts w:ascii="Arial" w:cs="Arial" w:eastAsia="Arial" w:hAnsi="Arial"/>
                <w:sz w:val="18"/>
                <w:szCs w:val="18"/>
                <w:color w:val="auto"/>
                <w:w w:val="85"/>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(3)</w:t>
            </w:r>
          </w:p>
        </w:tc>
        <w:tc>
          <w:tcPr>
            <w:tcW w:w="1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(4)</w:t>
            </w:r>
          </w:p>
        </w:tc>
        <w:tc>
          <w:tcPr>
            <w:tcW w:w="1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2010, we had $44.2 million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ind w:left="460" w:right="3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2010, SBIC LP had $70.0 million of unused borrowing capacity under SBIC LP’s commitment from the SBA and $29.5 million of SBA debentures that will have a rate reset in March 2011.</w:t>
      </w:r>
    </w:p>
    <w:p>
      <w:pPr>
        <w:ind w:left="460" w:right="3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December 31, 2010 is 1.25% exclusive of the fee on the undrawn commitment of 0.20% on the credit facility and 3.43% of upfront fees on SBIC LP’s SBA debentures.</w:t>
      </w:r>
    </w:p>
    <w:p>
      <w:pPr>
        <w:ind w:left="460" w:right="6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 and subordinated debt investments.</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the consolidated financial statements in this prospectus supplement.</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 in this prospectus supplement.</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 For the three months ended December 31, 2010 and 2009, we have elected to retain a portion of our calendar year income and record an excise tax of $0.1 million and $0.1 million, respectively.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December 31, 2010 and 2009, we declared distributions of $0.26 and $0.25 per share, respectively, for total distributions of $9.4 million and $6.5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53"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4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December 31, 2010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Morgan Stanley &amp; Co. Incorporated, J.P. Morgan Securities LLC and Stifel, Nicolaus &amp; Company, Incorporated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97" w:lineRule="exact"/>
        <w:rPr>
          <w:sz w:val="20"/>
          <w:szCs w:val="20"/>
          <w:color w:val="auto"/>
        </w:rPr>
      </w:pPr>
    </w:p>
    <w:p>
      <w:pPr>
        <w:ind w:left="1840"/>
        <w:spacing w:after="0"/>
        <w:rPr>
          <w:sz w:val="20"/>
          <w:szCs w:val="20"/>
          <w:color w:val="auto"/>
        </w:rPr>
      </w:pPr>
      <w:r>
        <w:rPr>
          <w:rFonts w:ascii="Arial" w:cs="Arial" w:eastAsia="Arial" w:hAnsi="Arial"/>
          <w:sz w:val="12"/>
          <w:szCs w:val="12"/>
          <w:b w:val="1"/>
          <w:bCs w:val="1"/>
          <w:color w:val="auto"/>
        </w:rPr>
        <w:t>Underwriter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10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-7620</wp:posOffset>
            </wp:positionV>
            <wp:extent cx="574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80" w:space="720"/>
            <w:col w:w="2720"/>
          </w:cols>
          <w:pgMar w:left="240" w:top="459" w:right="239"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FBR Capital Markets &amp; Co.</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supplement and to dealers at that price less a concession not in excess of $ per share. The underwriters may allow, and the dealers may reallow, a discount not in excess of $ per share to other dealers. After the public offering, the public offering price, concession and discount may be changed.</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1,125,000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Without Option</w:t>
            </w:r>
          </w:p>
        </w:tc>
        <w:tc>
          <w:tcPr>
            <w:tcW w:w="6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7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38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to PennantPark Investment Corporation (before offering expenses of $325,000)</w:t>
            </w:r>
          </w:p>
        </w:tc>
        <w:tc>
          <w:tcPr>
            <w:tcW w:w="1380" w:type="dxa"/>
            <w:vAlign w:val="bottom"/>
            <w:gridSpan w:val="2"/>
            <w:shd w:val="clear" w:color="auto" w:fill="CCEEFF"/>
          </w:tcPr>
          <w:p>
            <w:pPr>
              <w:jc w:val="right"/>
              <w:ind w:right="442"/>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943"/>
        </w:trPr>
        <w:tc>
          <w:tcPr>
            <w:tcW w:w="7020" w:type="dxa"/>
            <w:vAlign w:val="bottom"/>
          </w:tcPr>
          <w:p>
            <w:pPr>
              <w:ind w:left="5540"/>
              <w:spacing w:after="0"/>
              <w:rPr>
                <w:sz w:val="20"/>
                <w:szCs w:val="20"/>
                <w:color w:val="auto"/>
              </w:rPr>
            </w:pPr>
            <w:r>
              <w:rPr>
                <w:rFonts w:ascii="Arial" w:cs="Arial" w:eastAsia="Arial" w:hAnsi="Arial"/>
                <w:sz w:val="18"/>
                <w:szCs w:val="18"/>
                <w:color w:val="auto"/>
              </w:rPr>
              <w:t>S-27</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1,125,000 additional shares at the public offering price less the underwriting discount. The underwriters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agreed, with exceptions, not to sell or transfer any common stock for 90 days after the date of this prospectus without first obtaining the written consent of Morgan Stanley &amp; Co. Incorporated, J.P. Morgan Securities LLC and Stifel, Nicolaus &amp; Company, Incorporated.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Incorporated, J.P. Morgan Securities LLC and Stifel, Nicolaus &amp; Company, Incorporated. Specifically, we and these other individuals and entities have agreed not to directly or indirectly:</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Affiliates of certain of the underwriters serve as lenders under our credit facility. Some of the underwriters and their affiliates were underwriters in connection with our initial public offering and follow-on public offerings for which they received customary fees. Affiliates of the underwriters may receive part of the proceeds of the offering by reason of the repayment of certain amounts outstanding under our credit facility.</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principal business address of the underwriters are: Morgan Stanley &amp; Co. Incorporated is 1585 Broadway, New York, NY 10036; J.P. Morgan Securities LLC is 383 Madison Ave., New York, NY 10179; and Stifel, Nicolaus &amp; Company, Incorporated is One Financial Plaza, 501 N. Broadway, St. Louis, MO 63102.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four of whom are not “interested persons” of PennantPark Investment as defined in Section 2(a) (19) of the 1940 Act. We refer to these individuals as our independent directors. Our board of directors elects our officers, who serve at the discretion of the board of directors. Below is a summary of our board Composition and Leadership Structure. See “Management” in the accompanying prospectus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The 1940 Act requires that at least a majority of the Company’s directors not be “interested persons” (as defined in the 1940 Act) of the Company. Currently, four of the Company’s five directors are Independent Directors; however the Chairman of the Board of Directors is an interested person of the Company. The Independent Directors believe that the combined position of Chief Executive Officer of the Company and Chairman of the Board of Directors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Adviser or PennantPark Investment Administration, LLC (the “Administrator”), is appropriate in light of the services that the Adviser and the Administrator provides to the Company and the potential conflicts of interest that could arise from these relationships.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Biographical Information.</w:t>
      </w:r>
    </w:p>
    <w:p>
      <w:pPr>
        <w:spacing w:after="0" w:line="9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Our Investment Adviser has experienced investment professionals who are partners of the firm.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See “Management,” “Certain Relationships and Transactions—Investment Management Agreement,” and “Risk Factors-Risks Relating to our Business and Structure” in the accompanying prospectus for more information.</w:t>
      </w:r>
    </w:p>
    <w:p>
      <w:pPr>
        <w:spacing w:after="0" w:line="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Arthur H. Penn,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Salvatore Giannetti III became Partner of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 Whitridge Williams, Jr. became Partner of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Jose A. Briones became Partner of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Sutherland Asbill &amp; Brennan LLP, Washington, D.C.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ind w:left="12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0"/>
        </w:trPr>
        <w:tc>
          <w:tcPr>
            <w:tcW w:w="6580" w:type="dxa"/>
            <w:vAlign w:val="bottom"/>
            <w:gridSpan w:val="3"/>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ind w:left="1260"/>
              <w:spacing w:after="0" w:line="190" w:lineRule="exact"/>
              <w:rPr>
                <w:sz w:val="20"/>
                <w:szCs w:val="20"/>
                <w:color w:val="auto"/>
              </w:rPr>
            </w:pPr>
            <w:r>
              <w:rPr>
                <w:rFonts w:ascii="Arial" w:cs="Arial" w:eastAsia="Arial" w:hAnsi="Arial"/>
                <w:sz w:val="18"/>
                <w:szCs w:val="18"/>
                <w:b w:val="1"/>
                <w:bCs w:val="1"/>
                <w:color w:val="auto"/>
                <w:w w:val="78"/>
              </w:rPr>
              <w:t>S-33</w:t>
            </w:r>
          </w:p>
        </w:tc>
        <w:tc>
          <w:tcPr>
            <w:tcW w:w="0" w:type="dxa"/>
            <w:vAlign w:val="bottom"/>
          </w:tcPr>
          <w:p>
            <w:pPr>
              <w:spacing w:after="0"/>
              <w:rPr>
                <w:sz w:val="1"/>
                <w:szCs w:val="1"/>
                <w:color w:val="auto"/>
              </w:rPr>
            </w:pPr>
          </w:p>
        </w:tc>
      </w:tr>
      <w:tr>
        <w:trPr>
          <w:trHeight w:val="20"/>
        </w:trPr>
        <w:tc>
          <w:tcPr>
            <w:tcW w:w="3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vMerge w:val="restart"/>
          </w:tcPr>
          <w:p>
            <w:pPr>
              <w:ind w:left="1260"/>
              <w:spacing w:after="0"/>
              <w:rPr>
                <w:sz w:val="20"/>
                <w:szCs w:val="20"/>
                <w:color w:val="auto"/>
              </w:rPr>
            </w:pPr>
            <w:r>
              <w:rPr>
                <w:rFonts w:ascii="Arial" w:cs="Arial" w:eastAsia="Arial" w:hAnsi="Arial"/>
                <w:sz w:val="18"/>
                <w:szCs w:val="18"/>
                <w:b w:val="1"/>
                <w:bCs w:val="1"/>
                <w:color w:val="auto"/>
                <w:w w:val="78"/>
              </w:rPr>
              <w:t>S-34</w:t>
            </w:r>
          </w:p>
        </w:tc>
        <w:tc>
          <w:tcPr>
            <w:tcW w:w="0" w:type="dxa"/>
            <w:vAlign w:val="bottom"/>
          </w:tcPr>
          <w:p>
            <w:pPr>
              <w:spacing w:after="0" w:line="20" w:lineRule="exact"/>
              <w:rPr>
                <w:sz w:val="1"/>
                <w:szCs w:val="1"/>
                <w:color w:val="auto"/>
              </w:rPr>
            </w:pPr>
          </w:p>
        </w:tc>
      </w:tr>
      <w:tr>
        <w:trPr>
          <w:trHeight w:val="304"/>
        </w:trPr>
        <w:tc>
          <w:tcPr>
            <w:tcW w:w="974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Assets and Liabilities as of December 31, 2010 (unaudited) and September 30, 2010</w:t>
              </w:r>
            </w:hyperlink>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Operations for the three months ended December 31, 2010 and 2009 (unaudited)</w:t>
              </w:r>
            </w:hyperlink>
          </w:p>
        </w:tc>
        <w:tc>
          <w:tcPr>
            <w:tcW w:w="240" w:type="dxa"/>
            <w:vAlign w:val="bottom"/>
            <w:tcBorders>
              <w:top w:val="single" w:sz="8" w:color="0000EE"/>
            </w:tcBorders>
            <w:gridSpan w:val="2"/>
          </w:tcPr>
          <w:p>
            <w:pPr>
              <w:spacing w:after="0"/>
              <w:rPr>
                <w:sz w:val="24"/>
                <w:szCs w:val="24"/>
                <w:color w:val="auto"/>
              </w:rPr>
            </w:pPr>
          </w:p>
        </w:tc>
        <w:tc>
          <w:tcPr>
            <w:tcW w:w="1800" w:type="dxa"/>
            <w:vAlign w:val="bottom"/>
            <w:gridSpan w:val="2"/>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S-35</w:t>
            </w:r>
          </w:p>
        </w:tc>
        <w:tc>
          <w:tcPr>
            <w:tcW w:w="0" w:type="dxa"/>
            <w:vAlign w:val="bottom"/>
          </w:tcPr>
          <w:p>
            <w:pPr>
              <w:spacing w:after="0"/>
              <w:rPr>
                <w:sz w:val="1"/>
                <w:szCs w:val="1"/>
                <w:color w:val="auto"/>
              </w:rPr>
            </w:pPr>
          </w:p>
        </w:tc>
      </w:tr>
      <w:tr>
        <w:trPr>
          <w:trHeight w:val="304"/>
        </w:trPr>
        <w:tc>
          <w:tcPr>
            <w:tcW w:w="6580" w:type="dxa"/>
            <w:vAlign w:val="bottom"/>
            <w:gridSpan w:val="3"/>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Changes in Net Assets for the three months ended December 31,</w:t>
              </w:r>
            </w:hyperlink>
          </w:p>
        </w:tc>
        <w:tc>
          <w:tcPr>
            <w:tcW w:w="3160" w:type="dxa"/>
            <w:vAlign w:val="bottom"/>
            <w:gridSpan w:val="6"/>
          </w:tcPr>
          <w:p>
            <w:pPr>
              <w:ind w:left="40"/>
              <w:spacing w:after="0"/>
              <w:rPr>
                <w:rFonts w:ascii="Arial" w:cs="Arial" w:eastAsia="Arial" w:hAnsi="Arial"/>
                <w:sz w:val="18"/>
                <w:szCs w:val="18"/>
                <w:color w:val="0000EE"/>
              </w:rPr>
            </w:pPr>
            <w:hyperlink w:anchor="page39">
              <w:r>
                <w:rPr>
                  <w:rFonts w:ascii="Arial" w:cs="Arial" w:eastAsia="Arial" w:hAnsi="Arial"/>
                  <w:sz w:val="18"/>
                  <w:szCs w:val="18"/>
                  <w:color w:val="0000EE"/>
                </w:rPr>
                <w:t>2010 and 2009 (unaudited)</w:t>
              </w:r>
            </w:hyperlink>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S-36</w:t>
            </w:r>
          </w:p>
        </w:tc>
        <w:tc>
          <w:tcPr>
            <w:tcW w:w="0" w:type="dxa"/>
            <w:vAlign w:val="bottom"/>
          </w:tcPr>
          <w:p>
            <w:pPr>
              <w:spacing w:after="0"/>
              <w:rPr>
                <w:sz w:val="1"/>
                <w:szCs w:val="1"/>
                <w:color w:val="auto"/>
              </w:rPr>
            </w:pPr>
          </w:p>
        </w:tc>
      </w:tr>
      <w:tr>
        <w:trPr>
          <w:trHeight w:val="304"/>
        </w:trPr>
        <w:tc>
          <w:tcPr>
            <w:tcW w:w="8500" w:type="dxa"/>
            <w:vAlign w:val="bottom"/>
            <w:tcBorders>
              <w:top w:val="single" w:sz="8" w:color="0000EE"/>
            </w:tcBorders>
            <w:gridSpan w:val="8"/>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Consolidated Statements of Cash Flows for the three months ended December 31, 2010 and 2009 (unaudited)</w:t>
              </w:r>
            </w:hyperlink>
          </w:p>
        </w:tc>
        <w:tc>
          <w:tcPr>
            <w:tcW w:w="124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S-37</w:t>
            </w:r>
          </w:p>
        </w:tc>
        <w:tc>
          <w:tcPr>
            <w:tcW w:w="0" w:type="dxa"/>
            <w:vAlign w:val="bottom"/>
          </w:tcPr>
          <w:p>
            <w:pPr>
              <w:spacing w:after="0"/>
              <w:rPr>
                <w:sz w:val="1"/>
                <w:szCs w:val="1"/>
                <w:color w:val="auto"/>
              </w:rPr>
            </w:pPr>
          </w:p>
        </w:tc>
      </w:tr>
      <w:tr>
        <w:trPr>
          <w:trHeight w:val="304"/>
        </w:trPr>
        <w:tc>
          <w:tcPr>
            <w:tcW w:w="6580" w:type="dxa"/>
            <w:vAlign w:val="bottom"/>
            <w:tcBorders>
              <w:top w:val="single" w:sz="8" w:color="0000EE"/>
            </w:tcBorders>
            <w:gridSpan w:val="3"/>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Schedules of Investments as of December 31, 2010 (unaudited) and September</w:t>
              </w:r>
            </w:hyperlink>
          </w:p>
        </w:tc>
        <w:tc>
          <w:tcPr>
            <w:tcW w:w="1120" w:type="dxa"/>
            <w:vAlign w:val="bottom"/>
            <w:tcBorders>
              <w:top w:val="single" w:sz="8" w:color="0000EE"/>
            </w:tcBorders>
            <w:gridSpan w:val="2"/>
          </w:tcPr>
          <w:p>
            <w:pPr>
              <w:ind w:left="40"/>
              <w:spacing w:after="0"/>
              <w:rPr>
                <w:rFonts w:ascii="Arial" w:cs="Arial" w:eastAsia="Arial" w:hAnsi="Arial"/>
                <w:sz w:val="18"/>
                <w:szCs w:val="18"/>
                <w:color w:val="0000EE"/>
              </w:rPr>
            </w:pPr>
            <w:hyperlink w:anchor="page41">
              <w:r>
                <w:rPr>
                  <w:rFonts w:ascii="Arial" w:cs="Arial" w:eastAsia="Arial" w:hAnsi="Arial"/>
                  <w:sz w:val="18"/>
                  <w:szCs w:val="18"/>
                  <w:color w:val="0000EE"/>
                </w:rPr>
                <w:t>30, 2010</w:t>
              </w:r>
            </w:hyperlink>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S-38</w:t>
            </w:r>
          </w:p>
        </w:tc>
        <w:tc>
          <w:tcPr>
            <w:tcW w:w="0" w:type="dxa"/>
            <w:vAlign w:val="bottom"/>
          </w:tcPr>
          <w:p>
            <w:pPr>
              <w:spacing w:after="0"/>
              <w:rPr>
                <w:sz w:val="1"/>
                <w:szCs w:val="1"/>
                <w:color w:val="auto"/>
              </w:rPr>
            </w:pPr>
          </w:p>
        </w:tc>
      </w:tr>
      <w:tr>
        <w:trPr>
          <w:trHeight w:val="304"/>
        </w:trPr>
        <w:tc>
          <w:tcPr>
            <w:tcW w:w="658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 (unaudited)</w:t>
              </w:r>
            </w:hyperlink>
          </w:p>
        </w:tc>
        <w:tc>
          <w:tcPr>
            <w:tcW w:w="6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S-47</w:t>
            </w:r>
          </w:p>
        </w:tc>
        <w:tc>
          <w:tcPr>
            <w:tcW w:w="0" w:type="dxa"/>
            <w:vAlign w:val="bottom"/>
          </w:tcPr>
          <w:p>
            <w:pPr>
              <w:spacing w:after="0"/>
              <w:rPr>
                <w:sz w:val="1"/>
                <w:szCs w:val="1"/>
                <w:color w:val="auto"/>
              </w:rPr>
            </w:pPr>
          </w:p>
        </w:tc>
      </w:tr>
      <w:tr>
        <w:trPr>
          <w:trHeight w:val="383"/>
        </w:trPr>
        <w:tc>
          <w:tcPr>
            <w:tcW w:w="39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ind w:left="1420"/>
              <w:spacing w:after="0"/>
              <w:rPr>
                <w:sz w:val="20"/>
                <w:szCs w:val="20"/>
                <w:color w:val="auto"/>
              </w:rPr>
            </w:pPr>
            <w:r>
              <w:rPr>
                <w:rFonts w:ascii="Arial" w:cs="Arial" w:eastAsia="Arial" w:hAnsi="Arial"/>
                <w:sz w:val="18"/>
                <w:szCs w:val="18"/>
                <w:color w:val="auto"/>
              </w:rPr>
              <w:t>S-32</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schedules of investments, as of December 31, 2010, and the consolidated statements of operations, changes in net assets, and cash flows for the three month periods ended December 31, 2010 and 2009. These interim consolidated financial statements are the responsibility of the Company’s management.</w:t>
      </w:r>
    </w:p>
    <w:p>
      <w:pPr>
        <w:spacing w:after="0" w:line="143"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2010; and in our report dated November 17, 2010,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123315" cy="231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3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4"/>
              </w:rPr>
              <w:t>(unaudited)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 (cost—$651,948,035 and $631,280,755,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680,710,779</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641,290,626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 (cost—$17,641,671 and $17,427,648,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15,557,531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 (cost—$8,000,100 and $8,000,100,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tcPr>
          <w:p>
            <w:pPr>
              <w:ind w:left="440"/>
              <w:spacing w:after="0"/>
              <w:rPr>
                <w:sz w:val="20"/>
                <w:szCs w:val="20"/>
                <w:color w:val="auto"/>
              </w:rPr>
            </w:pPr>
            <w:r>
              <w:rPr>
                <w:rFonts w:ascii="Arial" w:cs="Arial" w:eastAsia="Arial" w:hAnsi="Arial"/>
                <w:sz w:val="18"/>
                <w:szCs w:val="18"/>
                <w:color w:val="auto"/>
              </w:rPr>
              <w:t>Total Investments, at fair value (cost—$677,589,806 and $656,708,503,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704,268,410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664,724,406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7,357,002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2,671,704</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717,319,253</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711,493,846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9,418,227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18,580,431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Credit facility payable (cost—$255,800,000 and $233,100,000, respectively) (See Notes 5 and 10)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248,445,750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219,141,125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(cost—$30,000,000 and $14,500,000, respectively) (See Note 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267,310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3,498,594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2,792,994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2,239,011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924,985</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313,928,291</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324,918,623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9"/>
              </w:rPr>
              <w:t>Common stock, par value $0.001 per share, 100,000,000 shares authorized, 36,223,950 and 36,158,772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36,224</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429,267,895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428,675,184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3,672,171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(63,618,182)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(65,911,544)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26,678,604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8,015,903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7,354,250</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403,390,962</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386,575,223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717,319,253</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711,493,846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Three Months Ended December 31,</w:t>
            </w:r>
          </w:p>
        </w:tc>
      </w:tr>
      <w:tr>
        <w:trPr>
          <w:trHeight w:val="168"/>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18,559,165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12,951,233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846,584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319,603</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363,432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327,649</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19,979,181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13,598,485</w:t>
            </w: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3,498,594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2,524,653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2,792,994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1,809,380</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1,135,427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818,683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579,055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557,504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8,689,429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8,808,396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11,170,785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7,237,888</w:t>
            </w:r>
          </w:p>
        </w:tc>
      </w:tr>
      <w:tr>
        <w:trPr>
          <w:trHeight w:val="221"/>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2,293,362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(16,603,865)</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18,752,873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24,093,662</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(90,172)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(212,524)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(See Note 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(6,604,625)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(5,838,914)</w:t>
            </w:r>
          </w:p>
        </w:tc>
      </w:tr>
      <w:tr>
        <w:trPr>
          <w:trHeight w:val="230"/>
        </w:trPr>
        <w:tc>
          <w:tcPr>
            <w:tcW w:w="2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12,058,076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18,042,224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14,351,438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25,522,223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8,676,247</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increase in net assets resulting from operations per common share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11,170,785</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7,237,888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(loss) on investments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18,662,701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(6,604,625)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(5,838,914)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25,522,223</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8,676,247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(9,418,227)</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(6,452,193)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net assets</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16,815,739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Beginning of period</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403,390,962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306,148,322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Undistributed net investment income, at period end</w:t>
            </w: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3,672,171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25,522,223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8,676,247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increase in net assets resulting from operations to net cash used for operating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(18,662,701)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(23,881,138)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6,604,625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(2,293,362)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(1,214,474)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(99,940,829)</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(50,481,259)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(2,968,067)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(1,159,733)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85,535,428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5,457,094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30,254,774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2,680,116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255,290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(52,785,000)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(3,623,003)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 and/or SBA debentures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52,175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211,778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553,983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(221,836)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(27,261,902)</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(45,083,996)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0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 net of dividends reinvested</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(8,689,537)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Borrowings under SBA debentures (See Note 10)</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15,500,000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(1,040,875)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136,000,000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(113,300,000)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(30,700,000)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28,469,588</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18,887,495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1,207,686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(26,196,501)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33,247,666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3,022,137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7,051,165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931,687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Dividends reinvested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711,743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00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Maturity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9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Par/Shares</w:t>
            </w:r>
          </w:p>
        </w:tc>
        <w:tc>
          <w:tcPr>
            <w:tcW w:w="12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Investments in Non-Controlled, Non-Affiliated Portfolio Companies—168.7%</w:t>
            </w:r>
            <w:r>
              <w:rPr>
                <w:rFonts w:ascii="Arial" w:cs="Arial" w:eastAsia="Arial" w:hAnsi="Arial"/>
                <w:sz w:val="11"/>
                <w:szCs w:val="11"/>
                <w:b w:val="1"/>
                <w:bCs w:val="1"/>
                <w:color w:val="auto"/>
              </w:rPr>
              <w:t>(1),(2)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First Lien Secured Debt—67.4%</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Affinity Group Holdings, Inc.</w:t>
            </w:r>
            <w:r>
              <w:rPr>
                <w:rFonts w:ascii="Arial" w:cs="Arial" w:eastAsia="Arial" w:hAnsi="Arial"/>
                <w:sz w:val="11"/>
                <w:szCs w:val="11"/>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12/01/2016</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Consumer Products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$12,000,000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$ 11,751,046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gridSpan w:val="3"/>
          </w:tcPr>
          <w:p>
            <w:pPr>
              <w:spacing w:after="0" w:line="49" w:lineRule="exact"/>
              <w:rPr>
                <w:sz w:val="20"/>
                <w:szCs w:val="20"/>
                <w:color w:val="auto"/>
              </w:rPr>
            </w:pPr>
            <w:r>
              <w:rPr>
                <w:rFonts w:ascii="Arial" w:cs="Arial" w:eastAsia="Arial" w:hAnsi="Arial"/>
                <w:sz w:val="5"/>
                <w:szCs w:val="5"/>
                <w:color w:val="auto"/>
              </w:rPr>
              <w:t>Airvana Networks Solution, Inc.</w:t>
            </w:r>
          </w:p>
        </w:tc>
        <w:tc>
          <w:tcPr>
            <w:tcW w:w="1220" w:type="dxa"/>
            <w:vAlign w:val="bottom"/>
            <w:gridSpan w:val="2"/>
          </w:tcPr>
          <w:p>
            <w:pPr>
              <w:jc w:val="right"/>
              <w:ind w:right="360"/>
              <w:spacing w:after="0" w:line="49" w:lineRule="exact"/>
              <w:rPr>
                <w:sz w:val="20"/>
                <w:szCs w:val="20"/>
                <w:color w:val="auto"/>
              </w:rPr>
            </w:pPr>
            <w:r>
              <w:rPr>
                <w:rFonts w:ascii="Arial" w:cs="Arial" w:eastAsia="Arial" w:hAnsi="Arial"/>
                <w:sz w:val="5"/>
                <w:szCs w:val="5"/>
                <w:color w:val="auto"/>
              </w:rPr>
              <w:t>08/27/2014</w:t>
            </w:r>
          </w:p>
        </w:tc>
        <w:tc>
          <w:tcPr>
            <w:tcW w:w="1620" w:type="dxa"/>
            <w:vAlign w:val="bottom"/>
          </w:tcPr>
          <w:p>
            <w:pPr>
              <w:jc w:val="center"/>
              <w:spacing w:after="0" w:line="49" w:lineRule="exact"/>
              <w:rPr>
                <w:sz w:val="20"/>
                <w:szCs w:val="20"/>
                <w:color w:val="auto"/>
              </w:rPr>
            </w:pPr>
            <w:r>
              <w:rPr>
                <w:rFonts w:ascii="Arial" w:cs="Arial" w:eastAsia="Arial" w:hAnsi="Arial"/>
                <w:sz w:val="5"/>
                <w:szCs w:val="5"/>
                <w:color w:val="auto"/>
              </w:rPr>
              <w:t>Communications</w:t>
            </w:r>
          </w:p>
        </w:tc>
        <w:tc>
          <w:tcPr>
            <w:tcW w:w="1100" w:type="dxa"/>
            <w:vAlign w:val="bottom"/>
            <w:gridSpan w:val="3"/>
          </w:tcPr>
          <w:p>
            <w:pPr>
              <w:jc w:val="right"/>
              <w:ind w:right="320"/>
              <w:spacing w:after="0" w:line="49" w:lineRule="exact"/>
              <w:rPr>
                <w:sz w:val="20"/>
                <w:szCs w:val="20"/>
                <w:color w:val="auto"/>
              </w:rPr>
            </w:pPr>
            <w:r>
              <w:rPr>
                <w:rFonts w:ascii="Arial" w:cs="Arial" w:eastAsia="Arial" w:hAnsi="Arial"/>
                <w:sz w:val="5"/>
                <w:szCs w:val="5"/>
                <w:color w:val="auto"/>
              </w:rPr>
              <w:t>11.00%</w:t>
            </w:r>
          </w:p>
        </w:tc>
        <w:tc>
          <w:tcPr>
            <w:tcW w:w="92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L+900</w:t>
            </w:r>
          </w:p>
        </w:tc>
        <w:tc>
          <w:tcPr>
            <w:tcW w:w="1120" w:type="dxa"/>
            <w:vAlign w:val="bottom"/>
            <w:gridSpan w:val="3"/>
          </w:tcPr>
          <w:p>
            <w:pPr>
              <w:jc w:val="right"/>
              <w:ind w:right="120"/>
              <w:spacing w:after="0" w:line="49" w:lineRule="exact"/>
              <w:rPr>
                <w:sz w:val="20"/>
                <w:szCs w:val="20"/>
                <w:color w:val="auto"/>
              </w:rPr>
            </w:pPr>
            <w:r>
              <w:rPr>
                <w:rFonts w:ascii="Arial" w:cs="Arial" w:eastAsia="Arial" w:hAnsi="Arial"/>
                <w:sz w:val="5"/>
                <w:szCs w:val="5"/>
                <w:color w:val="auto"/>
              </w:rPr>
              <w:t>11,833,333</w:t>
            </w:r>
          </w:p>
        </w:tc>
        <w:tc>
          <w:tcPr>
            <w:tcW w:w="1100" w:type="dxa"/>
            <w:vAlign w:val="bottom"/>
            <w:gridSpan w:val="2"/>
          </w:tcPr>
          <w:p>
            <w:pPr>
              <w:jc w:val="right"/>
              <w:spacing w:after="0" w:line="49" w:lineRule="exact"/>
              <w:rPr>
                <w:sz w:val="20"/>
                <w:szCs w:val="20"/>
                <w:color w:val="auto"/>
              </w:rPr>
            </w:pPr>
            <w:r>
              <w:rPr>
                <w:rFonts w:ascii="Arial" w:cs="Arial" w:eastAsia="Arial" w:hAnsi="Arial"/>
                <w:sz w:val="5"/>
                <w:szCs w:val="5"/>
                <w:color w:val="auto"/>
              </w:rPr>
              <w:t>11,614,917</w:t>
            </w:r>
          </w:p>
        </w:tc>
        <w:tc>
          <w:tcPr>
            <w:tcW w:w="1220" w:type="dxa"/>
            <w:vAlign w:val="bottom"/>
            <w:gridSpan w:val="2"/>
          </w:tcPr>
          <w:p>
            <w:pPr>
              <w:jc w:val="right"/>
              <w:spacing w:after="0" w:line="49" w:lineRule="exact"/>
              <w:rPr>
                <w:sz w:val="20"/>
                <w:szCs w:val="20"/>
                <w:color w:val="auto"/>
              </w:rPr>
            </w:pPr>
            <w:r>
              <w:rPr>
                <w:rFonts w:ascii="Arial" w:cs="Arial" w:eastAsia="Arial" w:hAnsi="Arial"/>
                <w:sz w:val="5"/>
                <w:szCs w:val="5"/>
                <w:color w:val="auto"/>
              </w:rPr>
              <w:t>11,853,060</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vMerge w:val="continue"/>
          </w:tcPr>
          <w:p>
            <w:pPr>
              <w:spacing w:after="0"/>
              <w:rPr>
                <w:sz w:val="4"/>
                <w:szCs w:val="4"/>
                <w:color w:val="auto"/>
              </w:rPr>
            </w:pPr>
          </w:p>
        </w:tc>
        <w:tc>
          <w:tcPr>
            <w:tcW w:w="3000" w:type="dxa"/>
            <w:vAlign w:val="bottom"/>
            <w:gridSpan w:val="3"/>
            <w:shd w:val="clear" w:color="auto" w:fill="CCEEFF"/>
          </w:tcPr>
          <w:p>
            <w:pPr>
              <w:spacing w:after="0" w:line="49" w:lineRule="exact"/>
              <w:rPr>
                <w:sz w:val="20"/>
                <w:szCs w:val="20"/>
                <w:color w:val="auto"/>
              </w:rPr>
            </w:pPr>
            <w:r>
              <w:rPr>
                <w:rFonts w:ascii="Arial" w:cs="Arial" w:eastAsia="Arial" w:hAnsi="Arial"/>
                <w:sz w:val="5"/>
                <w:szCs w:val="5"/>
                <w:color w:val="auto"/>
              </w:rPr>
              <w:t>Birch Communications, Inc.</w:t>
            </w:r>
          </w:p>
        </w:tc>
        <w:tc>
          <w:tcPr>
            <w:tcW w:w="1220" w:type="dxa"/>
            <w:vAlign w:val="bottom"/>
            <w:gridSpan w:val="2"/>
            <w:shd w:val="clear" w:color="auto" w:fill="CCEEFF"/>
          </w:tcPr>
          <w:p>
            <w:pPr>
              <w:jc w:val="right"/>
              <w:ind w:right="360"/>
              <w:spacing w:after="0" w:line="49" w:lineRule="exact"/>
              <w:rPr>
                <w:sz w:val="20"/>
                <w:szCs w:val="20"/>
                <w:color w:val="auto"/>
              </w:rPr>
            </w:pPr>
            <w:r>
              <w:rPr>
                <w:rFonts w:ascii="Arial" w:cs="Arial" w:eastAsia="Arial" w:hAnsi="Arial"/>
                <w:sz w:val="5"/>
                <w:szCs w:val="5"/>
                <w:color w:val="auto"/>
              </w:rPr>
              <w:t>06/21/2015</w:t>
            </w:r>
          </w:p>
        </w:tc>
        <w:tc>
          <w:tcPr>
            <w:tcW w:w="1620" w:type="dxa"/>
            <w:vAlign w:val="bottom"/>
            <w:shd w:val="clear" w:color="auto" w:fill="CCEEFF"/>
          </w:tcPr>
          <w:p>
            <w:pPr>
              <w:jc w:val="center"/>
              <w:spacing w:after="0" w:line="49" w:lineRule="exact"/>
              <w:rPr>
                <w:sz w:val="20"/>
                <w:szCs w:val="20"/>
                <w:color w:val="auto"/>
              </w:rPr>
            </w:pPr>
            <w:r>
              <w:rPr>
                <w:rFonts w:ascii="Arial" w:cs="Arial" w:eastAsia="Arial" w:hAnsi="Arial"/>
                <w:sz w:val="5"/>
                <w:szCs w:val="5"/>
                <w:color w:val="auto"/>
              </w:rPr>
              <w:t>Telecommunications</w:t>
            </w:r>
          </w:p>
        </w:tc>
        <w:tc>
          <w:tcPr>
            <w:tcW w:w="1100" w:type="dxa"/>
            <w:vAlign w:val="bottom"/>
            <w:gridSpan w:val="3"/>
            <w:shd w:val="clear" w:color="auto" w:fill="CCEEFF"/>
          </w:tcPr>
          <w:p>
            <w:pPr>
              <w:jc w:val="right"/>
              <w:ind w:right="320"/>
              <w:spacing w:after="0" w:line="49" w:lineRule="exact"/>
              <w:rPr>
                <w:sz w:val="20"/>
                <w:szCs w:val="20"/>
                <w:color w:val="auto"/>
              </w:rPr>
            </w:pPr>
            <w:r>
              <w:rPr>
                <w:rFonts w:ascii="Arial" w:cs="Arial" w:eastAsia="Arial" w:hAnsi="Arial"/>
                <w:sz w:val="5"/>
                <w:szCs w:val="5"/>
                <w:color w:val="auto"/>
              </w:rPr>
              <w:t>15.00%</w:t>
            </w:r>
          </w:p>
        </w:tc>
        <w:tc>
          <w:tcPr>
            <w:tcW w:w="920" w:type="dxa"/>
            <w:vAlign w:val="bottom"/>
            <w:gridSpan w:val="2"/>
            <w:shd w:val="clear" w:color="auto" w:fill="CCEEFF"/>
          </w:tcPr>
          <w:p>
            <w:pPr>
              <w:jc w:val="right"/>
              <w:ind w:right="260"/>
              <w:spacing w:after="0" w:line="49" w:lineRule="exact"/>
              <w:rPr>
                <w:sz w:val="20"/>
                <w:szCs w:val="20"/>
                <w:color w:val="auto"/>
              </w:rPr>
            </w:pPr>
            <w:r>
              <w:rPr>
                <w:rFonts w:ascii="Arial" w:cs="Arial" w:eastAsia="Arial" w:hAnsi="Arial"/>
                <w:sz w:val="5"/>
                <w:szCs w:val="5"/>
                <w:color w:val="auto"/>
              </w:rPr>
              <w:t>L+1,300</w:t>
            </w:r>
          </w:p>
        </w:tc>
        <w:tc>
          <w:tcPr>
            <w:tcW w:w="1120" w:type="dxa"/>
            <w:vAlign w:val="bottom"/>
            <w:gridSpan w:val="3"/>
            <w:shd w:val="clear" w:color="auto" w:fill="CCEEFF"/>
          </w:tcPr>
          <w:p>
            <w:pPr>
              <w:jc w:val="right"/>
              <w:ind w:right="120"/>
              <w:spacing w:after="0" w:line="49" w:lineRule="exact"/>
              <w:rPr>
                <w:sz w:val="20"/>
                <w:szCs w:val="20"/>
                <w:color w:val="auto"/>
              </w:rPr>
            </w:pPr>
            <w:r>
              <w:rPr>
                <w:rFonts w:ascii="Arial" w:cs="Arial" w:eastAsia="Arial" w:hAnsi="Arial"/>
                <w:sz w:val="5"/>
                <w:szCs w:val="5"/>
                <w:color w:val="auto"/>
              </w:rPr>
              <w:t>20,000,000</w:t>
            </w:r>
          </w:p>
        </w:tc>
        <w:tc>
          <w:tcPr>
            <w:tcW w:w="110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19,444,282</w:t>
            </w:r>
          </w:p>
        </w:tc>
        <w:tc>
          <w:tcPr>
            <w:tcW w:w="122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20,220,000</w:t>
            </w: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CEVA Group PLC</w:t>
            </w:r>
            <w:r>
              <w:rPr>
                <w:rFonts w:ascii="Arial" w:cs="Arial" w:eastAsia="Arial" w:hAnsi="Arial"/>
                <w:sz w:val="11"/>
                <w:szCs w:val="11"/>
                <w:color w:val="auto"/>
              </w:rPr>
              <w:t>(5),(10)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10/01/2016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Logistics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11.63%</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7,500,000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7,310,855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8,231,250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gridSpan w:val="3"/>
          </w:tcPr>
          <w:p>
            <w:pPr>
              <w:spacing w:after="0" w:line="162" w:lineRule="exact"/>
              <w:rPr>
                <w:sz w:val="20"/>
                <w:szCs w:val="20"/>
                <w:color w:val="auto"/>
              </w:rPr>
            </w:pPr>
            <w:r>
              <w:rPr>
                <w:rFonts w:ascii="Arial" w:cs="Arial" w:eastAsia="Arial" w:hAnsi="Arial"/>
                <w:sz w:val="18"/>
                <w:szCs w:val="18"/>
                <w:color w:val="auto"/>
              </w:rPr>
              <w:t>CEVA Group PLC</w:t>
            </w:r>
            <w:r>
              <w:rPr>
                <w:rFonts w:ascii="Arial" w:cs="Arial" w:eastAsia="Arial" w:hAnsi="Arial"/>
                <w:sz w:val="11"/>
                <w:szCs w:val="11"/>
                <w:color w:val="auto"/>
              </w:rPr>
              <w:t>(5),(10)</w:t>
            </w:r>
          </w:p>
        </w:tc>
        <w:tc>
          <w:tcPr>
            <w:tcW w:w="1220" w:type="dxa"/>
            <w:vAlign w:val="bottom"/>
            <w:gridSpan w:val="2"/>
          </w:tcPr>
          <w:p>
            <w:pPr>
              <w:jc w:val="right"/>
              <w:ind w:right="360"/>
              <w:spacing w:after="0" w:line="162" w:lineRule="exact"/>
              <w:rPr>
                <w:sz w:val="20"/>
                <w:szCs w:val="20"/>
                <w:color w:val="auto"/>
              </w:rPr>
            </w:pPr>
            <w:r>
              <w:rPr>
                <w:rFonts w:ascii="Arial" w:cs="Arial" w:eastAsia="Arial" w:hAnsi="Arial"/>
                <w:sz w:val="18"/>
                <w:szCs w:val="18"/>
                <w:color w:val="auto"/>
                <w:w w:val="93"/>
              </w:rPr>
              <w:t>04/01/2018</w:t>
            </w:r>
          </w:p>
        </w:tc>
        <w:tc>
          <w:tcPr>
            <w:tcW w:w="1620" w:type="dxa"/>
            <w:vAlign w:val="bottom"/>
          </w:tcPr>
          <w:p>
            <w:pPr>
              <w:jc w:val="center"/>
              <w:spacing w:after="0" w:line="162" w:lineRule="exact"/>
              <w:rPr>
                <w:sz w:val="20"/>
                <w:szCs w:val="20"/>
                <w:color w:val="auto"/>
              </w:rPr>
            </w:pPr>
            <w:r>
              <w:rPr>
                <w:rFonts w:ascii="Arial" w:cs="Arial" w:eastAsia="Arial" w:hAnsi="Arial"/>
                <w:sz w:val="18"/>
                <w:szCs w:val="18"/>
                <w:color w:val="auto"/>
                <w:w w:val="91"/>
              </w:rPr>
              <w:t>Logistics</w:t>
            </w:r>
          </w:p>
        </w:tc>
        <w:tc>
          <w:tcPr>
            <w:tcW w:w="1100" w:type="dxa"/>
            <w:vAlign w:val="bottom"/>
            <w:gridSpan w:val="3"/>
          </w:tcPr>
          <w:p>
            <w:pPr>
              <w:jc w:val="right"/>
              <w:ind w:right="320"/>
              <w:spacing w:after="0" w:line="162" w:lineRule="exact"/>
              <w:rPr>
                <w:sz w:val="20"/>
                <w:szCs w:val="20"/>
                <w:color w:val="auto"/>
              </w:rPr>
            </w:pPr>
            <w:r>
              <w:rPr>
                <w:rFonts w:ascii="Arial" w:cs="Arial" w:eastAsia="Arial" w:hAnsi="Arial"/>
                <w:sz w:val="18"/>
                <w:szCs w:val="18"/>
                <w:color w:val="auto"/>
              </w:rPr>
              <w:t>11.50%</w:t>
            </w:r>
          </w:p>
        </w:tc>
        <w:tc>
          <w:tcPr>
            <w:tcW w:w="920" w:type="dxa"/>
            <w:vAlign w:val="bottom"/>
            <w:gridSpan w:val="2"/>
          </w:tcPr>
          <w:p>
            <w:pPr>
              <w:jc w:val="right"/>
              <w:ind w:right="340"/>
              <w:spacing w:after="0" w:line="16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162" w:lineRule="exact"/>
              <w:rPr>
                <w:sz w:val="20"/>
                <w:szCs w:val="20"/>
                <w:color w:val="auto"/>
              </w:rPr>
            </w:pPr>
            <w:r>
              <w:rPr>
                <w:rFonts w:ascii="Arial" w:cs="Arial" w:eastAsia="Arial" w:hAnsi="Arial"/>
                <w:sz w:val="18"/>
                <w:szCs w:val="18"/>
                <w:color w:val="auto"/>
              </w:rPr>
              <w:t>1,000,000</w:t>
            </w:r>
          </w:p>
        </w:tc>
        <w:tc>
          <w:tcPr>
            <w:tcW w:w="11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988,048</w:t>
            </w:r>
          </w:p>
        </w:tc>
        <w:tc>
          <w:tcPr>
            <w:tcW w:w="12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1,080,000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Chester Downs and Marina, LLC</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07/31/2016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Hotels, Motels, Inns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12.38%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L+988</w:t>
            </w:r>
            <w:r>
              <w:rPr>
                <w:rFonts w:ascii="Arial" w:cs="Arial" w:eastAsia="Arial" w:hAnsi="Arial"/>
                <w:sz w:val="22"/>
                <w:szCs w:val="22"/>
                <w:color w:val="auto"/>
                <w:vertAlign w:val="superscript"/>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9,062,500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8,603,111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9,141,797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and Gaming</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Columbus International, Inc.</w:t>
            </w:r>
            <w:r>
              <w:rPr>
                <w:rFonts w:ascii="Arial" w:cs="Arial" w:eastAsia="Arial" w:hAnsi="Arial"/>
                <w:sz w:val="11"/>
                <w:szCs w:val="11"/>
                <w:color w:val="auto"/>
              </w:rPr>
              <w:t>(5),(10)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11/20/2014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Communications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Covad Communications</w:t>
            </w: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3"/>
              </w:rPr>
              <w:t>11/03/2015</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8"/>
              </w:rPr>
              <w:t>Telecommunications</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7"/>
              </w:rPr>
              <w:t>L+1,000</w:t>
            </w: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7,000,000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6,862,322</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7,017,500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0" w:type="dxa"/>
            <w:vAlign w:val="bottom"/>
            <w:gridSpan w:val="2"/>
          </w:tcPr>
          <w:p>
            <w:pPr>
              <w:ind w:left="200"/>
              <w:spacing w:after="0" w:line="47" w:lineRule="exact"/>
              <w:rPr>
                <w:sz w:val="20"/>
                <w:szCs w:val="20"/>
                <w:color w:val="auto"/>
              </w:rPr>
            </w:pPr>
            <w:r>
              <w:rPr>
                <w:rFonts w:ascii="Arial" w:cs="Arial" w:eastAsia="Arial" w:hAnsi="Arial"/>
                <w:sz w:val="5"/>
                <w:szCs w:val="5"/>
                <w:color w:val="auto"/>
              </w:rPr>
              <w:t>Group, Inc.</w:t>
            </w:r>
          </w:p>
        </w:tc>
        <w:tc>
          <w:tcPr>
            <w:tcW w:w="2000" w:type="dxa"/>
            <w:vAlign w:val="bottom"/>
            <w:vMerge w:val="restart"/>
          </w:tcPr>
          <w:p>
            <w:pPr>
              <w:jc w:val="right"/>
              <w:ind w:right="1804"/>
              <w:spacing w:after="0"/>
              <w:rPr>
                <w:sz w:val="20"/>
                <w:szCs w:val="20"/>
                <w:color w:val="auto"/>
              </w:rPr>
            </w:pPr>
            <w:r>
              <w:rPr>
                <w:rFonts w:ascii="Arial" w:cs="Arial" w:eastAsia="Arial" w:hAnsi="Arial"/>
                <w:sz w:val="11"/>
                <w:szCs w:val="11"/>
                <w:color w:val="auto"/>
                <w:w w:val="88"/>
              </w:rPr>
              <w:t>(5)</w:t>
            </w:r>
          </w:p>
        </w:tc>
        <w:tc>
          <w:tcPr>
            <w:tcW w:w="1220" w:type="dxa"/>
            <w:vAlign w:val="bottom"/>
            <w:gridSpan w:val="2"/>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EnviroSolutions, Inc.</w:t>
            </w:r>
            <w:r>
              <w:rPr>
                <w:rFonts w:ascii="Arial" w:cs="Arial" w:eastAsia="Arial" w:hAnsi="Arial"/>
                <w:sz w:val="11"/>
                <w:szCs w:val="11"/>
                <w:color w:val="auto"/>
              </w:rPr>
              <w:t>(9)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07/29/2013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Environmental</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6,666,666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6,666,666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Fairway Group Acquisition Company</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10/01/2014</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Grocery</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L+950</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11,875,057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11,633,164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11,875,057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Hanley-Wood, L.L.C.</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03/08/2014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L+225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8,730,000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08/07/2014</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Printing and</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14.50%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L+950</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24,812,500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24,355,557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25,110,250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Publishing</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Jacuzzi Brands Corp.</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02/07/2014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Home and Office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L+225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9,726,351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9,726,351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Furnishings,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Housewares and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Durable Consumer</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Products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09/10/2015</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Chemicals, Plastics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10.00%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P+675</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18,952,500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17,866,534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18,573,450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and Rubber</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04/27/2016</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Education</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26,052,632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25,498,156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26,313,158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Penton Media, Inc.</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08/01/2014</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5.00%</w:t>
            </w:r>
            <w:r>
              <w:rPr>
                <w:rFonts w:ascii="Arial" w:cs="Arial" w:eastAsia="Arial" w:hAnsi="Arial"/>
                <w:sz w:val="11"/>
                <w:szCs w:val="11"/>
                <w:color w:val="auto"/>
              </w:rPr>
              <w:t>(6)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L+400</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9,827,611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8,505,772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7,763,812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Questex Media Group LLC</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12/16/2012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L+650</w:t>
            </w:r>
            <w:r>
              <w:rPr>
                <w:rFonts w:ascii="Arial" w:cs="Arial" w:eastAsia="Arial" w:hAnsi="Arial"/>
                <w:sz w:val="11"/>
                <w:szCs w:val="11"/>
                <w:color w:val="auto"/>
              </w:rPr>
              <w:t>(8)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53,441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Questex Media Group LLC</w:t>
            </w:r>
            <w:r>
              <w:rPr>
                <w:rFonts w:ascii="Arial" w:cs="Arial" w:eastAsia="Arial" w:hAnsi="Arial"/>
                <w:sz w:val="11"/>
                <w:szCs w:val="11"/>
                <w:color w:val="auto"/>
              </w:rPr>
              <w:t>(9)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12/16/2012</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16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213,764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213,764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208,206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Sugarhouse HSP Gaming Prop.</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09/23/2014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Hotels, Motels, Inns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L+825</w:t>
            </w:r>
            <w:r>
              <w:rPr>
                <w:rFonts w:ascii="Arial" w:cs="Arial" w:eastAsia="Arial" w:hAnsi="Arial"/>
                <w:sz w:val="11"/>
                <w:szCs w:val="11"/>
                <w:color w:val="auto"/>
              </w:rPr>
              <w:t>(8)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28,776,580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29,930,199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Gaming</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Three Rivers Pharmaceutical, L.L.C.</w:t>
            </w: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3"/>
              </w:rPr>
              <w:t>10/22/2011</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Healthcare, Education</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15.00%</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8"/>
              </w:rPr>
              <w:t>L+1,300</w:t>
            </w:r>
            <w:r>
              <w:rPr>
                <w:rFonts w:ascii="Arial" w:cs="Arial" w:eastAsia="Arial" w:hAnsi="Arial"/>
                <w:sz w:val="11"/>
                <w:szCs w:val="11"/>
                <w:color w:val="auto"/>
                <w:w w:val="98"/>
              </w:rPr>
              <w:t>(8)</w:t>
            </w: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30,000,000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27,648,145</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30,900,000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8"/>
              </w:rPr>
              <w:t>and Childcare</w:t>
            </w:r>
          </w:p>
        </w:tc>
        <w:tc>
          <w:tcPr>
            <w:tcW w:w="110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VPSI, Inc.</w:t>
            </w:r>
          </w:p>
        </w:tc>
        <w:tc>
          <w:tcPr>
            <w:tcW w:w="2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12/22/2015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Personal</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L+1,000</w:t>
            </w:r>
            <w:r>
              <w:rPr>
                <w:rFonts w:ascii="Arial" w:cs="Arial" w:eastAsia="Arial" w:hAnsi="Arial"/>
                <w:sz w:val="11"/>
                <w:szCs w:val="11"/>
                <w:color w:val="auto"/>
                <w:w w:val="98"/>
              </w:rPr>
              <w:t>(8)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18,333,333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18,029,449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18,027,166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Transportation</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Yonkers Racing Corp.</w:t>
            </w:r>
            <w:r>
              <w:rPr>
                <w:rFonts w:ascii="Arial" w:cs="Arial" w:eastAsia="Arial" w:hAnsi="Arial"/>
                <w:sz w:val="11"/>
                <w:szCs w:val="11"/>
                <w:color w:val="auto"/>
              </w:rPr>
              <w:t>(5)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07/15/2016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Hotels, Motels, Inns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11.38%</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4,500,000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4,384,196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4,955,625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and Gaming</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268,662,356</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272,266,893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-4415790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Basis Point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2"/>
                <w:szCs w:val="22"/>
                <w:b w:val="1"/>
                <w:bCs w:val="1"/>
                <w:color w:val="auto"/>
                <w:w w:val="91"/>
                <w:vertAlign w:val="superscript"/>
              </w:rPr>
              <w:t>(3)</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104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Par/Shares</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Debt—23.3%</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6.31%</w:t>
            </w:r>
          </w:p>
        </w:tc>
        <w:tc>
          <w:tcPr>
            <w:tcW w:w="10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L+600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2"/>
              </w:rPr>
              <w:t>$13,600,000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8"/>
              </w:rPr>
              <w:t>$ 13,234,699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$ 12,206,000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7.31%</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11,787,606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10,659,996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07/29/2014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6,237,317</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6,237,317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6,087,621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Greatwide Logistics Services, L.L.C.</w:t>
            </w:r>
          </w:p>
        </w:tc>
        <w:tc>
          <w:tcPr>
            <w:tcW w:w="10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03/01/2014</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Cargo Transport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1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2,570,357</w:t>
            </w: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2,570,357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2,594,775</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3,211,210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3,211,210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2,719,894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1,827,075</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1,827,075</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1,458,006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10/15/2017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10,893,750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6.04%</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L+575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18,500,000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16,414,348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10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22,500,000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22,490,659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6.31%</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L+600</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7,811,488</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7,362,858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7,245,155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95,136,129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93,847,697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Notes—64.4%</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11/15/2015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9,861,938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11.13%</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18,885,000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18,395,462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19,121,063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04/17/2015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7,976,881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03/22/2014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20,824,496</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20,484,443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21,522,117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04/01/2015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25,000,000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24,407,004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Escort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14.75%</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24,055,000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23,398,381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24,055,000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06/06/2014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23,444,680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23,147,686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23,608,793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06/30/2016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4,248,355</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3,513,586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3,908,487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MailSouth,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05/15/2018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14.50%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14,550,234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10/15/2016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19,000,000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18,442,542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PAS Technologies,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05/12/2017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14.02%</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16,785,000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16,368,574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04/15/2015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9,093,958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12/29/2015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11,795,903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11,444,373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11,913,862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UP Support Services, Inc. (formerly UP Acquisition Sub</w:t>
            </w: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17.00%</w:t>
            </w:r>
            <w:r>
              <w:rPr>
                <w:rFonts w:ascii="Arial" w:cs="Arial" w:eastAsia="Arial" w:hAnsi="Arial"/>
                <w:sz w:val="22"/>
                <w:szCs w:val="22"/>
                <w:color w:val="auto"/>
                <w:vertAlign w:val="superscript"/>
              </w:rPr>
              <w:t>(6)</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108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w w:val="91"/>
              </w:rPr>
              <w:t>02/08/2015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160" w:type="dxa"/>
            <w:vAlign w:val="bottom"/>
            <w:gridSpan w:val="3"/>
            <w:vMerge w:val="continue"/>
            <w:shd w:val="clear" w:color="auto" w:fill="CCEEFF"/>
          </w:tcPr>
          <w:p>
            <w:pPr>
              <w:spacing w:after="0"/>
              <w:rPr>
                <w:sz w:val="13"/>
                <w:szCs w:val="13"/>
                <w:color w:val="auto"/>
              </w:rPr>
            </w:pPr>
          </w:p>
        </w:tc>
        <w:tc>
          <w:tcPr>
            <w:tcW w:w="104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22,918,640</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22,488,701</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22,918,640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12/31/2015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14,648,375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12/31/2012</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2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249,922,138</w:t>
            </w:r>
          </w:p>
        </w:tc>
        <w:tc>
          <w:tcPr>
            <w:tcW w:w="2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259,698,251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Fair Value(3)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Equity/Partnership Interests—3.2%</w:t>
            </w:r>
            <w:r>
              <w:rPr>
                <w:rFonts w:ascii="Arial" w:cs="Arial" w:eastAsia="Arial" w:hAnsi="Arial"/>
                <w:sz w:val="16"/>
                <w:szCs w:val="16"/>
                <w:b w:val="1"/>
                <w:bCs w:val="1"/>
                <w:color w:val="auto"/>
                <w:vertAlign w:val="superscript"/>
              </w:rPr>
              <w:t>(7)</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319</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318,896</w:t>
            </w:r>
          </w:p>
        </w:tc>
        <w:tc>
          <w:tcPr>
            <w:tcW w:w="1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833,997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1,140,554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64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04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144,376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144,376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152,344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4,137,240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4,886,133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PAS Tech Holdings, Inc. Series A-1</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1,980,000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1,517,380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Inc. (formerly UP Holdings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101,175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2,738,050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578,136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1,824,167</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13,974,552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12,784,534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Interests—10.4%</w:t>
            </w:r>
            <w:r>
              <w:rPr>
                <w:rFonts w:ascii="Arial" w:cs="Arial" w:eastAsia="Arial" w:hAnsi="Arial"/>
                <w:sz w:val="18"/>
                <w:szCs w:val="18"/>
                <w:b w:val="1"/>
                <w:bCs w:val="1"/>
                <w:color w:val="auto"/>
                <w:vertAlign w:val="superscript"/>
              </w:rPr>
              <w:t>(7)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6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Broadcasting and</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1,333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456,745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8,859,057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24,375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1,506,075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1,941,369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3,902,557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457,322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 (Three Rivers Pharmaceutical,</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10,799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1,236,832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1,492,826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D (Three Rivers Pharmaceutical,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4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10,799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1,028,807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04/27/2020</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613,467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1,055,932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2,464,999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7,644,948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1,306,167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1,487,339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auto"/>
                <w:w w:val="85"/>
              </w:rPr>
              <w:t>12/29/2019</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957,408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3"/>
              </w:rPr>
              <w:t>Transportation 100 Holdco, L.L.C. (Greatwide Logistics Services, L.L.C)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137,923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2,111,588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4,363,330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1,421,292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Inc. (formerly UP Holdings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110,742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35,526</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4,752,486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24,252,860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42,113,404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Investments in Non-Controlled, Non-Affiliated Portfolio Companies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651,948,035</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680,710,779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Spread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4"/>
              </w:rPr>
              <w:t>Above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Maturity</w:t>
            </w:r>
          </w:p>
        </w:tc>
        <w:tc>
          <w:tcPr>
            <w:tcW w:w="420" w:type="dxa"/>
            <w:vAlign w:val="bottom"/>
          </w:tcPr>
          <w:p>
            <w:pPr>
              <w:spacing w:after="0"/>
              <w:rPr>
                <w:sz w:val="15"/>
                <w:szCs w:val="15"/>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Industry</w:t>
            </w:r>
          </w:p>
        </w:tc>
        <w:tc>
          <w:tcPr>
            <w:tcW w:w="4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Coupon</w:t>
            </w:r>
          </w:p>
        </w:tc>
        <w:tc>
          <w:tcPr>
            <w:tcW w:w="1080" w:type="dxa"/>
            <w:vAlign w:val="bottom"/>
            <w:gridSpan w:val="2"/>
          </w:tcPr>
          <w:p>
            <w:pPr>
              <w:jc w:val="center"/>
              <w:ind w:right="4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4"/>
              </w:rPr>
              <w:t>Par/Shares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Companies—3.9%</w:t>
            </w:r>
            <w:r>
              <w:rPr>
                <w:rFonts w:ascii="Arial" w:cs="Arial" w:eastAsia="Arial" w:hAnsi="Arial"/>
                <w:sz w:val="16"/>
                <w:szCs w:val="16"/>
                <w:b w:val="1"/>
                <w:bCs w:val="1"/>
                <w:color w:val="auto"/>
                <w:vertAlign w:val="superscript"/>
              </w:rPr>
              <w:t>(1),(2)</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Second Lien Secured Debt—1.9%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1"/>
              </w:rPr>
              <w:t>01/16/2015</w:t>
            </w:r>
          </w:p>
        </w:tc>
        <w:tc>
          <w:tcPr>
            <w:tcW w:w="4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Leisure,</w:t>
            </w:r>
          </w:p>
        </w:tc>
        <w:tc>
          <w:tcPr>
            <w:tcW w:w="140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7.50%</w:t>
            </w: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color w:val="auto"/>
              </w:rPr>
              <w:t>L+650</w:t>
            </w:r>
            <w:r>
              <w:rPr>
                <w:rFonts w:ascii="Arial" w:cs="Arial" w:eastAsia="Arial" w:hAnsi="Arial"/>
                <w:sz w:val="22"/>
                <w:szCs w:val="22"/>
                <w:color w:val="auto"/>
                <w:vertAlign w:val="superscript"/>
              </w:rPr>
              <w:t>(8)</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83"/>
              </w:rPr>
              <w:t>$ 8,000,000</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8,000,000</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7,604,000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Inc.</w:t>
            </w: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6"/>
              </w:rPr>
              <w:t>Amusement,</w:t>
            </w: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07/16/2015</w:t>
            </w:r>
          </w:p>
        </w:tc>
        <w:tc>
          <w:tcPr>
            <w:tcW w:w="4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Leisure,</w:t>
            </w:r>
          </w:p>
        </w:tc>
        <w:tc>
          <w:tcPr>
            <w:tcW w:w="1400" w:type="dxa"/>
            <w:vAlign w:val="bottom"/>
            <w:tcBorders>
              <w:bottom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6,067,482</w:t>
            </w: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5,891,671</w:t>
            </w:r>
          </w:p>
        </w:tc>
        <w:tc>
          <w:tcPr>
            <w:tcW w:w="34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5,976,470</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6"/>
              </w:rPr>
              <w:t>Amusement,</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Leisure,</w:t>
            </w:r>
          </w:p>
        </w:tc>
        <w:tc>
          <w:tcPr>
            <w:tcW w:w="4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34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1,977,061</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6"/>
              </w:rPr>
              <w:t>Amusement,</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Investments in Non-Controlled, Affiliated Portfolio Companies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17,641,671</w:t>
            </w:r>
          </w:p>
        </w:tc>
        <w:tc>
          <w:tcPr>
            <w:tcW w:w="3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15,557,531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Companies—2.0%</w:t>
            </w:r>
            <w:r>
              <w:rPr>
                <w:rFonts w:ascii="Arial" w:cs="Arial" w:eastAsia="Arial" w:hAnsi="Arial"/>
                <w:sz w:val="17"/>
                <w:szCs w:val="17"/>
                <w:b w:val="1"/>
                <w:bCs w:val="1"/>
                <w:color w:val="auto"/>
                <w:vertAlign w:val="superscript"/>
              </w:rPr>
              <w:t>(1),(2)</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First Lien Secured Debt—1.3%</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06/30/2020</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400" w:type="dxa"/>
            <w:vAlign w:val="bottom"/>
            <w:tcBorders>
              <w:bottom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4,800,000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06/30/2020</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400" w:type="dxa"/>
            <w:vAlign w:val="bottom"/>
            <w:tcBorders>
              <w:bottom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400" w:type="dxa"/>
            <w:vAlign w:val="bottom"/>
            <w:tcBorders>
              <w:bottom w:val="single" w:sz="8" w:color="CCEEFF"/>
            </w:tcBorders>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14.00%</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4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Investments in Controlled, Affiliated Portfolio Companies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8,000,100</w:t>
            </w:r>
          </w:p>
        </w:tc>
        <w:tc>
          <w:tcPr>
            <w:tcW w:w="3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8,000,100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Investments—174.6%</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677,589,806</w:t>
            </w: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704,268,410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2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Cash and Cash Equivalents—0.7%</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3,022,137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3,022,137</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3,022,137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and Cash Equivalents—175.3%</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680,611,943</w:t>
            </w: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707,290,547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Liabilities in Excess of Other Assets—(75.3%)</w:t>
            </w: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7"/>
              </w:rPr>
              <w:t>(303,899,585)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403,390,962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-3361055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p>
      <w:pPr>
        <w:ind w:left="340" w:hanging="332"/>
        <w:spacing w:after="0" w:line="23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usually to qualified institutional buyers.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Coupon is payable in cash and/or payable in-kind (“PIK”).</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040"/>
          </w:cols>
          <w:pgMar w:left="240" w:top="459" w:right="6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8"/>
              </w:rPr>
              <w:t>Above</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2"/>
                <w:szCs w:val="22"/>
                <w:b w:val="1"/>
                <w:bCs w:val="1"/>
                <w:color w:val="auto"/>
                <w:w w:val="91"/>
                <w:vertAlign w:val="superscript"/>
              </w:rPr>
              <w:t>(3)</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1080" w:type="dxa"/>
            <w:vAlign w:val="bottom"/>
            <w:gridSpan w:val="2"/>
          </w:tcPr>
          <w:p>
            <w:pPr>
              <w:jc w:val="center"/>
              <w:ind w:right="4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Par/Shares</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Companies—165.9%</w:t>
            </w:r>
            <w:r>
              <w:rPr>
                <w:rFonts w:ascii="Arial" w:cs="Arial" w:eastAsia="Arial" w:hAnsi="Arial"/>
                <w:sz w:val="16"/>
                <w:szCs w:val="16"/>
                <w:b w:val="1"/>
                <w:bCs w:val="1"/>
                <w:color w:val="auto"/>
                <w:vertAlign w:val="superscript"/>
              </w:rPr>
              <w:t>(1),(2)</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Debt—59.3%</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Networks Solution,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08/27/2014</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11.00%</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$13,583,333</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$ 13,316,337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$ 13,447,500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06/21/2015</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16,363,636</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15,786,257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01/31/2011</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tcPr>
          <w:p>
            <w:pPr>
              <w:spacing w:after="0" w:line="122" w:lineRule="exact"/>
              <w:rPr>
                <w:sz w:val="20"/>
                <w:szCs w:val="20"/>
                <w:color w:val="auto"/>
              </w:rPr>
            </w:pPr>
            <w:r>
              <w:rPr>
                <w:rFonts w:ascii="Arial" w:cs="Arial" w:eastAsia="Arial" w:hAnsi="Arial"/>
                <w:sz w:val="10"/>
                <w:szCs w:val="10"/>
                <w:color w:val="auto"/>
              </w:rPr>
              <w:t xml:space="preserve">CEVA Group PLC </w:t>
            </w:r>
            <w:r>
              <w:rPr>
                <w:rFonts w:ascii="Arial" w:cs="Arial" w:eastAsia="Arial" w:hAnsi="Arial"/>
                <w:sz w:val="14"/>
                <w:szCs w:val="14"/>
                <w:color w:val="auto"/>
                <w:vertAlign w:val="superscript"/>
              </w:rPr>
              <w:t>(5),(10)</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w w:val="91"/>
              </w:rPr>
              <w:t>10/01/2016</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8"/>
              </w:rPr>
              <w:t>Logistics</w:t>
            </w:r>
          </w:p>
        </w:tc>
        <w:tc>
          <w:tcPr>
            <w:tcW w:w="1160" w:type="dxa"/>
            <w:vAlign w:val="bottom"/>
            <w:gridSpan w:val="3"/>
          </w:tcPr>
          <w:p>
            <w:pPr>
              <w:jc w:val="right"/>
              <w:ind w:right="360"/>
              <w:spacing w:after="0" w:line="122" w:lineRule="exact"/>
              <w:rPr>
                <w:sz w:val="20"/>
                <w:szCs w:val="20"/>
                <w:color w:val="auto"/>
              </w:rPr>
            </w:pPr>
            <w:r>
              <w:rPr>
                <w:rFonts w:ascii="Arial" w:cs="Arial" w:eastAsia="Arial" w:hAnsi="Arial"/>
                <w:sz w:val="14"/>
                <w:szCs w:val="14"/>
                <w:color w:val="auto"/>
              </w:rPr>
              <w:t>11.63%</w:t>
            </w:r>
          </w:p>
        </w:tc>
        <w:tc>
          <w:tcPr>
            <w:tcW w:w="1080" w:type="dxa"/>
            <w:vAlign w:val="bottom"/>
            <w:gridSpan w:val="2"/>
          </w:tcPr>
          <w:p>
            <w:pPr>
              <w:ind w:left="460"/>
              <w:spacing w:after="0" w:line="12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7,500,000</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7,305,603</w:t>
            </w:r>
          </w:p>
        </w:tc>
        <w:tc>
          <w:tcPr>
            <w:tcW w:w="10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04/01/2018</w:t>
            </w: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Logistics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11.50%</w:t>
            </w:r>
          </w:p>
        </w:tc>
        <w:tc>
          <w:tcPr>
            <w:tcW w:w="1080" w:type="dxa"/>
            <w:vAlign w:val="bottom"/>
            <w:gridSpan w:val="2"/>
          </w:tcPr>
          <w:p>
            <w:pPr>
              <w:ind w:left="46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987,774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700" w:type="dxa"/>
            <w:vAlign w:val="bottom"/>
            <w:gridSpan w:val="3"/>
          </w:tcPr>
          <w:p>
            <w:pPr>
              <w:spacing w:after="0" w:line="137" w:lineRule="exact"/>
              <w:rPr>
                <w:sz w:val="20"/>
                <w:szCs w:val="20"/>
                <w:color w:val="auto"/>
              </w:rPr>
            </w:pPr>
            <w:r>
              <w:rPr>
                <w:rFonts w:ascii="Arial" w:cs="Arial" w:eastAsia="Arial" w:hAnsi="Arial"/>
                <w:sz w:val="14"/>
                <w:szCs w:val="14"/>
                <w:color w:val="auto"/>
              </w:rPr>
              <w:t>Chester Downs and Marina, LLC</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w w:val="91"/>
              </w:rPr>
              <w:t>07/31/2016</w:t>
            </w:r>
          </w:p>
        </w:tc>
        <w:tc>
          <w:tcPr>
            <w:tcW w:w="1640" w:type="dxa"/>
            <w:vAlign w:val="bottom"/>
          </w:tcPr>
          <w:p>
            <w:pPr>
              <w:jc w:val="center"/>
              <w:spacing w:after="0" w:line="137" w:lineRule="exact"/>
              <w:rPr>
                <w:sz w:val="20"/>
                <w:szCs w:val="20"/>
                <w:color w:val="auto"/>
              </w:rPr>
            </w:pPr>
            <w:r>
              <w:rPr>
                <w:rFonts w:ascii="Arial" w:cs="Arial" w:eastAsia="Arial" w:hAnsi="Arial"/>
                <w:sz w:val="14"/>
                <w:szCs w:val="14"/>
                <w:color w:val="auto"/>
                <w:w w:val="87"/>
              </w:rPr>
              <w:t>Hotels, Motels, Inns and</w:t>
            </w:r>
          </w:p>
        </w:tc>
        <w:tc>
          <w:tcPr>
            <w:tcW w:w="1160" w:type="dxa"/>
            <w:vAlign w:val="bottom"/>
            <w:gridSpan w:val="3"/>
          </w:tcPr>
          <w:p>
            <w:pPr>
              <w:jc w:val="right"/>
              <w:ind w:right="360"/>
              <w:spacing w:after="0" w:line="137" w:lineRule="exact"/>
              <w:rPr>
                <w:sz w:val="20"/>
                <w:szCs w:val="20"/>
                <w:color w:val="auto"/>
              </w:rPr>
            </w:pPr>
            <w:r>
              <w:rPr>
                <w:rFonts w:ascii="Arial" w:cs="Arial" w:eastAsia="Arial" w:hAnsi="Arial"/>
                <w:sz w:val="14"/>
                <w:szCs w:val="14"/>
                <w:color w:val="auto"/>
              </w:rPr>
              <w:t>12.38%</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rPr>
              <w:t>L+988</w:t>
            </w:r>
          </w:p>
        </w:tc>
        <w:tc>
          <w:tcPr>
            <w:tcW w:w="660" w:type="dxa"/>
            <w:vAlign w:val="bottom"/>
          </w:tcPr>
          <w:p>
            <w:pPr>
              <w:jc w:val="right"/>
              <w:spacing w:after="0" w:line="137" w:lineRule="exact"/>
              <w:rPr>
                <w:sz w:val="20"/>
                <w:szCs w:val="20"/>
                <w:color w:val="auto"/>
              </w:rPr>
            </w:pPr>
            <w:r>
              <w:rPr>
                <w:rFonts w:ascii="Arial" w:cs="Arial" w:eastAsia="Arial" w:hAnsi="Arial"/>
                <w:sz w:val="14"/>
                <w:szCs w:val="14"/>
                <w:color w:val="auto"/>
              </w:rPr>
              <w:t>9,250,000</w:t>
            </w:r>
          </w:p>
        </w:tc>
        <w:tc>
          <w:tcPr>
            <w:tcW w:w="2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4"/>
                <w:szCs w:val="14"/>
                <w:color w:val="auto"/>
              </w:rPr>
              <w:t>8,765,468</w:t>
            </w:r>
          </w:p>
        </w:tc>
        <w:tc>
          <w:tcPr>
            <w:tcW w:w="10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Columbus International,</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(5),(10)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11/20/2014</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Communications</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11.50%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10,000,000</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07/29/2013</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6,666,666</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6,666,666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420"/>
              <w:spacing w:after="0" w:line="122" w:lineRule="exact"/>
              <w:rPr>
                <w:sz w:val="20"/>
                <w:szCs w:val="20"/>
                <w:color w:val="auto"/>
              </w:rPr>
            </w:pPr>
            <w:r>
              <w:rPr>
                <w:rFonts w:ascii="Arial" w:cs="Arial" w:eastAsia="Arial" w:hAnsi="Arial"/>
                <w:sz w:val="14"/>
                <w:szCs w:val="14"/>
                <w:color w:val="auto"/>
              </w:rPr>
              <w:t>L+950</w:t>
            </w: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10/01/2014</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Grocery</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12.00%</w:t>
            </w:r>
          </w:p>
        </w:tc>
        <w:tc>
          <w:tcPr>
            <w:tcW w:w="10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3"/>
                <w:szCs w:val="13"/>
                <w:color w:val="auto"/>
              </w:rPr>
              <w:t>P+850</w:t>
            </w:r>
            <w:r>
              <w:rPr>
                <w:rFonts w:ascii="Arial" w:cs="Arial" w:eastAsia="Arial" w:hAnsi="Arial"/>
                <w:sz w:val="20"/>
                <w:szCs w:val="20"/>
                <w:color w:val="auto"/>
                <w:vertAlign w:val="superscript"/>
              </w:rPr>
              <w:t>(8)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1"/>
              </w:rPr>
              <w:t>11,905,025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11,650,744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tcPr>
          <w:p>
            <w:pPr>
              <w:spacing w:after="0" w:line="122" w:lineRule="exact"/>
              <w:rPr>
                <w:sz w:val="20"/>
                <w:szCs w:val="20"/>
                <w:color w:val="auto"/>
              </w:rPr>
            </w:pPr>
            <w:r>
              <w:rPr>
                <w:rFonts w:ascii="Arial" w:cs="Arial" w:eastAsia="Arial" w:hAnsi="Arial"/>
                <w:sz w:val="14"/>
                <w:szCs w:val="14"/>
                <w:color w:val="auto"/>
              </w:rPr>
              <w:t>Hanley-Wood, L.L.C.</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w w:val="91"/>
              </w:rPr>
              <w:t>03/08/2014</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360"/>
              <w:spacing w:after="0" w:line="122" w:lineRule="exact"/>
              <w:rPr>
                <w:sz w:val="20"/>
                <w:szCs w:val="20"/>
                <w:color w:val="auto"/>
              </w:rPr>
            </w:pPr>
            <w:r>
              <w:rPr>
                <w:rFonts w:ascii="Arial" w:cs="Arial" w:eastAsia="Arial" w:hAnsi="Arial"/>
                <w:sz w:val="14"/>
                <w:szCs w:val="14"/>
                <w:color w:val="auto"/>
              </w:rPr>
              <w:t>2.62%</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rPr>
              <w:t>L+225</w:t>
            </w: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8,752,500</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8,752,500</w:t>
            </w:r>
          </w:p>
        </w:tc>
        <w:tc>
          <w:tcPr>
            <w:tcW w:w="10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08/07/2014</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14.50%</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24,875,000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24,402,321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24,875,000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Jacuzzi Brands Corp.</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02/07/2014</w:t>
            </w: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Home and Office Furnishings,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2.71%</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L+225</w:t>
            </w:r>
          </w:p>
        </w:tc>
        <w:tc>
          <w:tcPr>
            <w:tcW w:w="660" w:type="dxa"/>
            <w:vAlign w:val="bottom"/>
          </w:tcPr>
          <w:p>
            <w:pPr>
              <w:jc w:val="right"/>
              <w:spacing w:after="0"/>
              <w:rPr>
                <w:sz w:val="20"/>
                <w:szCs w:val="20"/>
                <w:color w:val="auto"/>
              </w:rPr>
            </w:pPr>
            <w:r>
              <w:rPr>
                <w:rFonts w:ascii="Arial" w:cs="Arial" w:eastAsia="Arial" w:hAnsi="Arial"/>
                <w:sz w:val="14"/>
                <w:szCs w:val="14"/>
                <w:color w:val="auto"/>
              </w:rPr>
              <w:t>9,744,595</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9,744,595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7"/>
              </w:rPr>
              <w:t>Consumer Products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L+675</w:t>
            </w:r>
            <w:r>
              <w:rPr>
                <w:rFonts w:ascii="Arial" w:cs="Arial" w:eastAsia="Arial" w:hAnsi="Arial"/>
                <w:sz w:val="22"/>
                <w:szCs w:val="22"/>
                <w:color w:val="auto"/>
                <w:vertAlign w:val="superscript"/>
              </w:rPr>
              <w:t>(8)</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10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w w:val="91"/>
              </w:rPr>
              <w:t>09/10/2015</w:t>
            </w:r>
          </w:p>
        </w:tc>
        <w:tc>
          <w:tcPr>
            <w:tcW w:w="164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16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10.00%</w:t>
            </w:r>
          </w:p>
        </w:tc>
        <w:tc>
          <w:tcPr>
            <w:tcW w:w="1080" w:type="dxa"/>
            <w:vAlign w:val="bottom"/>
            <w:gridSpan w:val="2"/>
            <w:vMerge w:val="continue"/>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19,000,000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17,866,826</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18,240,000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04/27/2016</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26,052,631</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25,481,512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91"/>
              </w:rPr>
              <w:t>01/18/2014</w:t>
            </w: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6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2.54%</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L+225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Consumer Products</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08/01/2014</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9,829,738</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8,432,037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12/16/2012</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12/16/2012</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6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9"/>
                <w:szCs w:val="9"/>
                <w:color w:val="auto"/>
              </w:rPr>
              <w:t xml:space="preserve"> (8)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200,404</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200,404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80" w:type="dxa"/>
            <w:vAlign w:val="bottom"/>
            <w:gridSpan w:val="2"/>
          </w:tcPr>
          <w:p>
            <w:pPr>
              <w:spacing w:after="0" w:line="137" w:lineRule="exact"/>
              <w:rPr>
                <w:sz w:val="20"/>
                <w:szCs w:val="20"/>
                <w:color w:val="auto"/>
              </w:rPr>
            </w:pPr>
            <w:r>
              <w:rPr>
                <w:rFonts w:ascii="Arial" w:cs="Arial" w:eastAsia="Arial" w:hAnsi="Arial"/>
                <w:sz w:val="14"/>
                <w:szCs w:val="14"/>
                <w:color w:val="auto"/>
              </w:rPr>
              <w:t>Sugarhouse HSP Gaming Prop.</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w w:val="91"/>
              </w:rPr>
              <w:t>09/23/2014</w:t>
            </w:r>
          </w:p>
        </w:tc>
        <w:tc>
          <w:tcPr>
            <w:tcW w:w="1640" w:type="dxa"/>
            <w:vAlign w:val="bottom"/>
          </w:tcPr>
          <w:p>
            <w:pPr>
              <w:jc w:val="center"/>
              <w:spacing w:after="0" w:line="137" w:lineRule="exact"/>
              <w:rPr>
                <w:sz w:val="20"/>
                <w:szCs w:val="20"/>
                <w:color w:val="auto"/>
              </w:rPr>
            </w:pPr>
            <w:r>
              <w:rPr>
                <w:rFonts w:ascii="Arial" w:cs="Arial" w:eastAsia="Arial" w:hAnsi="Arial"/>
                <w:sz w:val="14"/>
                <w:szCs w:val="14"/>
                <w:color w:val="auto"/>
                <w:w w:val="87"/>
              </w:rPr>
              <w:t>Hotels, Motels, Inns and</w:t>
            </w:r>
          </w:p>
        </w:tc>
        <w:tc>
          <w:tcPr>
            <w:tcW w:w="1160" w:type="dxa"/>
            <w:vAlign w:val="bottom"/>
            <w:gridSpan w:val="3"/>
          </w:tcPr>
          <w:p>
            <w:pPr>
              <w:jc w:val="right"/>
              <w:ind w:right="360"/>
              <w:spacing w:after="0" w:line="137" w:lineRule="exact"/>
              <w:rPr>
                <w:sz w:val="20"/>
                <w:szCs w:val="20"/>
                <w:color w:val="auto"/>
              </w:rPr>
            </w:pPr>
            <w:r>
              <w:rPr>
                <w:rFonts w:ascii="Arial" w:cs="Arial" w:eastAsia="Arial" w:hAnsi="Arial"/>
                <w:sz w:val="14"/>
                <w:szCs w:val="14"/>
                <w:color w:val="auto"/>
              </w:rPr>
              <w:t>11.25%</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rPr>
              <w:t>L+825</w:t>
            </w:r>
          </w:p>
        </w:tc>
        <w:tc>
          <w:tcPr>
            <w:tcW w:w="660" w:type="dxa"/>
            <w:vAlign w:val="bottom"/>
          </w:tcPr>
          <w:p>
            <w:pPr>
              <w:jc w:val="right"/>
              <w:spacing w:after="0" w:line="137" w:lineRule="exact"/>
              <w:rPr>
                <w:sz w:val="20"/>
                <w:szCs w:val="20"/>
                <w:color w:val="auto"/>
              </w:rPr>
            </w:pPr>
            <w:r>
              <w:rPr>
                <w:rFonts w:ascii="Arial" w:cs="Arial" w:eastAsia="Arial" w:hAnsi="Arial"/>
                <w:sz w:val="14"/>
                <w:szCs w:val="14"/>
                <w:color w:val="auto"/>
                <w:w w:val="91"/>
              </w:rPr>
              <w:t>29,500,000</w:t>
            </w:r>
          </w:p>
        </w:tc>
        <w:tc>
          <w:tcPr>
            <w:tcW w:w="2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4"/>
                <w:szCs w:val="14"/>
                <w:color w:val="auto"/>
              </w:rPr>
              <w:t>28,756,343</w:t>
            </w:r>
          </w:p>
        </w:tc>
        <w:tc>
          <w:tcPr>
            <w:tcW w:w="10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29,702,813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w w:val="91"/>
              </w:rPr>
              <w:t>10/22/2011</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15.25%</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rPr>
              <w:t>L+1,300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1"/>
              </w:rPr>
              <w:t>25,000,000</w:t>
            </w:r>
          </w:p>
        </w:tc>
        <w:tc>
          <w:tcPr>
            <w:tcW w:w="2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21,861,968</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87"/>
              </w:rPr>
              <w:t>Childcare</w:t>
            </w:r>
          </w:p>
        </w:tc>
        <w:tc>
          <w:tcPr>
            <w:tcW w:w="1160" w:type="dxa"/>
            <w:vAlign w:val="bottom"/>
            <w:gridSpan w:val="3"/>
            <w:vMerge w:val="continue"/>
          </w:tcPr>
          <w:p>
            <w:pPr>
              <w:spacing w:after="0"/>
              <w:rPr>
                <w:sz w:val="9"/>
                <w:szCs w:val="9"/>
                <w:color w:val="auto"/>
              </w:rPr>
            </w:pPr>
          </w:p>
        </w:tc>
        <w:tc>
          <w:tcPr>
            <w:tcW w:w="1080" w:type="dxa"/>
            <w:vAlign w:val="bottom"/>
            <w:gridSpan w:val="2"/>
            <w:vMerge w:val="restart"/>
          </w:tcPr>
          <w:p>
            <w:pPr>
              <w:jc w:val="right"/>
              <w:ind w:right="300"/>
              <w:spacing w:after="0" w:line="176" w:lineRule="exact"/>
              <w:rPr>
                <w:sz w:val="20"/>
                <w:szCs w:val="20"/>
                <w:color w:val="auto"/>
              </w:rPr>
            </w:pPr>
            <w:r>
              <w:rPr>
                <w:rFonts w:ascii="Arial" w:cs="Arial" w:eastAsia="Arial" w:hAnsi="Arial"/>
                <w:sz w:val="13"/>
                <w:szCs w:val="13"/>
                <w:color w:val="auto"/>
              </w:rPr>
              <w:t>P+1,200</w:t>
            </w:r>
            <w:r>
              <w:rPr>
                <w:rFonts w:ascii="Arial" w:cs="Arial" w:eastAsia="Arial" w:hAnsi="Arial"/>
                <w:sz w:val="20"/>
                <w:szCs w:val="20"/>
                <w:color w:val="auto"/>
                <w:vertAlign w:val="superscript"/>
              </w:rPr>
              <w:t>(8)</w:t>
            </w: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91"/>
              </w:rPr>
              <w:t>07/15/2016</w:t>
            </w: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6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11.38%</w:t>
            </w:r>
          </w:p>
        </w:tc>
        <w:tc>
          <w:tcPr>
            <w:tcW w:w="10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4,500,000</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4,381,967</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231,907,418</w:t>
            </w:r>
          </w:p>
        </w:tc>
        <w:tc>
          <w:tcPr>
            <w:tcW w:w="2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229,243,683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-2854960</wp:posOffset>
            </wp:positionV>
            <wp:extent cx="72466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Basis Point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Spread</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10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4"/>
              </w:rPr>
              <w:t>Above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(3)</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Par/Shares</w:t>
            </w:r>
          </w:p>
        </w:tc>
        <w:tc>
          <w:tcPr>
            <w:tcW w:w="26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Debt—38.6%</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1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L+600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$13,600,000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$ 13,216,845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7.39%</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11,776,589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07/29/2014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10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6,237,317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6,237,317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w:t>
            </w: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(U.S.), Inc.</w:t>
            </w:r>
          </w:p>
        </w:tc>
        <w:tc>
          <w:tcPr>
            <w:tcW w:w="108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w w:val="91"/>
              </w:rPr>
              <w:t>04/30/2015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7.79%</w:t>
            </w:r>
          </w:p>
        </w:tc>
        <w:tc>
          <w:tcPr>
            <w:tcW w:w="10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11,958,469</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03/01/2014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2,570,357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2,570,357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11/01/2017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11.50%</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9.50%</w:t>
            </w:r>
          </w:p>
        </w:tc>
        <w:tc>
          <w:tcPr>
            <w:tcW w:w="10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3,219,319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3,219,319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10/15/2017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05/15/2015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8.13%</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05/15/2017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17,039,991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Sheridan Holdings, Inc.</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6.05%</w:t>
            </w:r>
            <w:r>
              <w:rPr>
                <w:rFonts w:ascii="Arial" w:cs="Arial" w:eastAsia="Arial" w:hAnsi="Arial"/>
                <w:sz w:val="22"/>
                <w:szCs w:val="22"/>
                <w:color w:val="auto"/>
                <w:vertAlign w:val="superscript"/>
              </w:rPr>
              <w:t>(6)</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19,211,412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19,887,500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4"/>
                <w:szCs w:val="14"/>
                <w:color w:val="auto"/>
              </w:rPr>
              <w:t>Specialized Technology</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7.26%</w:t>
            </w:r>
            <w:r>
              <w:rPr>
                <w:rFonts w:ascii="Arial" w:cs="Arial" w:eastAsia="Arial" w:hAnsi="Arial"/>
                <w:sz w:val="22"/>
                <w:szCs w:val="22"/>
                <w:color w:val="auto"/>
                <w:vertAlign w:val="superscript"/>
              </w:rPr>
              <w:t>(6)</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Resources, Inc.</w:t>
            </w:r>
          </w:p>
        </w:tc>
        <w:tc>
          <w:tcPr>
            <w:tcW w:w="10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Chemical, Plastics and Rubber</w:t>
            </w:r>
          </w:p>
        </w:tc>
        <w:tc>
          <w:tcPr>
            <w:tcW w:w="1140" w:type="dxa"/>
            <w:vAlign w:val="bottom"/>
            <w:gridSpan w:val="3"/>
            <w:vMerge w:val="continue"/>
          </w:tcPr>
          <w:p>
            <w:pPr>
              <w:spacing w:after="0"/>
              <w:rPr>
                <w:sz w:val="13"/>
                <w:szCs w:val="13"/>
                <w:color w:val="auto"/>
              </w:rPr>
            </w:pPr>
          </w:p>
        </w:tc>
        <w:tc>
          <w:tcPr>
            <w:tcW w:w="10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22,490,129</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17,811,488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151,611,934</w:t>
            </w: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11/15/2015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9,855,000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11.13%</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18,885,000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04/17/2015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7,973,429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03/22/2014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20,720,892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0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w w:val="91"/>
              </w:rPr>
              <w:t>04/01/2015</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25,000,000</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24,379,843</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06/06/2014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23,283,292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06/30/2016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3,947,368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3,194,611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10/15/2016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9,055,731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12/29/2015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11,721,019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11,361,858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10/01/2016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20,501,960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20,331,704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02/08/2015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21,098,000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12/31/2015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14,636,487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12/31/2012</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213,271,563</w:t>
            </w: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217,081,074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Par/Shares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Equity/Partnership Interests —2.0%</w:t>
            </w:r>
            <w:r>
              <w:rPr>
                <w:rFonts w:ascii="Arial" w:cs="Arial" w:eastAsia="Arial" w:hAnsi="Arial"/>
                <w:sz w:val="16"/>
                <w:szCs w:val="16"/>
                <w:b w:val="1"/>
                <w:bCs w:val="1"/>
                <w:color w:val="auto"/>
                <w:vertAlign w:val="superscript"/>
              </w:rPr>
              <w:t>(7)</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318,896</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797,288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1,070,352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9.00%</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144,375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144,376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148,909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3,869,263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1,495,885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2,499,066</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495,851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7,766,080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Interests—9.9%</w:t>
            </w:r>
            <w:r>
              <w:rPr>
                <w:rFonts w:ascii="Arial" w:cs="Arial" w:eastAsia="Arial" w:hAnsi="Arial"/>
                <w:sz w:val="18"/>
                <w:szCs w:val="18"/>
                <w:b w:val="1"/>
                <w:bCs w:val="1"/>
                <w:color w:val="auto"/>
                <w:vertAlign w:val="superscript"/>
              </w:rPr>
              <w:t>(7)</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96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Broadcasting and</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1,333</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3,000,000</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16,271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5,556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24,375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1,506,076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457,322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Kadmon Holdings, L.L.C., Class A (Three Rivers Pharmaceutical,</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9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8,999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1,780,693</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w w:val="97"/>
              </w:rPr>
              <w:t>Kadmon Holdings, L.L.C., Class D (Three Rivers Pharmaceutical,</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tcPr>
          <w:p>
            <w:pPr>
              <w:spacing w:after="0"/>
              <w:rPr>
                <w:sz w:val="13"/>
                <w:szCs w:val="13"/>
                <w:color w:val="auto"/>
              </w:rPr>
            </w:pPr>
          </w:p>
        </w:tc>
        <w:tc>
          <w:tcPr>
            <w:tcW w:w="9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8,999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857,339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04/27/2020</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1,055,932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2,464,999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A (Questex Media Group,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1,306,167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 (Questex Media Group,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12/29/2019</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 (Greatwide Logistics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L.L.C)</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220" w:type="dxa"/>
            <w:vAlign w:val="bottom"/>
          </w:tcPr>
          <w:p>
            <w:pPr>
              <w:spacing w:after="0"/>
              <w:rPr>
                <w:sz w:val="13"/>
                <w:szCs w:val="13"/>
                <w:color w:val="auto"/>
              </w:rPr>
            </w:pPr>
          </w:p>
        </w:tc>
        <w:tc>
          <w:tcPr>
            <w:tcW w:w="9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137,923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2,111,588</w:t>
            </w: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916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35,526</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4,634,758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24,595,148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38,112,638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Investments in Non-Controlled, Non-Affiliated Portfolio Companies</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631,280,755</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641,290,626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4"/>
              </w:rPr>
              <w:t>Par/Shares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Companies—4.0%</w:t>
            </w:r>
            <w:r>
              <w:rPr>
                <w:rFonts w:ascii="Arial" w:cs="Arial" w:eastAsia="Arial" w:hAnsi="Arial"/>
                <w:sz w:val="16"/>
                <w:szCs w:val="16"/>
                <w:b w:val="1"/>
                <w:bCs w:val="1"/>
                <w:color w:val="auto"/>
                <w:vertAlign w:val="superscript"/>
              </w:rPr>
              <w:t>(1),(2)</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Debt—2.0%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Inc.</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01/16/2015</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$ 8,000,000</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88"/>
              </w:rPr>
              <w:t>Motion Pictures and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07/16/2015</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5,848,176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5,677,648</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5,745,832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2,103,848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88"/>
              </w:rPr>
              <w:t>Motion Pictures and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Company</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17,427,648</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15,433,680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Controlled, Affiliated Portfolio Companies—2.1%</w:t>
            </w:r>
            <w:r>
              <w:rPr>
                <w:rFonts w:ascii="Arial" w:cs="Arial" w:eastAsia="Arial" w:hAnsi="Arial"/>
                <w:sz w:val="18"/>
                <w:szCs w:val="18"/>
                <w:b w:val="1"/>
                <w:bCs w:val="1"/>
                <w:color w:val="auto"/>
                <w:vertAlign w:val="superscript"/>
              </w:rPr>
              <w:t>(1),(2)</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Lien Secured Debt—1.4%</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06/30/2020</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4,800,000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06/30/2020</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1,200,000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3"/>
                <w:szCs w:val="13"/>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Company</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Investments—172.0%</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656,708,503</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664,724,406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Equivalents—0.5%</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and Cash Equivalents—172.5%</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658,522,954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666,538,857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7"/>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386,575,223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600" w:hanging="452"/>
        <w:spacing w:after="0" w:line="268" w:lineRule="auto"/>
        <w:tabs>
          <w:tab w:leader="none" w:pos="4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right="20" w:hanging="452"/>
        <w:spacing w:after="0" w:line="258" w:lineRule="auto"/>
        <w:tabs>
          <w:tab w:leader="none" w:pos="4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Prime Rate.</w:t>
      </w:r>
    </w:p>
    <w:p>
      <w:pPr>
        <w:ind w:left="460" w:right="28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usually to qualified institutional buyers.</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References to our portfolio and investments include investments made through our consolidated SBIC subsidiary.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under the Investment Company Act of 1940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24, 2007, PennantPark Investment closed its initial public offering and its common stock trades on the NASDAQ Global Select Market under the symbol “PNNT”. We entered into an investment management agreement (the “Investment Management Agreement”) with PennantPark Investment Advisers, LLC (the “Investment Adviser” or “PennantPark Investment Advisers”), an external adviser that manages our day-to-day operations. We also entered into an administration agreement (the “Administration Agreement”) with PennantPark Investment Administration, LLC (the “Administrator” or “PennantPark Investment Administration”) that provides the administrative services necessary for us to operate.</w:t>
      </w:r>
    </w:p>
    <w:p>
      <w:pPr>
        <w:spacing w:after="0" w:line="11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PennantPark SBIC LP (“SBIC LP”) under a separate investment management agreement with us. PennantPark Investment, through the Administrator, also provides similar services to SBIC LP and our controlled affiliate SuttonPark Holdings, Inc. and its subsidiaries (“SPH”) under separate administration agreements with us. See Note 3 for more information.</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SBIC LP and its general partner, SBIC GP, LLC (collectively “our SBIC”),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Our SBIC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PennantPark Investment completed its initial public offering of common stock in 2007 and issued 21.0 million shares raising $294.1 million in net proceeds. Since our initial public offering, we have sold 15.1 million shares of common stock through follow-on public offerings, resulting in net proceeds of $134.2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our consolidated assets and liabilities at the date of the consolidated financial statements and the reported amounts of income and expenses during the reported period. Actual results could differ from these estimates. We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have reclassified certain prior period amounts to conform to the current period presentation. We have eliminated all intercompany balances and transactions. References to the Accounting Standards Codification (“ASC”) serve as a single source of accounting literature and are not intended to change accounting literature. Subsequent events are evaluated and disclosed as appropriate for events occurring through the date the consolidated financial statements are issued.</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and our SBIC 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accreted or amortized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May 1, 2007, PennantPark Investment has complied with the requirements of Subchapter M of the Internal Revenue Code of 1986, as amended, (the “Code”), and expects to be subject to tax as a regulated investment company (“RIC”). As a RIC, PennantPark Investment accounts for income taxes using the asset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subject to tax as a RIC, we elected to retain a portion of our calendar year income and incurred an excise tax of $0.1 million and $0.1 million for the three months ended December 31, 2010 and 2009, respectively.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inception-to-date federal tax years remain subject to examination by the Internal Revenue Service.</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U.S.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our SBIC in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New Accounting Pronouncements and Accounting Standards Updates (“ASU”)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(“ASU 2010-06”), to clarify and amend ASC 820-10. In particular, it requires that entities disclose on a gross basis purchases, sales, issuances, and settlements within the Level 3 fair value roll-forward. ASU 2010-06 clarifies existing fair value disclosures about the level of disaggregation as well as inputs and valuation techniques for both recurring and nonrecurring fair value measurements that fall into Level 2 or 3. The new disclosures are effective for fiscal years beginning after December 15, 2010, and for interim periods within those fiscal years. We have adopted the disclosures regarding the disaggregation of purchases, sales and settlements in the roll-forward of activity in Level 3 fair value measurements and it did not have a material impact on our consolidated financial statements.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PennantPark Investment’s Investment Management Agreement with the Investment Adviser was re-approved by our board of directors, including a majority of our independent directors of PennantPark Investment, in February 2011. Under this agreement the Investment Adviser, subject to the overall supervision of PennantPark Investment’s board of directors, manages the day-to-day operations of and provides investment advisory services to PennantPark Investment. The SBIC LP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and/or temporary draws on the credit facility or “average adjusted gross assets”, if any, see Note 10). The base management fee has been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months ended December 31, 2010 and 2009, the Investment Adviser earned a net base management fee of $3.5 million and $2.5 million, respectively, from us.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2010 and 2009, the Investment Adviser earned an incentive fee of $2.8 million and $1.8 million, respectively, from us.</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this agreement PennantPark Investment Administration provides administrative services for PennantPark Investment. PennantPark Investment, through the 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Statement of Operations. For the three months ended December 31, 2010 and 2009, the Investment Adviser and Administrator, collectively, were reimbursed $0.6 million and $0.3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three months ended December 31, 2010, the PennantPark Investment was reimbursed $0.1 million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2010 and 2009 totaled $102.9 million and $51.6 million, respectively. Sales and repayments of long-term investments for the three months ended December 31, 2010 and 2009 totaled $85.5 million and $16.8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December 31,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273,462,356</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$ 277,618,893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234,595,683</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Second lien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103,136,129</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101,451,697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257,013,809</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266,817,119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Preferred equity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15,974,552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14,290,136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28,002,960</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44,090,565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677,589,806</w:t>
            </w:r>
          </w:p>
        </w:tc>
        <w:tc>
          <w:tcPr>
            <w:tcW w:w="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704,268,410</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664,724,406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 and 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680,611,943</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$ 707,290,547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and cash equivalents) in such industries as of December 31, 2010 and September 30,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40" w:type="dxa"/>
            <w:vAlign w:val="bottom"/>
          </w:tcPr>
          <w:p>
            <w:pPr>
              <w:spacing w:after="0"/>
              <w:rPr>
                <w:sz w:val="14"/>
                <w:szCs w:val="14"/>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4"/>
              </w:rPr>
              <w:t>December 31, 2010</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w w:val="99"/>
              </w:rPr>
              <w:t>S-53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As of December 31, 2010, the observability of the valuation inputs has resulted in a reclassification from Level 3 to Level 2 during the period.</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to our consolidated financial statements). Consistent with our valuation policy, PennantPark Investment evaluates the source of inputs, including any markets in which its investments are trading, in determining fair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2010 and September 30, 2010, our cash and cash equivalents, investments and our long-term credit facility were categorized as follows in the fair value hierarchy for ASC 820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$ 645,887,709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$ 606,341,646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58,380,701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7,644,948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50,735,753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704,268,410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7,644,948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3,022,137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3,022,137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707,290,547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10,667,085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28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(248,445,750)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(248,445,750)</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September 30, 2010</w:t>
            </w: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6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$ 615,236,138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$ 615,236,138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49,488,268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4,350,440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664,724,406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4,350,440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1,814,451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1,814,451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666,538,857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6,164,891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(213,941,125)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(213,941,125)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60" w:type="dxa"/>
            <w:vAlign w:val="bottom"/>
            <w:gridSpan w:val="3"/>
          </w:tcPr>
          <w:p>
            <w:pPr>
              <w:jc w:val="right"/>
              <w:ind w:right="1340"/>
              <w:spacing w:after="0"/>
              <w:rPr>
                <w:sz w:val="20"/>
                <w:szCs w:val="20"/>
                <w:color w:val="auto"/>
              </w:rPr>
            </w:pPr>
            <w:r>
              <w:rPr>
                <w:rFonts w:ascii="Arial" w:cs="Arial" w:eastAsia="Arial" w:hAnsi="Arial"/>
                <w:sz w:val="18"/>
                <w:szCs w:val="18"/>
                <w:color w:val="auto"/>
              </w:rPr>
              <w:t>S-55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three months ended December 31, 2010 and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615,236,138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45,137,828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660,373,966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2,293,343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13,507,841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1,860,352</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15,368,193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100,385,797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3,737,573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104,123,370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(85,535,410)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(85,535,410)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(39,546,063)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(39,546,063)</w:t>
            </w: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606,341,646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50,735,753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657,077,399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Net change in unrealized appreciation for the year reported within the net change in unrealized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appreciation on investments in our Statement of Operations attributable to our Level 3 assets still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13,028,376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1,860,352</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14,888,728</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442,128,049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27,632,024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(13,598,702)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(3,005,163)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21,998,720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1,882,418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52,229,864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683,058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52,912,922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(16,808,942)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(1,306,167)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1,306,167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484,642,822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28,498,504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513,141,326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depreciation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(1,122,745)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S-56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three months ended December 31, 2010 and 2009, respectively. There were no temporary draws outstanding at December 31, 2010 and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8900" w:type="dxa"/>
            <w:vAlign w:val="bottom"/>
            <w:gridSpan w:val="2"/>
          </w:tcPr>
          <w:p>
            <w:pPr>
              <w:ind w:left="1380"/>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2010 (Cost—$227,900,000)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$ 213,941,125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6,604,625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(67,500,000)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in/out of Level 3</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900" w:type="dxa"/>
            <w:vAlign w:val="bottom"/>
            <w:gridSpan w:val="2"/>
          </w:tcPr>
          <w:p>
            <w:pPr>
              <w:ind w:left="1380"/>
              <w:spacing w:after="0"/>
              <w:rPr>
                <w:sz w:val="20"/>
                <w:szCs w:val="20"/>
                <w:color w:val="auto"/>
              </w:rPr>
            </w:pPr>
            <w:r>
              <w:rPr>
                <w:rFonts w:ascii="Arial" w:cs="Arial" w:eastAsia="Arial" w:hAnsi="Arial"/>
                <w:sz w:val="18"/>
                <w:szCs w:val="18"/>
                <w:color w:val="auto"/>
              </w:rPr>
              <w:t>Ending Balance, December 31, 2010 (Cost—$255,800,000)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248,445,750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Ended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8900" w:type="dxa"/>
            <w:vAlign w:val="bottom"/>
            <w:gridSpan w:val="2"/>
          </w:tcPr>
          <w:p>
            <w:pPr>
              <w:ind w:left="1380"/>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in/out of Level 3</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900" w:type="dxa"/>
            <w:vAlign w:val="bottom"/>
            <w:gridSpan w:val="2"/>
          </w:tcPr>
          <w:p>
            <w:pPr>
              <w:ind w:left="1380"/>
              <w:spacing w:after="0"/>
              <w:rPr>
                <w:sz w:val="20"/>
                <w:szCs w:val="20"/>
                <w:color w:val="auto"/>
              </w:rPr>
            </w:pPr>
            <w:r>
              <w:rPr>
                <w:rFonts w:ascii="Arial" w:cs="Arial" w:eastAsia="Arial" w:hAnsi="Arial"/>
                <w:sz w:val="18"/>
                <w:szCs w:val="18"/>
                <w:color w:val="auto"/>
              </w:rPr>
              <w:t>Ending Balance, December 31, 2009 (Cost—$245,700,000)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liabilities approximates fair value.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For the three months ended December 31, 2010 and 2009, our credit facility had a net change in unrealized appreciation of $6.6 million and $5.8 million, respectively. On December 31, 2010 and September 30, 2010, net unrealized depreciation on our long-term credit facility totaled $7.4 million and $14.0 million, respectively. PennantPark Investment uses a nationally recognized independent valuation services to measure the fair value of its credit facility in a manner consistent with the valuation process that the board of directors uses to value investments.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affiliated company is a company in which the PennantPark Investment has ownership of 5% or more of the portfolio company’s voting securities. Advances to and distributions from affiliates are included in the consolidated statements of cash flow purchases and sales. Transactions with affiliates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Advances to</w:t>
            </w:r>
          </w:p>
        </w:tc>
        <w:tc>
          <w:tcPr>
            <w:tcW w:w="6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Distributions</w:t>
            </w:r>
          </w:p>
        </w:tc>
        <w:tc>
          <w:tcPr>
            <w:tcW w:w="64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6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 of Investment</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affiliates</w:t>
            </w:r>
          </w:p>
        </w:tc>
        <w:tc>
          <w:tcPr>
            <w:tcW w:w="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from affiliates</w:t>
            </w:r>
          </w:p>
        </w:tc>
        <w:tc>
          <w:tcPr>
            <w:tcW w:w="64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Received</w:t>
            </w:r>
          </w:p>
        </w:tc>
        <w:tc>
          <w:tcPr>
            <w:tcW w:w="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8,000,100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15,433,680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394,306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23,433,780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604,306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60" w:type="dxa"/>
            <w:vAlign w:val="bottom"/>
          </w:tcPr>
          <w:p>
            <w:pPr>
              <w:spacing w:after="0"/>
              <w:rPr>
                <w:sz w:val="14"/>
                <w:szCs w:val="14"/>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25,522,223</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36,218,991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25,751,381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 funds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 As of December 31, 2010 and September 30, 2010, cash equivalents consisted of $3.0 million and $1.8 million in money market products,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2010 and 2009 were $403.4 million and $306.1 million, respectively, and $11.14 and $11.86, respectively. Below are the financial highlights for the three months ended December 31, 2010 and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160" w:type="dxa"/>
            <w:vAlign w:val="bottom"/>
            <w:gridSpan w:val="5"/>
          </w:tcPr>
          <w:p>
            <w:pPr>
              <w:jc w:val="right"/>
              <w:ind w:right="114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(0.26)</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36,223,950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25,808,772</w:t>
            </w:r>
          </w:p>
        </w:tc>
      </w:tr>
      <w:tr>
        <w:trPr>
          <w:trHeight w:val="338"/>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7.67%</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7.17%</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11.17%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9.37%</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403,390,962</w:t>
            </w:r>
          </w:p>
        </w:tc>
        <w:tc>
          <w:tcPr>
            <w:tcW w:w="6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306,148,322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290,552,174</w:t>
            </w:r>
          </w:p>
        </w:tc>
        <w:tc>
          <w:tcPr>
            <w:tcW w:w="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224,010,870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Average debt per share</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8.02</w:t>
            </w:r>
          </w:p>
        </w:tc>
        <w:tc>
          <w:tcPr>
            <w:tcW w:w="6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49.80%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60" w:firstLine="8"/>
        <w:spacing w:after="0" w:line="286"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7520" w:firstLine="8"/>
        <w:spacing w:after="0" w:line="347" w:lineRule="auto"/>
        <w:tabs>
          <w:tab w:leader="none" w:pos="2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FACILITY AND SBA DEBENTURES </w:t>
      </w:r>
      <w:r>
        <w:rPr>
          <w:rFonts w:ascii="Arial" w:cs="Arial" w:eastAsia="Arial" w:hAnsi="Arial"/>
          <w:sz w:val="18"/>
          <w:szCs w:val="18"/>
          <w:b w:val="1"/>
          <w:bCs w:val="1"/>
          <w:i w:val="1"/>
          <w:iCs w:val="1"/>
          <w:color w:val="auto"/>
        </w:rPr>
        <w:t>Credit Facility</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2010 and September 30, 2010, there was $255.8 million and $233.1 million (including a $5.2 million temporary draw) in outstanding borrowings under the credit facility, with a weighted average interest rate at the time of 1.28% and 1.34% exclusive of the fee on undrawn commitment of 0.20%, respectively.</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2010 and September 30, 2010, we had $44.2 million and $66.9 million, respectively,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million at any one time outstanding. The credit facility is a five-year revolving facility (with a stated maturity date of June 25, 2012) and pricing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basis points over LIBOR. The credit facility contains customary affirmative and negative covenants, including the maintenance of a minimum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equity, the maintenance of a ratio not less than 200% of total assets (less total liabilities other than indebtedness) to total indebtedness, and restrictions on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payments and issuance of debt. For a complete list of such covenants, see our report on Form 8-K, filed June 28, 2007 and on Form 10-Q, filed May 5, 2010.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2010, we were in compliance with our covenants relating to our credit facility.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but not limited to, an examination by the SBA. As of December 31, 2010, we had committed to SBIC LP $50.0 million, funded it with equity capital of $50.0 million, had SBA debentures outstanding of $30.0 million and a weighted average interest rate at the time of 0.96%. As of September 30, 2010, we had committed to SBIC LP $50.0 million, funded it with equity capital of $14.5 million, had SBA debentures outstanding of $14.5 million and a weighted average interest rate at the time of 0.84%.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with $30.0 million outstanding. Of the $30.0 million of SBA debentures outstanding, $0.5 million is fixed for 10-years with a rate of 3.50% (inclusive of the SBA annual fee) and $29.5 million is temporary financing currently bearing a weighted average rate of 0.92% that will reset to a market-driven rate in March 2011 and remains fixed thereafter for 10 years. As of December 31, 2010, we had $70.0 million of unused borrowing capacity under the SBA debenture commitment.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our SBIC subsidiary is wholly owned by us. As of December 31, 2010, SBIC LP was in compliance with all terms relating to our SBA debentures.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of the covenants we made when we entered into, including the ratio of total assets to total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 and subordinated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February 2, 2011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23315" cy="231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23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consent to the use of our reports dated November 17, 2010 for the PennantPark Investment Corporation and its Subsidiaries included herein and to the references to our firm under the headings “Selected Financial Data” and “Independent Registered Public Accounting Firm” in the Prospectus Supplement on Form 497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23315"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3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28, 2011</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127000</wp:posOffset>
            </wp:positionV>
            <wp:extent cx="1414780" cy="334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47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(the “1940 Act”).</w:t>
      </w:r>
    </w:p>
    <w:p>
      <w:pPr>
        <w:spacing w:after="0" w:line="13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senior secured loans, mezzanine debt, and equity investments. We fund a portion of our investments with borrowed money, a practice commonly known as leverage. We can offer no assurances that we will achieve our investment objectives.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8 and “Sales of Common Stock Below Net Asset Value” on page 39 of this prospectus for more information.</w:t>
      </w:r>
    </w:p>
    <w:p>
      <w:pPr>
        <w:spacing w:after="0" w:line="12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January 21, 2011 was $12.20 per share and our net asset value on September 30, 2010 was $10.69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in writing at 590 Madison Avenue, New York, NY 10022 or by telephone at (212) 905-1000 or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6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7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dated January 28, 2011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4"/>
            <w:vMerge w:val="restart"/>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00" w:type="dxa"/>
            <w:vAlign w:val="bottom"/>
            <w:gridSpan w:val="34"/>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896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SALES OF COMMON STOCK BELOW NET ASSET VALUE</w:t>
              </w:r>
            </w:hyperlink>
          </w:p>
        </w:tc>
        <w:tc>
          <w:tcPr>
            <w:tcW w:w="64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BUSINESS</w:t>
              </w:r>
            </w:hyperlink>
          </w:p>
        </w:tc>
        <w:tc>
          <w:tcPr>
            <w:tcW w:w="10160" w:type="dxa"/>
            <w:vAlign w:val="bottom"/>
            <w:gridSpan w:val="3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PORTFOLIO COMPANIES</w:t>
              </w:r>
            </w:hyperlink>
          </w:p>
        </w:tc>
        <w:tc>
          <w:tcPr>
            <w:tcW w:w="7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CONTROL PERSONS AND PRINCIPAL STOCKHOLDERS</w:t>
              </w:r>
            </w:hyperlink>
          </w:p>
        </w:tc>
        <w:tc>
          <w:tcPr>
            <w:tcW w:w="65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0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62">
              <w:r>
                <w:rPr>
                  <w:rFonts w:ascii="Arial" w:cs="Arial" w:eastAsia="Arial" w:hAnsi="Arial"/>
                  <w:sz w:val="18"/>
                  <w:szCs w:val="18"/>
                  <w:color w:val="0000EE"/>
                  <w:w w:val="92"/>
                </w:rPr>
                <w:t>DESCRIPTION OF OUR CAPITAL STOCK</w:t>
              </w:r>
            </w:hyperlink>
          </w:p>
        </w:tc>
        <w:tc>
          <w:tcPr>
            <w:tcW w:w="77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DESCRIPTION OF OUR WARRANTS</w:t>
              </w:r>
            </w:hyperlink>
          </w:p>
        </w:tc>
        <w:tc>
          <w:tcPr>
            <w:tcW w:w="75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17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85">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91">
              <w:r>
                <w:rPr>
                  <w:rFonts w:ascii="Arial" w:cs="Arial" w:eastAsia="Arial" w:hAnsi="Arial"/>
                  <w:sz w:val="18"/>
                  <w:szCs w:val="18"/>
                  <w:color w:val="0000EE"/>
                  <w:w w:val="93"/>
                </w:rPr>
                <w:t>BROKERAGE ALLOCATIONS AND OTHER PRACTICES</w:t>
              </w:r>
            </w:hyperlink>
          </w:p>
        </w:tc>
        <w:tc>
          <w:tcPr>
            <w:tcW w:w="66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92">
              <w:r>
                <w:rPr>
                  <w:rFonts w:ascii="Arial" w:cs="Arial" w:eastAsia="Arial" w:hAnsi="Arial"/>
                  <w:sz w:val="18"/>
                  <w:szCs w:val="18"/>
                  <w:color w:val="0000EE"/>
                  <w:w w:val="94"/>
                </w:rPr>
                <w:t>MATERIAL U.S. FEDERAL INCOME TAX CONSIDERATIONS</w:t>
              </w:r>
            </w:hyperlink>
          </w:p>
        </w:tc>
        <w:tc>
          <w:tcPr>
            <w:tcW w:w="62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LEGAL MATTERS</w:t>
              </w:r>
            </w:hyperlink>
          </w:p>
        </w:tc>
        <w:tc>
          <w:tcPr>
            <w:tcW w:w="71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w:anchor="page201">
              <w:r>
                <w:rPr>
                  <w:rFonts w:ascii="Arial" w:cs="Arial" w:eastAsia="Arial" w:hAnsi="Arial"/>
                  <w:sz w:val="18"/>
                  <w:szCs w:val="18"/>
                  <w:color w:val="0000EE"/>
                  <w:w w:val="95"/>
                </w:rPr>
                <w:t>INDEX TO FINANCIAL STATEMENTS</w:t>
              </w:r>
            </w:hyperlink>
          </w:p>
        </w:tc>
        <w:tc>
          <w:tcPr>
            <w:tcW w:w="1700" w:type="dxa"/>
            <w:vAlign w:val="bottom"/>
            <w:tcBorders>
              <w:top w:val="single" w:sz="8" w:color="0000EE"/>
            </w:tcBorders>
            <w:gridSpan w:val="12"/>
          </w:tcPr>
          <w:p>
            <w:pPr>
              <w:spacing w:after="0"/>
              <w:rPr>
                <w:sz w:val="17"/>
                <w:szCs w:val="17"/>
                <w:color w:val="auto"/>
              </w:rPr>
            </w:pPr>
          </w:p>
        </w:tc>
        <w:tc>
          <w:tcPr>
            <w:tcW w:w="63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PART C OTHER INFORMATION</w:t>
            </w:r>
          </w:p>
        </w:tc>
        <w:tc>
          <w:tcPr>
            <w:tcW w:w="85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sz w:val="20"/>
                <w:szCs w:val="20"/>
                <w:color w:val="auto"/>
              </w:rPr>
            </w:pPr>
            <w:r>
              <w:rPr>
                <w:rFonts w:ascii="Arial" w:cs="Arial" w:eastAsia="Arial" w:hAnsi="Arial"/>
                <w:sz w:val="18"/>
                <w:szCs w:val="18"/>
                <w:color w:val="0000EE"/>
              </w:rPr>
              <w:t>SIGNATURES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SBIC subsidiary and relate to future events, future performance or financial condition. The forward-looking statements involve risks and uncertainties for both us and our consolidated SBIC subsidiary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accompanying prospectus supplement, if any, except where the context suggests otherwise, the terms “we,” “us,” “our” , “Company” and “PennantPark Investment” refer to PennantPark Investment Corporation; “SBIC LP” and “our SBIC” refer to our wholly owned, consolidated Small Business Investment Company “SBIC” subsidiary, PennantPark SBIC LP; “PennantPark Investment Advisers” or the “Investment Adviser” refers to PennantPark Investment Advisers, LLC; “PennantPark Investment Administration” or the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Small Business Administration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under the Investment Company Act of 1940 (the “1940 Act”). In addition, for tax purposes we have elected to be treated as a regulated investment company (“RIC”), under the Internal Revenue Code of 1986, as amended (the “Code”).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Small Business Investment Act of 1958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inception in 2007, we have raised nearly $800 million in debt and equity capital, and have invested over $1 billion in 96 companies and 48 different financial sponsors.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Related to our Business and Structure.”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80" w:hanging="446"/>
        <w:spacing w:after="0" w:line="262"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We believe middle-market companies have faced difficulty raising debt in private markets</w:t>
      </w:r>
      <w:r>
        <w:rPr>
          <w:rFonts w:ascii="Arial" w:cs="Arial" w:eastAsia="Arial" w:hAnsi="Arial"/>
          <w:sz w:val="18"/>
          <w:szCs w:val="18"/>
          <w:color w:val="auto"/>
        </w:rPr>
        <w:t>. 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900" w:hanging="446"/>
        <w:spacing w:after="0" w:line="31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62"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equity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59" w:lineRule="auto"/>
        <w:rPr>
          <w:sz w:val="20"/>
          <w:szCs w:val="20"/>
          <w:color w:val="auto"/>
        </w:rPr>
      </w:pPr>
      <w:r>
        <w:rPr>
          <w:rFonts w:ascii="Arial" w:cs="Arial" w:eastAsia="Arial" w:hAnsi="Arial"/>
          <w:sz w:val="18"/>
          <w:szCs w:val="18"/>
          <w:color w:val="auto"/>
        </w:rPr>
        <w:t>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3" w:lineRule="exact"/>
        <w:rPr>
          <w:sz w:val="20"/>
          <w:szCs w:val="20"/>
          <w:color w:val="auto"/>
        </w:rPr>
      </w:pPr>
    </w:p>
    <w:p>
      <w:pPr>
        <w:ind w:left="900" w:right="180" w:hanging="446"/>
        <w:spacing w:after="0" w:line="26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60" w:hanging="224"/>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believe enable us to evaluate investment opportunities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financial needs of a company while also generating attractive risk-adjusted returns. We can invest in any part of a capital structure and our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five-year, multi-currency $300.0 million senior secured credit facility (the “credit facility”), which matures on June 25, 2012, and is secured by substantially all of our investment portfolio assets (excluding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assets of SBIC LP) with a group of lenders, under which we had $233.1 million (including a $5.2 million temporary draw) and $225.1 million (including a $7.0 million temporary draw) of indebtedness outstanding at September 30, 2010 and 2009, respectively. Pricing of borrowings under our credit facility is set at 100 basis points over the London Interbank Offering Rate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w:t>
      </w:r>
    </w:p>
    <w:p>
      <w:pPr>
        <w:spacing w:after="0" w:line="11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On August 5, 2010 and November 4, 2010, SBIC LP received a debenture commitment from the SBA in the amount of $33.5 million and $66.5 million, respectively, bringing our total commitment from the SBA to $100 million. SBA debentures offer competitive terms such as being non-recourse to us, having a</w:t>
      </w:r>
    </w:p>
    <w:p>
      <w:pPr>
        <w:spacing w:after="0" w:line="253" w:lineRule="auto"/>
        <w:rPr>
          <w:sz w:val="20"/>
          <w:szCs w:val="20"/>
          <w:color w:val="auto"/>
        </w:rPr>
      </w:pPr>
      <w:r>
        <w:rPr>
          <w:rFonts w:ascii="Arial" w:cs="Arial" w:eastAsia="Arial" w:hAnsi="Arial"/>
          <w:sz w:val="18"/>
          <w:szCs w:val="18"/>
          <w:color w:val="auto"/>
        </w:rPr>
        <w:t>10-year maturity, requiring semi-annual interest payments, not requiring principal payments prior to maturity and may be prepaid at any time without penalty. The SBA debentures are secured by all the investment portfolio assets of SBIC LP and have a superior claim over such assets. As of September 30, 2010, SBIC LP had $14.5 million (including $14.0 million of temporary financing resetting in March 2011) of outstanding SBA debentures. Subsequent to September 30, 2010, SBIC completed its SBA examination in order to gain access to the full SBA commitment subject to customary regulatory requirements.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Under our investment management agreement (the “Investment Management Agreement”), we have agreed to pay our Investment Adviser an annual base management fee based on our average adjusted gross assets as well as an incentive fee based on our investment performance. See “Business—Investment Management Agreement” for more information.</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“Business—Administration Agreement” for more information.</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business development company, we are required to comply with certain regulatory requirements. Also, while we are permitted to finance investments using debt, our ability to use debt is limited in certain significant respects. See “Regulation” for more information. We have elected to be treated for federal income tax purposes under the Code as a RIC. See “Material U.S. Federal Income Tax Considerations” for more information.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wholly owned subsidiary, SBIC LP, received a license from the SBA to operate as an SBIC under Section 301(c) of the 1958 Act and is regulated by the SBA. We serve as the investment adviser and administrator to SBIC LP. As an SBIC, the SBA regulates, among other matters, SBIC LP’s investing activities.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capitalize our SBIC subsidiary or for other general corporate purposes. Any supplements to this prospectus relating to an offering will more fully identify the use of the proceeds from such offering. See “Use of Proceeds” for information regarding our outstanding borrowings as of September 30, 2010, the corresponding interest rate charged on such borrowings as of that date and the length of time that it may take us to invest any proceeds in new or existing portfolio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(“ARPS”), will be weekly and subject to extension. With respect to ARPS, we expect the dividend rate to be variable and determined for each dividend period. See “Risk Factors—Risks Related to Issuance of our Preferred Stock”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 (as a percentage of offering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common stockholder expenses (as a percentage of offering price)</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3.68%</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2.07%</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0.95%</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1.20%</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7.90%</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10180" w:space="720"/>
            <w:col w:w="500"/>
          </w:cols>
          <w:pgMar w:left="240" w:top="459" w:right="259" w:bottom="1440" w:gutter="0" w:footer="0" w:header="0"/>
          <w:type w:val="continuous"/>
        </w:sectPr>
      </w:pPr>
    </w:p>
    <w:p>
      <w:pPr>
        <w:ind w:left="460" w:right="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ind w:left="460" w:right="2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September 30, 2010.</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adjusted gross assets on September 30, 2010. See “Certain Relationships and Transactions—Investment Management Agreement” for more information.</w:t>
      </w:r>
    </w:p>
    <w:p>
      <w:pPr>
        <w:ind w:left="460" w:right="2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year ended September 30, 2010.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year ended September 30, 2010. See “Certain Relationships and Transactions—Investment Management Agreement” for more information and Note 3 to our consolidated financial statements included in this prospectus.</w:t>
      </w:r>
    </w:p>
    <w:p>
      <w:pPr>
        <w:spacing w:after="0" w:line="6"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September 30, 2010, we had $66.9 million unused borrowing capacity, subject to maintenance of the applicable total assets to debt ratio of 200%, and $233.1 million (including a $5.2 million temporary draw) in borrowings outstanding under our $300.0 million credit facility. As of September 30, 2010, SBIC LP had $19.0 million unused borrowing capacity, subject to customary regulatory requirements, and $14.5 million (including $14.0 million of temporary financing resetting in March 2011) of outstanding SBA debentures under our $33.5 million commitment from the SBA. We may use proceeds of an offering of securities under this registration statement to repay outstanding obligations under our credit facility. After completing any such offering, we may continue to borrow under our credit facility or SBIC LP’s SBA commitment to finance our investment objectives under the terms of our credit facility and SBA debenture program,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2" w:lineRule="auto"/>
        <w:rPr>
          <w:sz w:val="20"/>
          <w:szCs w:val="20"/>
          <w:color w:val="auto"/>
        </w:rPr>
      </w:pPr>
      <w:r>
        <w:rPr>
          <w:rFonts w:ascii="Arial" w:cs="Arial" w:eastAsia="Arial" w:hAnsi="Arial"/>
          <w:sz w:val="18"/>
          <w:szCs w:val="18"/>
          <w:color w:val="auto"/>
        </w:rPr>
        <w:t>respectively. We have estimated the interest expense on borrowed funds to take this into account, however, we caution you that our actual interest expense will depend on prevailing interest rates and our rate of borrowing and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right="4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year ended September 30, 2010. See the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monies. If the “total annual expenses” percentage were calculated instead as a percentage of total assets, our “total annual expenses” would be 4.30% of total assets. For a presentation and calculation of total annual expenses based on total assets, see page 29 of this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5.84%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5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4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$ 111</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$ 219</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$ 326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585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and adversely affected debt and equity capital markets in the United States, which could have a negative impact on our business and operations.</w:t>
      </w:r>
    </w:p>
    <w:p>
      <w:pPr>
        <w:spacing w:after="0" w:line="5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past three years,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debentures.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 addition to the credit facility, SBIC LP has issued SBA debentures that require our SBIC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 Our borrowings under our SBA debentures are collateralized by the assets of SBIC LP.</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00" w:firstLine="456"/>
        <w:spacing w:after="0" w:line="303" w:lineRule="auto"/>
        <w:rPr>
          <w:sz w:val="20"/>
          <w:szCs w:val="20"/>
          <w:color w:val="auto"/>
        </w:rPr>
      </w:pPr>
      <w:r>
        <w:rPr>
          <w:rFonts w:ascii="Arial" w:cs="Arial" w:eastAsia="Arial" w:hAnsi="Arial"/>
          <w:sz w:val="15"/>
          <w:szCs w:val="15"/>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 our board of directors. Decreases in the market values or fair values of our investments will be recorded as unrealized depreciation.</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Unrealized losses of any given portfolio company could be an indication of such company’s inability in the future to meet its repayment obligations to us. If the fair value of our portfolio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SBIC subsidiary may be unable to make distributions to us that will enable us to meet or maintain RIC status.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our SBIC subsidiary. We will be partially dependent on our SBIC subsidiary for cash 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9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 the depressed economic cycle present significant challenges to us that have not been present in recent years, if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 of income, quarterly asset diversification and distribution requirements, we generally will not be subject to corporate-level income tax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our SBIC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2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have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00" w:hanging="446"/>
        <w:spacing w:after="0" w:line="290"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00"/>
        <w:spacing w:after="0" w:line="255" w:lineRule="auto"/>
        <w:rPr>
          <w:sz w:val="20"/>
          <w:szCs w:val="20"/>
          <w:color w:val="auto"/>
        </w:rPr>
      </w:pPr>
      <w:r>
        <w:rPr>
          <w:rFonts w:ascii="Arial" w:cs="Arial" w:eastAsia="Arial" w:hAnsi="Arial"/>
          <w:sz w:val="18"/>
          <w:szCs w:val="18"/>
          <w:color w:val="auto"/>
        </w:rPr>
        <w:t>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62" w:lineRule="exact"/>
        <w:rPr>
          <w:sz w:val="20"/>
          <w:szCs w:val="20"/>
          <w:color w:val="auto"/>
        </w:rPr>
      </w:pPr>
    </w:p>
    <w:p>
      <w:pPr>
        <w:ind w:left="900" w:right="10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anticipate that in the future, as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SBA regulations, we may, through our wholly owned subsidiary, SBIC LP, issue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Officers of our Investment Adviser and Administrator are currently providing managerial assistance to our controlled affiliate.</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SBIC subsidiary is licensed by the SBA and is subject to SBA regulations.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July 30, 2010, our wholly owned subsidiary, SBIC LP, received a license from the SBA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our SBIC subsidiary to invest at less competitive rates according to applicable SBA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SBA regulations.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 owned subsidiary.</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have capitalized SBIC LP with a lesser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Additionally, our subsidiary, SBIC LP, has received borrowed funds from the SBA through its debenture program and has received commitments for additional SBA debentures. In connection with the filing of its SBA license application, PennantPark Investment applied for exemptive relief from the SEC to permit us to exclude the debt of SBIC LP from our consolidated asset coverage ratio.</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can be no assurance that we will be able to capitalize SBIC LP with sufficient regulatory capital to access the maximum borrowing amount available or that we will receive an exemptive relief from the SEC with respect to the SBA debentures. 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such as us since we entered into our credit facility in June 2007. If we fail to refinance the indebtedness outstanding under our credit facility at the time it becomes due and payable,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 lenders would receive proceeds before our stockholders. Additionally, the SBA as a lender and an administrative agent, has a superior claim over the assets of our SBIC in relation to our lender. In addition, borrowings or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of September 30, 2010, we had outstanding borrowings of $233.1 million under our credit facility (including a temporary draw of $5.2 million) and $14.5 million outstanding under the SBA debentures (including temporary financings of $14.0 million). Our consolidated debt outstanding was $ 247.6 million and had a weighted average annual interest rate at the time of 1.32% exclusive of the fee on undrawn commitment of 0.20% and 3.43% upfront fees on the SBA debentures. Accordingly, to cover the annual interest on our borrowings outstanding at September 30, 2010, at the then current rate, we would have to receive an annual yield of at least 0.46%.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2010 of 33% of total assets (including such borrowed funds), at a weighted average rate at the time of 1.32%,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-19.2%</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hanging="452"/>
        <w:spacing w:after="0" w:line="29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2010,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2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Furthermore, the initial rate on SBIC LP’s temporary SBA debentures will be reset in March 2011, the next pooling date, at a spread above the 10-year treasury and will remain fixed for 10 years from such date. Thus, while the rate is fixed from September 30, 2010 until March 2011, we are exposed to risks associated with changes in interest rates until March 2011 on any current and future temporary borrowings. In addition, SBA debentures incurred the future may bear significantly less attractive borrowing terms depending upon the then-applicable fixed rates.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1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dividends on such preferred stock are in arrears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if the subscription price or warrant price is less than our net asset value per share of common stock at the time of such offering, then our stockholders would experience an immediate dilution of the aggregate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broker/dealers quotes, or at fair value as determined in good faith by our board of directors. We expect that primarily most, if not all, of our investments (other than cash and cash equivalents) and credit facility borrowings will be classified as Level 3 under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the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September 30, 2010, most of our portfolio assets were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100" w:hanging="325"/>
        <w:spacing w:after="0" w:line="28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4"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continue to make selected equity investments. In addition, when we invest in senior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40" w:hanging="325"/>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8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20" w:firstLine="456"/>
        <w:spacing w:after="0" w:line="255" w:lineRule="auto"/>
        <w:rPr>
          <w:sz w:val="20"/>
          <w:szCs w:val="20"/>
          <w:color w:val="auto"/>
        </w:rPr>
      </w:pPr>
      <w:r>
        <w:rPr>
          <w:rFonts w:ascii="Arial" w:cs="Arial" w:eastAsia="Arial" w:hAnsi="Arial"/>
          <w:sz w:val="18"/>
          <w:szCs w:val="18"/>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To the extent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a senior secured loan.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senior secured loans, mezzanine debt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we may not have yet received in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2, 2010, our stockholders approved a proposal that authorizes us to sell shares of our common stock below the then current net asset value per share of our common stock in one or more offerings for a 12-month period. Our most recent offering was on August 23, 2010, where we sold shares of our common stock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below the then current net asset value per share of common stock. Such approval has allowed and will continue to allow us to access the capital markets in a way that we were previously unable to as a result of restrictions that, absent stockholder approval, apply to business development companies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80"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firstLine="456"/>
        <w:spacing w:after="0" w:line="312" w:lineRule="auto"/>
        <w:rPr>
          <w:sz w:val="20"/>
          <w:szCs w:val="20"/>
          <w:color w:val="auto"/>
        </w:rPr>
      </w:pPr>
      <w:r>
        <w:rPr>
          <w:rFonts w:ascii="Arial" w:cs="Arial" w:eastAsia="Arial" w:hAnsi="Arial"/>
          <w:sz w:val="15"/>
          <w:szCs w:val="15"/>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05"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We will be partially dependent on our SBIC subsidiary for cash 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 See “Market for Registrant’s Common Equity, Related Stockholder Matters and Issuer Purchases of Equity Securities” for more information.</w:t>
      </w:r>
    </w:p>
    <w:p>
      <w:pPr>
        <w:spacing w:after="0" w:line="21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$10.61 and $8.11 as of September 30, 2010 and 2009, respectively. Our NAV was $10.69 and $11.85, as of September 30, 2010 and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business development companies or SBICs;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loss of RIC or SBIC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SBA also limits an SBIC from investing idle funds to the following types of securities:</w:t>
      </w:r>
    </w:p>
    <w:p>
      <w:pPr>
        <w:spacing w:after="0" w:line="90" w:lineRule="exact"/>
        <w:rPr>
          <w:sz w:val="20"/>
          <w:szCs w:val="20"/>
          <w:color w:val="auto"/>
        </w:rPr>
      </w:pPr>
    </w:p>
    <w:p>
      <w:pPr>
        <w:ind w:left="900" w:right="1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15 months from the date of the investment;</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prospectus contains statements that constitute forward-looking statements, which relate to both us and our consolidated SBIC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for both us and our consolidated SBIC subsidiary, including statements as to:</w:t>
      </w:r>
    </w:p>
    <w:p>
      <w:pPr>
        <w:spacing w:after="0" w:line="3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our SBIC subsidiary or for other general corporate purposes. Any supplements to this prospectus relating to an offering may more fully indentify the use of the proceeds from such offering.</w:t>
      </w:r>
    </w:p>
    <w:p>
      <w:pPr>
        <w:spacing w:after="0" w:line="140"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As of September 30, 2010, we had $66.9 million unused borrowing capacity and $233.1 million (including a $5.2 million temporary draw) in borrowings outstanding under our $300.0 million credit facility. Borrowings under our credit facility bear interest at an annual rate equal to LIBOR + 100 basis points per annum. At September 30, 2010, this corresponded to a weighted average interest rate at that time of 1.34% exclusive of the fee on undrawn commitment of</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at a market-driven spread over 10-year U.S. Treasury Notes. Of the $14.5 million of SBA debentures outstanding, $0.5 million is fixed for 10-years with a rate of 3.50% (inclusive of the SBA annual fee and exclusive of 3.43% of upfront fees) and $14.0 million is temporary financing currently bearing a rate of 0.84% that will reset to a market-driven rate in March 2011. The remaining unused SBA debentures totaled $19.0 million as of September 30, 2010, subject to customary regulatory requirements. See recent developments for information pertaining to the increased commitment and availability under the SBA debenture program.</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derived the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2010, 2009 and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and “Regulation—Senior Securities” in this prospectus.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2"/>
                <w:szCs w:val="12"/>
                <w:color w:val="auto"/>
              </w:rPr>
            </w:pPr>
          </w:p>
        </w:tc>
        <w:tc>
          <w:tcPr>
            <w:tcW w:w="178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Audited</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   60,140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45,119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28,065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22,400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28,065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22,400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22,719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(15,539)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13,083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(59,259)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35,802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(40,703)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rPr>
              <w:t>Net increase (decrease) in net assets resulting from</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2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0.56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711,494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512,381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664,724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469,760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74,988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25,821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386,575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300,580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44.79%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for more information.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taking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8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$ 16,681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$16,335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13,525</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$ 13,599</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8,957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8,821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7,059</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4"/>
              </w:rPr>
              <w:t>(2,326)</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(4,561)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6,630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4,260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10.94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$ 11,847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$10,770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10,425</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6,018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5,666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$ 20,162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(6,486)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36,932</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8"/>
              </w:rPr>
              <w:t>$ 26,180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42,199</w:t>
            </w:r>
          </w:p>
        </w:tc>
        <w:tc>
          <w:tcPr>
            <w:tcW w:w="12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11.85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11.72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$ 11,431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9,662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5,434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3,941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82"/>
              </w:rPr>
              <w:t>$ (16,475)</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$11,263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(37,778)</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60" w:type="dxa"/>
            <w:vAlign w:val="bottom"/>
            <w:gridSpan w:val="5"/>
          </w:tcPr>
          <w:p>
            <w:pPr>
              <w:jc w:val="right"/>
              <w:ind w:right="260"/>
              <w:spacing w:after="0"/>
              <w:rPr>
                <w:sz w:val="20"/>
                <w:szCs w:val="20"/>
                <w:color w:val="auto"/>
              </w:rPr>
            </w:pPr>
            <w:r>
              <w:rPr>
                <w:rFonts w:ascii="Arial" w:cs="Arial" w:eastAsia="Arial" w:hAnsi="Arial"/>
                <w:sz w:val="18"/>
                <w:szCs w:val="18"/>
                <w:color w:val="auto"/>
                <w:w w:val="82"/>
              </w:rPr>
              <w:t>$ (11,041)</w:t>
            </w:r>
          </w:p>
        </w:tc>
        <w:tc>
          <w:tcPr>
            <w:tcW w:w="8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w w:val="86"/>
              </w:rPr>
              <w:t>$15,204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(33,329)</w:t>
            </w:r>
          </w:p>
        </w:tc>
        <w:tc>
          <w:tcPr>
            <w:tcW w:w="12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10.77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Q3</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Q2*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$ 5,425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$ 3,208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(18,870)</w:t>
            </w:r>
          </w:p>
        </w:tc>
        <w:tc>
          <w:tcPr>
            <w:tcW w:w="14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$(5,152)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(14,522)</w:t>
            </w:r>
          </w:p>
        </w:tc>
        <w:tc>
          <w:tcPr>
            <w:tcW w:w="140" w:type="dxa"/>
            <w:vAlign w:val="bottom"/>
          </w:tcPr>
          <w:p>
            <w:pPr>
              <w:spacing w:after="0"/>
              <w:rPr>
                <w:sz w:val="18"/>
                <w:szCs w:val="18"/>
                <w:color w:val="auto"/>
              </w:rPr>
            </w:pPr>
          </w:p>
        </w:tc>
        <w:tc>
          <w:tcPr>
            <w:tcW w:w="1500" w:type="dxa"/>
            <w:vAlign w:val="bottom"/>
            <w:gridSpan w:val="6"/>
          </w:tcPr>
          <w:p>
            <w:pPr>
              <w:jc w:val="right"/>
              <w:ind w:right="415"/>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w w:val="97"/>
              </w:rPr>
              <w:t>(0.09)</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$ 13.74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$ 14.04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1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investment activities are managed by PennantPark Investment Advisers. Under our Investment Management Agreement, we have agreed to pay our Investment Adviser an annual base management fee based on our average adjusted gross assets as well as an incentive fee based on our investment performance.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Advisor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PennantPark Investment Advisers supervise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6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580"/>
              <w:spacing w:after="0"/>
              <w:rPr>
                <w:sz w:val="20"/>
                <w:szCs w:val="20"/>
                <w:color w:val="auto"/>
              </w:rPr>
            </w:pPr>
            <w:r>
              <w:rPr>
                <w:rFonts w:ascii="Arial" w:cs="Arial" w:eastAsia="Arial" w:hAnsi="Arial"/>
                <w:sz w:val="18"/>
                <w:szCs w:val="18"/>
                <w:b w:val="1"/>
                <w:bCs w:val="1"/>
                <w:color w:val="auto"/>
              </w:rPr>
              <w:t>Estimated Annual Expenses (as a Percentage of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1.13%</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0.52%</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0.65%</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4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year ended September 30, 2010.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year ended September 30, 2010. See “Certain Relationships and Transactions—Investment Management Agreement” for more information and Note 3 to our consolidated financial statements included in this prospectus.</w:t>
      </w:r>
    </w:p>
    <w:p>
      <w:pPr>
        <w:spacing w:after="0" w:line="6"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of September 30, 2010, we had $66.9 million unused borrowing capacity, subject to maintenance of the applicable total assets to debt ratio of 200%, and $233.1 million (including a $5.2 million temporary draw) in borrowings outstanding under our $300.0 million credit facility. As of September 30, 2010, SBIC LP had $19.0 million unused borrowing capacity, subject to customary regulatory requirements, and $14.5 million (including $14.0 million of temporary financing resetting in March 2011) of outstanding SBA debentures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1" w:lineRule="auto"/>
        <w:rPr>
          <w:sz w:val="20"/>
          <w:szCs w:val="20"/>
          <w:color w:val="auto"/>
        </w:rPr>
      </w:pPr>
      <w:r>
        <w:rPr>
          <w:rFonts w:ascii="Arial" w:cs="Arial" w:eastAsia="Arial" w:hAnsi="Arial"/>
          <w:sz w:val="18"/>
          <w:szCs w:val="18"/>
          <w:color w:val="auto"/>
        </w:rPr>
        <w:t>under our $33.5 million commitment from the SBA. We may use proceeds of an offering of securities under this registration statement to repay outstanding obligations under our credit facility. After completing any such offering, we may continue to borrow under our credit facility or SBIC LP’s SBA commitment to finance our investment objectives under the terms of our credit facility and SBA debenture program, respectively. We have estimated the interest expense on borrowed funds to take this into account, however, we caution you that our actual interest expense will depend on prevailing interest rates and our rate of borrowing and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 w:lineRule="exact"/>
        <w:rPr>
          <w:sz w:val="20"/>
          <w:szCs w:val="20"/>
          <w:color w:val="auto"/>
        </w:rPr>
      </w:pPr>
    </w:p>
    <w:p>
      <w:pPr>
        <w:ind w:left="460" w:right="42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year ended September 30, 2010. See the Statement of Operations in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investments generally consist of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fair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Accounting Standards Board, or FASB, issued guidance related to Fair Value Measurements,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PennantPark Investment at the measurement date.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PennantPark Investment’s own assumptions about how market participants would price the asset or liability.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all of our investments (other than cash and cash equivalents) and long-term credit facility are classified as Level 3.</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FASB issued guidance on, The Fair Value Option for Financial Assets and Financial Liabilities—Including an Amendment of FASB 115, or ASC 825-</w:t>
      </w:r>
    </w:p>
    <w:p>
      <w:pPr>
        <w:spacing w:after="0" w:line="38" w:lineRule="exact"/>
        <w:rPr>
          <w:sz w:val="20"/>
          <w:szCs w:val="20"/>
          <w:color w:val="auto"/>
        </w:rPr>
      </w:pPr>
    </w:p>
    <w:p>
      <w:pPr>
        <w:ind w:right="20" w:firstLine="8"/>
        <w:spacing w:after="0" w:line="285" w:lineRule="auto"/>
        <w:tabs>
          <w:tab w:leader="none" w:pos="2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adoption, our net asset value increased by $41.8 million, or $1.99 per share, due to the fair value adjustment related to our credit facility. For the fiscal years ended September 30, 2010 and 2009, our long-term credit facility had a net change in unrealized (appreciation) depreciation of $(35.7) million and $7.8 million, respectively. On September 30, 2010 and 2009, net unrealized appreciation on our long-term credit facility totaled $13.9 million and $49.6 million, respectively, which included the cumulative effect of adoption of ASC 825-10 on our credit facility of $41.8 million. We use a nationally recognized independent valuation services to measure the fair value of our credit facility in a manner consistent with the valuation process that our board of directors uses to value our investments. After adoption, subsequent changes in the fair value of our credit facility will be recorded in the consolidated statement of operations. We have not elected to apply ASC 825-10 to any other financial assets or liabilities.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FASB guidance on, Determining Fair Value When the Volume and Level of Activity for the Asset or Liability Have Significantly Decreased and Identifying Transactions That Are Not Orderly, or ASC 820-10-35-51A. ASC 820-10-35-51A amends 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75% fixed-rate (including 26% with a LIBOR or prime floor) and 25% variable-rate investments. Overall, the portfolio had an unrealized appreciation of $8.0 million.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2009, our portfolio totaled $469.8 million and consisted of $150.6 million of senior secured loans, $134.4 million of second lien secured debt, $157.1 million of subordinated debt and $27.7 million of preferred and common equity investments. Our debt portfolio consisted of 53% fixed-rate (including 13% with a LIBOR or prime floor) and 47% variable-rate investments. Overall, the portfolio had an unrealized depreciation of $27.5 million. Our overall portfolio consisted of 42 companies with an average investment size of $11.2 million and a weighted average yield on debt investments of 11.4%, and was invested 32% in senior secured loans, 29% in second lien secured debt, 33% in subordinated debt and 6% in preferred and common equity investments.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fiscal year ended September 30, 2010, we purchased $309.5 million of investments issued by 17 new and 12 existing portfolio companies with an overall weighted average yield of 14.9% on debt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This compares to purchasing $112.7 million in 11 new and 8 existing portfolio companies with an overall weighted average yield of 14.5% on debt investments, and compares to purchasing $206.8 million in 14 new and 2 existing portfolio companies with an overall weighted average yield of 13.8% on debt investments for the fiscal years ended September 30, 2009 and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our results of operations for the fiscal years ended September 30, 2010,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2010, was $60.1 million, and was primarily attributable to $16.9 million from senior secured loan investments, $13.2 million from second lien secured debt investments, and $24.7 million from subordinated debt investments for the same period. The remaining investment income was primarily attributed to interest income from net accretion of discount and amortization of premium. The increase in investment income over the prior year was due to growth of our portfolio which was also driven by investment of the proceeds from our equity offerings and rotation out of lower yielding assets.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$6.0 million from senior secured loan investments, $12.2 million from second lien secured debt investments, and $24.1 million from subordinated debt investments for the same period. The remaining investment income was primarily attributed to interest income from net accretion of discount and amortization of premium. The increase in investment income over the prior year was due to the growth in our overall portfolio.</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$16.2 from senior secured loan investments, $14.7 million from second lien secured debt investments, and $7.2 million from subordinated debt investments for the same period. The remaining investment income was primarily attributed to interest income from short-term investments and to net accretion of discount and amortization of premium. The increase in investment income over the prior year was due to the growth of our portfolio and the transition of the portfolio from temporary to long-term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 and net investment income.</w:t>
      </w:r>
    </w:p>
    <w:p>
      <w:pPr>
        <w:spacing w:after="0" w:line="14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Expenses for the fiscal year ended September 30, 2009, totaled $22.4 million. Base management fee for the same period totaled $7.7 million, performance-based incentive fee totaled $5.7 million, credit facility related expenses totaled $4.6 million and general and administrative expenses totaled $4.4 million. The increase in expenses over the prior year was primarily due to the growth of our portfolio and offset by the reduced borrowing costs under our credit facility.</w:t>
      </w:r>
    </w:p>
    <w:p>
      <w:pPr>
        <w:spacing w:after="0" w:line="8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other the prior year was due to the growth of our portfolio and the incurrence of additional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investment income totaled $32.1 million or $1.09 per share, $22.7 million or $1.08 per share and $18.6 million or $0.88 per share, respectively, for the fiscal years ended September 30, 2010, 2009 and 2008.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increase in per share net investment income from 2009 to 2010 was the result of the growth of our portfolio offset by the dilutive effect of issuing shares below our net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2010, 2009 and 2008, totaled $145.2 million, $28.0 million and $70.1 million, respectively, and net realized losses totaled $15.4 million, $39.2 million and $11.2 million, respectively. Net realized losses decreased over the prior year due to improvements in the overall leveraged finance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appreciation (depreciation) on investments totaled $35.5 million, $44.5 million and $(48.1) million for the fiscal years ended September 30, 2010, 2009 and 2008, respectively. Net change in unrealized (appreciation) depreciation on credit facility totaled $(35.7) million and $7.8 million for the fiscal years ended September 30, 2010 and 2009, respectively. Net change in unrealized appreciation on investments improved over the prior year due to the overall improvements in the leveraged finance markets. Net change in unrealized (appreciation) on our credit facility over the prior year is the result of it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Net increase (decrease) in net assets resulting from operations totaled $16.5 million or $0.56 per share, $35.8 million or $1.70 per share, and $(40.7) million or $(1.93) per share for the fiscal years ended September 30, 2010, 2009 and 2008, respectively. The net increase in net assets from operations over the prior year was due to the continued growth in net investment income as a result of growing our portfolio, offset by realized losses and the appreciation in the value of our credit facility as it approaches maturity. The net increase in net assets resulting from operations decreased from 2008 to 2009, primarily due to a decline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June 25, 2007, PennantPark Investment entered into its credit facility, among us, various lenders and SunTrust Bank, as administrative agent for the lenders. SunTrust Robinson Humphrey Capital Markets acted as the joint lead arranger and JPMorgan Chase (Chase Lincoln First Commercial as successor in interest of Bear Stearns Corporate Lending Inc.) acted as joint lead arranger and syndication agent. As of September 30, 2010, we had outstanding borrowings of $233.1 million (including a $5.2 million temporary draw) with a fair value of $219.1 million and a weighted average interest rate at the time of 1.34% exclusive of the fee on undrawn commitment of 0.20%.</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80" w:firstLine="8"/>
        <w:spacing w:after="0" w:line="290" w:lineRule="auto"/>
        <w:tabs>
          <w:tab w:leader="none" w:pos="278" w:val="left"/>
        </w:tabs>
        <w:numPr>
          <w:ilvl w:val="0"/>
          <w:numId w:val="54"/>
        </w:numPr>
        <w:rPr>
          <w:rFonts w:ascii="Arial" w:cs="Arial" w:eastAsia="Arial" w:hAnsi="Arial"/>
          <w:sz w:val="16"/>
          <w:szCs w:val="16"/>
          <w:color w:val="auto"/>
        </w:rPr>
      </w:pPr>
      <w:r>
        <w:rPr>
          <w:rFonts w:ascii="Arial" w:cs="Arial" w:eastAsia="Arial" w:hAnsi="Arial"/>
          <w:sz w:val="16"/>
          <w:szCs w:val="16"/>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will be subject to compliance with a borrowing base that will apply different advance rates to different types of assets in PennantPark Investment’s portfolio. As of September 30, 2010, we are in compliance with the terms of our credit facility.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by private offerings of securities, by securitizing a portion of our investments or borrow from the SBA through our SBIC subsidiary, among other considerations.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considering our credit facility matures in June 2012. Furthermore, our credit facility availability depends on various covenants and restrictions as discussed in the preceding paragraph. The primary use of existing funds and any funds raised in the future is expected to be for repayment of indebtedness, investments in portfolio companies, cash distributions to our shareholders or for other general corporate purposes.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For the fiscal year ended September 30, 2010, we sold 10.8 million shares of our common stock below the then current net asset value per share, inclusive of the underwriters’ over-allotment options, resulting in net proceeds of $101.7 million. This compares to selling 4.3 million shares of common stock resulting in net proceeds of $ 32.5 million in the prior year, excluding the underwriters’ over-allotment option.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that is paid-in, subject to customary regulatory requirements including but not limited to an examination by the SBA. 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5, 2010, SBIC LP received a SBA debenture commitment of $33.5 million. As of September 30, 2010, $14.5 million of the $33.5 million debt commitment was drawn with a weighted average interest rate of 0.93% exclusive of the 3.43% in upfront fees. Of the $14.5 million of SBA debentures outstanding, $0.5 million is fixed for 10-years with a rate of 3.50% (inclusive of the SBA annual fee) and $14.0 million is temporary financing currently bearing a rate of 0.84% that will reset to a market-driven rate in March 2011. Additionally, SBA debentures require an upfront commitment fee of 1% and are issued at a 2.43% discount to face. Both fees are amortized over the life of the loan. The remaining unused SBA debentures totaled $19.0 million as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September 30, 2010, subject to customary regulatory requirements. See recent developments for information pertaining to the increased commitment and availability under the SBA debenture program.</w:t>
      </w:r>
    </w:p>
    <w:p>
      <w:pPr>
        <w:spacing w:after="0" w:line="132"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2010, SBIC LP is in compliance with its regulatory requirements.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 See “Risk Factors – If we incur additional debt, it could increase the risk of investing in our shares” for more information.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September 30, 2010, we had over $100 million of assets bearing a coupon of 9% or lower. We will look to rotate these assets into new higher yielding investments over time.</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operating activities used cash of $127.1 million for the fiscal year ended September 30, 2010, and our financing activities provided net cash proceeds of $95.6 million for the same period. Our operating activities used cash primarily for investing that was provided from, primarily, proceeds from our follow-on public offerings of common stock and draws under the credit facility and SBA debentures.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proceeds from a follow-on public offering of common stock. Our operating activities used cash primarily for investing, that was provided from proceeds from a secondary public offering and draws under the credit facility.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operating activities used cash of $395.8 million for the fiscal year ended September 30, 2008, and our financing activities provided cash proceeds of $178.1 million for the same period, primarily from borrowings under our credit facility. Our operating activities used cash primarily for investing that was provided from proceeds from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but not limited to, borrowings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2"/>
              </w:rPr>
              <w:t>Payments due by period (millions)</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1-3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48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1 year</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years</w:t>
            </w:r>
          </w:p>
        </w:tc>
        <w:tc>
          <w:tcPr>
            <w:tcW w:w="480" w:type="dxa"/>
            <w:vAlign w:val="bottom"/>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years</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2"/>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Senior secured revolving credit facility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1"/>
                <w:szCs w:val="11"/>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Subtotal debt outstanding </w:t>
            </w:r>
            <w:r>
              <w:rPr>
                <w:rFonts w:ascii="Arial" w:cs="Arial" w:eastAsia="Arial" w:hAnsi="Arial"/>
                <w:sz w:val="11"/>
                <w:szCs w:val="11"/>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269.8</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of September 30, 2010, we had $66.9 million of unused borrowing capacity under our credit facility, subject to maintenance of the applicable total assets to debt ratio of 200%, maintenance of a blended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percentage of the values of our portfolio companies and restrictions on certain payments and issuance of debt. Amount outstanding included a $5.2 million temporary draw.</w:t>
      </w:r>
    </w:p>
    <w:p>
      <w:pPr>
        <w:ind w:left="460" w:right="2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September 30, 2010, SBIC LP had $19.0 million of unused borrowing capacity under SBIC LP’s commitment from the SBA and $14.0 million of SBA debentures that will have a rate reset in March 2011.</w:t>
      </w:r>
    </w:p>
    <w:p>
      <w:pPr>
        <w:ind w:left="460" w:right="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2010 is 1.32% exclusive of the fee on undrawn commitment of 0.20% and 3.43% of upfront fees on SBIC LP’s SBA debentures.</w:t>
      </w:r>
    </w:p>
    <w:p>
      <w:pPr>
        <w:ind w:left="460" w:right="180" w:hanging="452"/>
        <w:spacing w:after="0" w:line="261"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 and subordinated debt investments.</w:t>
      </w:r>
    </w:p>
    <w:p>
      <w:pPr>
        <w:spacing w:after="0" w:line="13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have entered into certain contracts under which we have material future commitments. Under our Investment Management Agreement, which was renewed in February 2010, PennantPark Investment Advisers serves as our investment adviser in accordance with the terms of that Investment Management Agreement.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 See note 3 to the consolidated financial statements.</w:t>
      </w:r>
    </w:p>
    <w:p>
      <w:pPr>
        <w:spacing w:after="0" w:line="10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our Administration Agreement, which was renewed in February 2010,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12-month period ending on October 31) to avoid a 4% excise tax. For the fiscal year ended September 30, 2010, we elected to retain a portion of our calendar year income and recorded an excise tax of $0.1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fiscal years ended September 30, 2010, 2009 and 2008, we declared to stockholders distributions of $1.03, $0.96 and $0.90 per share, respectively, for total distributions of $32.3 million, $20.2 million and $19.0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4, 2010, SBIC LP received a debt commitment from the SBA for an additional $66.5 million bringing its total debt commitment from the SBA to $100.0 million. Subsequent to September 30, 2010, SBIC LP completed its SBA examination in order to gain access to the full SBA commitment subject to customary regulatory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Through the date of this prospectus,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September 30, 2010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rates.Through the date of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September 30, 2010, 2009, 2008 and 2007. The information for September 30, 2010, 2009, 2008 and 2007 presented below has been derived from our consolidated financial statements which have been audited by KPMG LLP.</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
              <w:spacing w:after="0"/>
              <w:rPr>
                <w:sz w:val="20"/>
                <w:szCs w:val="20"/>
                <w:color w:val="auto"/>
              </w:rPr>
            </w:pPr>
            <w:r>
              <w:rPr>
                <w:rFonts w:ascii="Arial" w:cs="Arial" w:eastAsia="Arial" w:hAnsi="Arial"/>
                <w:sz w:val="14"/>
                <w:szCs w:val="14"/>
                <w:b w:val="1"/>
                <w:bCs w:val="1"/>
                <w:color w:val="auto"/>
                <w:w w:val="78"/>
              </w:rPr>
              <w:t>Asset</w:t>
            </w:r>
          </w:p>
        </w:tc>
        <w:tc>
          <w:tcPr>
            <w:tcW w:w="820" w:type="dxa"/>
            <w:vAlign w:val="bottom"/>
          </w:tcPr>
          <w:p>
            <w:pPr>
              <w:spacing w:after="0"/>
              <w:rPr>
                <w:sz w:val="14"/>
                <w:szCs w:val="1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
              <w:spacing w:after="0" w:line="135" w:lineRule="exact"/>
              <w:rPr>
                <w:sz w:val="20"/>
                <w:szCs w:val="20"/>
                <w:color w:val="auto"/>
              </w:rPr>
            </w:pPr>
            <w:r>
              <w:rPr>
                <w:rFonts w:ascii="Arial" w:cs="Arial" w:eastAsia="Arial" w:hAnsi="Arial"/>
                <w:sz w:val="14"/>
                <w:szCs w:val="14"/>
                <w:b w:val="1"/>
                <w:bCs w:val="1"/>
                <w:color w:val="auto"/>
                <w:w w:val="84"/>
              </w:rPr>
              <w:t>Coverage</w:t>
            </w:r>
          </w:p>
        </w:tc>
        <w:tc>
          <w:tcPr>
            <w:tcW w:w="820" w:type="dxa"/>
            <w:vAlign w:val="bottom"/>
          </w:tcPr>
          <w:p>
            <w:pPr>
              <w:spacing w:after="0"/>
              <w:rPr>
                <w:sz w:val="11"/>
                <w:szCs w:val="11"/>
                <w:color w:val="auto"/>
              </w:rPr>
            </w:pPr>
          </w:p>
        </w:tc>
        <w:tc>
          <w:tcPr>
            <w:tcW w:w="158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Total Amount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3"/>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82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76"/>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940" w:type="dxa"/>
            <w:vAlign w:val="bottom"/>
          </w:tcPr>
          <w:p>
            <w:pPr>
              <w:spacing w:after="0"/>
              <w:rPr>
                <w:sz w:val="15"/>
                <w:szCs w:val="15"/>
                <w:color w:val="auto"/>
              </w:rPr>
            </w:pPr>
          </w:p>
        </w:tc>
        <w:tc>
          <w:tcPr>
            <w:tcW w:w="1340" w:type="dxa"/>
            <w:vAlign w:val="bottom"/>
            <w:gridSpan w:val="3"/>
          </w:tcPr>
          <w:p>
            <w:pPr>
              <w:jc w:val="right"/>
              <w:ind w:right="440"/>
              <w:spacing w:after="0" w:line="176" w:lineRule="exact"/>
              <w:rPr>
                <w:sz w:val="20"/>
                <w:szCs w:val="20"/>
                <w:color w:val="auto"/>
              </w:rPr>
            </w:pPr>
            <w:r>
              <w:rPr>
                <w:rFonts w:ascii="Arial" w:cs="Arial" w:eastAsia="Arial" w:hAnsi="Arial"/>
                <w:sz w:val="13"/>
                <w:szCs w:val="13"/>
                <w:b w:val="1"/>
                <w:bCs w:val="1"/>
                <w:color w:val="auto"/>
                <w:w w:val="91"/>
              </w:rPr>
              <w:t xml:space="preserve">Outstanding </w:t>
            </w:r>
            <w:r>
              <w:rPr>
                <w:rFonts w:ascii="Arial" w:cs="Arial" w:eastAsia="Arial" w:hAnsi="Arial"/>
                <w:sz w:val="20"/>
                <w:szCs w:val="20"/>
                <w:b w:val="1"/>
                <w:bCs w:val="1"/>
                <w:color w:val="auto"/>
                <w:w w:val="91"/>
                <w:vertAlign w:val="superscript"/>
              </w:rPr>
              <w:t>(1)</w:t>
            </w:r>
          </w:p>
        </w:tc>
        <w:tc>
          <w:tcPr>
            <w:tcW w:w="40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820" w:type="dxa"/>
            <w:vAlign w:val="bottom"/>
          </w:tcPr>
          <w:p>
            <w:pPr>
              <w:spacing w:after="0"/>
              <w:rPr>
                <w:sz w:val="15"/>
                <w:szCs w:val="15"/>
                <w:color w:val="auto"/>
              </w:rPr>
            </w:pPr>
          </w:p>
        </w:tc>
        <w:tc>
          <w:tcPr>
            <w:tcW w:w="1580" w:type="dxa"/>
            <w:vAlign w:val="bottom"/>
            <w:gridSpan w:val="2"/>
          </w:tcPr>
          <w:p>
            <w:pPr>
              <w:jc w:val="center"/>
              <w:ind w:right="820"/>
              <w:spacing w:after="0" w:line="176" w:lineRule="exact"/>
              <w:rPr>
                <w:sz w:val="20"/>
                <w:szCs w:val="20"/>
                <w:color w:val="auto"/>
              </w:rPr>
            </w:pPr>
            <w:r>
              <w:rPr>
                <w:rFonts w:ascii="Arial" w:cs="Arial" w:eastAsia="Arial" w:hAnsi="Arial"/>
                <w:sz w:val="13"/>
                <w:szCs w:val="13"/>
                <w:b w:val="1"/>
                <w:bCs w:val="1"/>
                <w:color w:val="auto"/>
                <w:w w:val="91"/>
              </w:rPr>
              <w:t xml:space="preserve">Per Unit </w:t>
            </w:r>
            <w:r>
              <w:rPr>
                <w:rFonts w:ascii="Arial" w:cs="Arial" w:eastAsia="Arial" w:hAnsi="Arial"/>
                <w:sz w:val="20"/>
                <w:szCs w:val="20"/>
                <w:b w:val="1"/>
                <w:bCs w:val="1"/>
                <w:color w:val="auto"/>
                <w:w w:val="91"/>
                <w:vertAlign w:val="superscript"/>
              </w:rPr>
              <w:t>(3)</w:t>
            </w:r>
          </w:p>
        </w:tc>
        <w:tc>
          <w:tcPr>
            <w:tcW w:w="7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 xml:space="preserve">(as of September 30, 2010) </w:t>
            </w:r>
            <w:r>
              <w:rPr>
                <w:rFonts w:ascii="Arial" w:cs="Arial" w:eastAsia="Arial" w:hAnsi="Arial"/>
                <w:sz w:val="11"/>
                <w:szCs w:val="11"/>
                <w:color w:val="auto"/>
              </w:rPr>
              <w:t>(5)</w:t>
            </w:r>
          </w:p>
        </w:tc>
        <w:tc>
          <w:tcPr>
            <w:tcW w:w="11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233,100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2,661</w:t>
            </w:r>
          </w:p>
        </w:tc>
        <w:tc>
          <w:tcPr>
            <w:tcW w:w="820" w:type="dxa"/>
            <w:vAlign w:val="bottom"/>
          </w:tcPr>
          <w:p>
            <w:pPr>
              <w:spacing w:after="0"/>
              <w:rPr>
                <w:sz w:val="18"/>
                <w:szCs w:val="18"/>
                <w:color w:val="auto"/>
              </w:rPr>
            </w:pP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16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225,100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8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1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202,000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2,043</w:t>
            </w:r>
          </w:p>
        </w:tc>
        <w:tc>
          <w:tcPr>
            <w:tcW w:w="820" w:type="dxa"/>
            <w:vAlign w:val="bottom"/>
          </w:tcPr>
          <w:p>
            <w:pPr>
              <w:spacing w:after="0"/>
              <w:rPr>
                <w:sz w:val="18"/>
                <w:szCs w:val="18"/>
                <w:color w:val="auto"/>
              </w:rPr>
            </w:pP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16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28,039</w:t>
            </w:r>
          </w:p>
        </w:tc>
        <w:tc>
          <w:tcPr>
            <w:tcW w:w="8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 excludes SBA debentures outstanding. See note 10 in our consolidated financial statements.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January 21, 2011, the last reported closing price of our common stock was $12.20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 xml:space="preserve">NAV </w:t>
            </w:r>
            <w:r>
              <w:rPr>
                <w:rFonts w:ascii="Arial" w:cs="Arial" w:eastAsia="Arial" w:hAnsi="Arial"/>
                <w:sz w:val="22"/>
                <w:szCs w:val="22"/>
                <w:b w:val="1"/>
                <w:bCs w:val="1"/>
                <w:color w:val="auto"/>
                <w:w w:val="93"/>
                <w:vertAlign w:val="superscript"/>
              </w:rPr>
              <w:t>(1)</w:t>
            </w:r>
          </w:p>
        </w:tc>
        <w:tc>
          <w:tcPr>
            <w:tcW w:w="24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w w:val="96"/>
              </w:rPr>
              <w:t>Closing Sales Price</w:t>
            </w:r>
          </w:p>
        </w:tc>
        <w:tc>
          <w:tcPr>
            <w:tcW w:w="5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Low Sales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jc w:val="center"/>
              <w:ind w:right="600"/>
              <w:spacing w:after="0" w:line="115" w:lineRule="exact"/>
              <w:rPr>
                <w:sz w:val="20"/>
                <w:szCs w:val="20"/>
                <w:color w:val="auto"/>
              </w:rPr>
            </w:pPr>
            <w:r>
              <w:rPr>
                <w:rFonts w:ascii="Arial" w:cs="Arial" w:eastAsia="Arial" w:hAnsi="Arial"/>
                <w:sz w:val="12"/>
                <w:szCs w:val="12"/>
                <w:b w:val="1"/>
                <w:bCs w:val="1"/>
                <w:color w:val="auto"/>
                <w:w w:val="99"/>
              </w:rPr>
              <w:t>Price to</w:t>
            </w:r>
          </w:p>
        </w:tc>
        <w:tc>
          <w:tcPr>
            <w:tcW w:w="1180" w:type="dxa"/>
            <w:vAlign w:val="bottom"/>
            <w:gridSpan w:val="2"/>
          </w:tcPr>
          <w:p>
            <w:pPr>
              <w:jc w:val="center"/>
              <w:ind w:right="580"/>
              <w:spacing w:after="0" w:line="115" w:lineRule="exact"/>
              <w:rPr>
                <w:sz w:val="20"/>
                <w:szCs w:val="20"/>
                <w:color w:val="auto"/>
              </w:rPr>
            </w:pPr>
            <w:r>
              <w:rPr>
                <w:rFonts w:ascii="Arial" w:cs="Arial" w:eastAsia="Arial" w:hAnsi="Arial"/>
                <w:sz w:val="12"/>
                <w:szCs w:val="12"/>
                <w:b w:val="1"/>
                <w:bCs w:val="1"/>
                <w:color w:val="auto"/>
                <w:w w:val="99"/>
              </w:rPr>
              <w:t>Price to</w:t>
            </w:r>
          </w:p>
        </w:tc>
        <w:tc>
          <w:tcPr>
            <w:tcW w:w="680" w:type="dxa"/>
            <w:vAlign w:val="bottom"/>
            <w:gridSpan w:val="2"/>
          </w:tcPr>
          <w:p>
            <w:pPr>
              <w:ind w:left="40"/>
              <w:spacing w:after="0" w:line="115" w:lineRule="exact"/>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76"/>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5"/>
                <w:szCs w:val="15"/>
                <w:color w:val="auto"/>
              </w:rPr>
            </w:pPr>
          </w:p>
        </w:tc>
        <w:tc>
          <w:tcPr>
            <w:tcW w:w="1200" w:type="dxa"/>
            <w:vAlign w:val="bottom"/>
            <w:gridSpan w:val="2"/>
          </w:tcPr>
          <w:p>
            <w:pPr>
              <w:jc w:val="center"/>
              <w:ind w:right="60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1180" w:type="dxa"/>
            <w:vAlign w:val="bottom"/>
            <w:gridSpan w:val="2"/>
          </w:tcPr>
          <w:p>
            <w:pPr>
              <w:jc w:val="center"/>
              <w:ind w:right="58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  N/A</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$12.75</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$10.60</w:t>
            </w:r>
          </w:p>
        </w:tc>
        <w:tc>
          <w:tcPr>
            <w:tcW w:w="5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rPr>
              <w:t>$  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10.69</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10.69</w:t>
            </w:r>
          </w:p>
        </w:tc>
        <w:tc>
          <w:tcPr>
            <w:tcW w:w="500" w:type="dxa"/>
            <w:vAlign w:val="bottom"/>
          </w:tcPr>
          <w:p>
            <w:pPr>
              <w:jc w:val="right"/>
              <w:spacing w:after="0"/>
              <w:rPr>
                <w:sz w:val="20"/>
                <w:szCs w:val="20"/>
                <w:color w:val="auto"/>
              </w:rPr>
            </w:pPr>
            <w:r>
              <w:rPr>
                <w:rFonts w:ascii="Arial" w:cs="Arial" w:eastAsia="Arial" w:hAnsi="Arial"/>
                <w:sz w:val="18"/>
                <w:szCs w:val="18"/>
                <w:color w:val="auto"/>
              </w:rPr>
              <w:t>9.17</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100</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11.07</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10.77</w:t>
            </w:r>
          </w:p>
        </w:tc>
        <w:tc>
          <w:tcPr>
            <w:tcW w:w="500" w:type="dxa"/>
            <w:vAlign w:val="bottom"/>
          </w:tcPr>
          <w:p>
            <w:pPr>
              <w:jc w:val="right"/>
              <w:spacing w:after="0"/>
              <w:rPr>
                <w:sz w:val="20"/>
                <w:szCs w:val="20"/>
                <w:color w:val="auto"/>
              </w:rPr>
            </w:pPr>
            <w:r>
              <w:rPr>
                <w:rFonts w:ascii="Arial" w:cs="Arial" w:eastAsia="Arial" w:hAnsi="Arial"/>
                <w:sz w:val="18"/>
                <w:szCs w:val="18"/>
                <w:color w:val="auto"/>
              </w:rPr>
              <w:t>8.88</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97</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11.86</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11.85</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11.72</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7.65</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7.81</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8.50</w:t>
            </w: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10.77</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12.83</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13.74</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15.03</w:t>
            </w: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While our common stock has from time to time traded in excess of our net asset value, there can be no assurance that it will trade at such a premium (to net asset value) in the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1</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1"/>
              </w:rPr>
              <w:t>5% Offering</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31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2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10.05</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9.52</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1,000,000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1,050,000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1,100,000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1,200,000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9.98</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Dilution to Stockholder 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370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660"/>
              <w:spacing w:after="0"/>
              <w:rPr>
                <w:sz w:val="20"/>
                <w:szCs w:val="20"/>
                <w:color w:val="auto"/>
              </w:rPr>
            </w:pPr>
            <w:r>
              <w:rPr>
                <w:rFonts w:ascii="Arial" w:cs="Arial" w:eastAsia="Arial" w:hAnsi="Arial"/>
                <w:sz w:val="18"/>
                <w:szCs w:val="18"/>
                <w:color w:val="auto"/>
              </w:rPr>
              <w:t>(assumed to be $10.00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7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Example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7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Prior to Sale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(assumed to be $10.00 per share on shares held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to sale)</w:t>
            </w:r>
          </w:p>
        </w:tc>
        <w:tc>
          <w:tcPr>
            <w:tcW w:w="11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5"/>
              </w:rPr>
              <w:t>Dilution per share held by stockholder A (NAV per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22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Percentage dilution to stockholder A (dilution per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(0.90)%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23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19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8.47</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1,200,000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20.00%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1,200,000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13,000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106,370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125,710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25.71%</w:t>
            </w:r>
          </w:p>
        </w:tc>
        <w:tc>
          <w:tcPr>
            <w:tcW w:w="0" w:type="dxa"/>
            <w:vAlign w:val="bottom"/>
          </w:tcPr>
          <w:p>
            <w:pPr>
              <w:spacing w:after="0"/>
              <w:rPr>
                <w:sz w:val="1"/>
                <w:szCs w:val="1"/>
                <w:color w:val="auto"/>
              </w:rPr>
            </w:pPr>
          </w:p>
        </w:tc>
      </w:tr>
      <w:tr>
        <w:trPr>
          <w:trHeight w:val="208"/>
        </w:trPr>
        <w:tc>
          <w:tcPr>
            <w:tcW w:w="5580" w:type="dxa"/>
            <w:vAlign w:val="bottom"/>
          </w:tcPr>
          <w:p>
            <w:pPr>
              <w:ind w:left="880"/>
              <w:spacing w:after="0"/>
              <w:rPr>
                <w:sz w:val="20"/>
                <w:szCs w:val="20"/>
                <w:color w:val="auto"/>
              </w:rPr>
            </w:pPr>
            <w:r>
              <w:rPr>
                <w:rFonts w:ascii="Arial" w:cs="Arial" w:eastAsia="Arial" w:hAnsi="Arial"/>
                <w:sz w:val="18"/>
                <w:szCs w:val="18"/>
                <w:color w:val="auto"/>
              </w:rPr>
              <w:t>Total investment by stockholder A (assumed to be $10.00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108,470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125,410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25.41%</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(dilution)/accretion to stockholder A (total NAV less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9.67</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ind w:left="880"/>
              <w:spacing w:after="0"/>
              <w:rPr>
                <w:sz w:val="20"/>
                <w:szCs w:val="20"/>
                <w:color w:val="auto"/>
              </w:rPr>
            </w:pPr>
            <w:r>
              <w:rPr>
                <w:rFonts w:ascii="Arial" w:cs="Arial" w:eastAsia="Arial" w:hAnsi="Arial"/>
                <w:sz w:val="18"/>
                <w:szCs w:val="18"/>
                <w:color w:val="auto"/>
                <w:w w:val="98"/>
              </w:rPr>
              <w:t>Investment per share held by stockholder A (assumed to be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$10.00 per 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9.86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(Dilution)/accretion per share held by stockholder A (NAV per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less investment per share)</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660"/>
              <w:spacing w:after="0"/>
              <w:rPr>
                <w:sz w:val="20"/>
                <w:szCs w:val="20"/>
                <w:color w:val="auto"/>
              </w:rPr>
            </w:pPr>
            <w:r>
              <w:rPr>
                <w:rFonts w:ascii="Arial" w:cs="Arial" w:eastAsia="Arial" w:hAnsi="Arial"/>
                <w:sz w:val="18"/>
                <w:szCs w:val="18"/>
                <w:color w:val="auto"/>
              </w:rPr>
              <w:t>(dilution/accretion per share divided by investment per share)</w:t>
            </w:r>
          </w:p>
        </w:tc>
        <w:tc>
          <w:tcPr>
            <w:tcW w:w="80" w:type="dxa"/>
            <w:vAlign w:val="bottom"/>
          </w:tcPr>
          <w:p>
            <w:pPr>
              <w:spacing w:after="0"/>
              <w:rPr>
                <w:sz w:val="19"/>
                <w:szCs w:val="19"/>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18"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7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Prior to</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0"/>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37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Sale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20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r>
      <w:tr>
        <w:trPr>
          <w:trHeight w:val="129"/>
        </w:trPr>
        <w:tc>
          <w:tcPr>
            <w:tcW w:w="378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Below</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r>
      <w:tr>
        <w:trPr>
          <w:trHeight w:val="161"/>
        </w:trPr>
        <w:tc>
          <w:tcPr>
            <w:tcW w:w="37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NAV</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1,050,000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NAV per share</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4,990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5,025</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3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363"/>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6"/>
              </w:rPr>
              <w:t>Example 1</w:t>
            </w:r>
          </w:p>
        </w:tc>
        <w:tc>
          <w:tcPr>
            <w:tcW w:w="14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3"/>
              </w:rPr>
              <w:t>Example 2</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7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7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20% Offering</w:t>
            </w:r>
          </w:p>
        </w:tc>
      </w:tr>
      <w:tr>
        <w:trPr>
          <w:trHeight w:val="161"/>
        </w:trPr>
        <w:tc>
          <w:tcPr>
            <w:tcW w:w="47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Sale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at 20% Discount</w:t>
            </w:r>
          </w:p>
        </w:tc>
      </w:tr>
      <w:tr>
        <w:trPr>
          <w:trHeight w:val="129"/>
        </w:trPr>
        <w:tc>
          <w:tcPr>
            <w:tcW w:w="47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Below</w:t>
            </w:r>
          </w:p>
        </w:tc>
        <w:tc>
          <w:tcPr>
            <w:tcW w:w="48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r>
      <w:tr>
        <w:trPr>
          <w:trHeight w:val="161"/>
        </w:trPr>
        <w:tc>
          <w:tcPr>
            <w:tcW w:w="47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NAV</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9.91</w:t>
            </w:r>
          </w:p>
        </w:tc>
        <w:tc>
          <w:tcPr>
            <w:tcW w:w="48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10.05</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9.52</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8.47</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8"/>
        </w:trPr>
        <w:tc>
          <w:tcPr>
            <w:tcW w:w="472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72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(0.07)</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0.39</w:t>
            </w:r>
          </w:p>
        </w:tc>
        <w:tc>
          <w:tcPr>
            <w:tcW w:w="480" w:type="dxa"/>
            <w:vAlign w:val="bottom"/>
          </w:tcPr>
          <w:p>
            <w:pPr>
              <w:spacing w:after="0"/>
              <w:rPr>
                <w:sz w:val="19"/>
                <w:szCs w:val="19"/>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1.20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14.17%</w:t>
            </w:r>
          </w:p>
        </w:tc>
      </w:tr>
      <w:tr>
        <w:trPr>
          <w:trHeight w:val="363"/>
        </w:trPr>
        <w:tc>
          <w:tcPr>
            <w:tcW w:w="4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140" w:type="dxa"/>
            <w:vAlign w:val="bottom"/>
            <w:gridSpan w:val="3"/>
          </w:tcPr>
          <w:p>
            <w:pPr>
              <w:ind w:left="220"/>
              <w:spacing w:after="0"/>
              <w:rPr>
                <w:sz w:val="20"/>
                <w:szCs w:val="20"/>
                <w:color w:val="auto"/>
              </w:rPr>
            </w:pPr>
            <w:r>
              <w:rPr>
                <w:rFonts w:ascii="Arial" w:cs="Arial" w:eastAsia="Arial" w:hAnsi="Arial"/>
                <w:sz w:val="14"/>
                <w:szCs w:val="14"/>
                <w:b w:val="1"/>
                <w:bCs w:val="1"/>
                <w:color w:val="auto"/>
              </w:rPr>
              <w:t>Record Dates</w:t>
            </w:r>
          </w:p>
        </w:tc>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Payment Dates</w:t>
            </w: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17, 2010</w:t>
            </w:r>
          </w:p>
        </w:tc>
        <w:tc>
          <w:tcPr>
            <w:tcW w:w="1720" w:type="dxa"/>
            <w:vAlign w:val="bottom"/>
          </w:tcPr>
          <w:p>
            <w:pPr>
              <w:ind w:left="40"/>
              <w:spacing w:after="0"/>
              <w:rPr>
                <w:sz w:val="20"/>
                <w:szCs w:val="20"/>
                <w:color w:val="auto"/>
              </w:rPr>
            </w:pPr>
            <w:r>
              <w:rPr>
                <w:rFonts w:ascii="Arial" w:cs="Arial" w:eastAsia="Arial" w:hAnsi="Arial"/>
                <w:sz w:val="18"/>
                <w:szCs w:val="18"/>
                <w:color w:val="auto"/>
              </w:rPr>
              <w:t>January 3, 2011</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14, 2010</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2010</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24, 2010</w:t>
            </w:r>
          </w:p>
        </w:tc>
        <w:tc>
          <w:tcPr>
            <w:tcW w:w="1720" w:type="dxa"/>
            <w:vAlign w:val="bottom"/>
          </w:tcPr>
          <w:p>
            <w:pPr>
              <w:ind w:left="40"/>
              <w:spacing w:after="0"/>
              <w:rPr>
                <w:sz w:val="20"/>
                <w:szCs w:val="20"/>
                <w:color w:val="auto"/>
              </w:rPr>
            </w:pPr>
            <w:r>
              <w:rPr>
                <w:rFonts w:ascii="Arial" w:cs="Arial" w:eastAsia="Arial" w:hAnsi="Arial"/>
                <w:sz w:val="18"/>
                <w:szCs w:val="18"/>
                <w:color w:val="auto"/>
              </w:rPr>
              <w:t>July 1, 2010</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25, 2010</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1, 2010</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24, 2009</w:t>
            </w:r>
          </w:p>
        </w:tc>
        <w:tc>
          <w:tcPr>
            <w:tcW w:w="1720" w:type="dxa"/>
            <w:vAlign w:val="bottom"/>
          </w:tcPr>
          <w:p>
            <w:pPr>
              <w:ind w:left="40"/>
              <w:spacing w:after="0"/>
              <w:rPr>
                <w:sz w:val="20"/>
                <w:szCs w:val="20"/>
                <w:color w:val="auto"/>
              </w:rPr>
            </w:pPr>
            <w:r>
              <w:rPr>
                <w:rFonts w:ascii="Arial" w:cs="Arial" w:eastAsia="Arial" w:hAnsi="Arial"/>
                <w:sz w:val="18"/>
                <w:szCs w:val="18"/>
                <w:color w:val="auto"/>
              </w:rPr>
              <w:t>January 4, 2010</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8, 2009</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2009</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24, 2009</w:t>
            </w:r>
          </w:p>
        </w:tc>
        <w:tc>
          <w:tcPr>
            <w:tcW w:w="1720" w:type="dxa"/>
            <w:vAlign w:val="bottom"/>
          </w:tcPr>
          <w:p>
            <w:pPr>
              <w:ind w:left="40"/>
              <w:spacing w:after="0"/>
              <w:rPr>
                <w:sz w:val="20"/>
                <w:szCs w:val="20"/>
                <w:color w:val="auto"/>
              </w:rPr>
            </w:pPr>
            <w:r>
              <w:rPr>
                <w:rFonts w:ascii="Arial" w:cs="Arial" w:eastAsia="Arial" w:hAnsi="Arial"/>
                <w:sz w:val="18"/>
                <w:szCs w:val="18"/>
                <w:color w:val="auto"/>
              </w:rPr>
              <w:t>July 1, 2009</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25, 2009</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1, 2009</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23, 2008</w:t>
            </w:r>
          </w:p>
        </w:tc>
        <w:tc>
          <w:tcPr>
            <w:tcW w:w="1720" w:type="dxa"/>
            <w:vAlign w:val="bottom"/>
          </w:tcPr>
          <w:p>
            <w:pPr>
              <w:ind w:left="40"/>
              <w:spacing w:after="0"/>
              <w:rPr>
                <w:sz w:val="20"/>
                <w:szCs w:val="20"/>
                <w:color w:val="auto"/>
              </w:rPr>
            </w:pPr>
            <w:r>
              <w:rPr>
                <w:rFonts w:ascii="Arial" w:cs="Arial" w:eastAsia="Arial" w:hAnsi="Arial"/>
                <w:sz w:val="18"/>
                <w:szCs w:val="18"/>
                <w:color w:val="auto"/>
              </w:rPr>
              <w:t>January 4, 2009</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24, 2008</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2008</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23, 2008</w:t>
            </w:r>
          </w:p>
        </w:tc>
        <w:tc>
          <w:tcPr>
            <w:tcW w:w="1720" w:type="dxa"/>
            <w:vAlign w:val="bottom"/>
          </w:tcPr>
          <w:p>
            <w:pPr>
              <w:ind w:left="40"/>
              <w:spacing w:after="0"/>
              <w:rPr>
                <w:sz w:val="20"/>
                <w:szCs w:val="20"/>
                <w:color w:val="auto"/>
              </w:rPr>
            </w:pPr>
            <w:r>
              <w:rPr>
                <w:rFonts w:ascii="Arial" w:cs="Arial" w:eastAsia="Arial" w:hAnsi="Arial"/>
                <w:sz w:val="18"/>
                <w:szCs w:val="18"/>
                <w:color w:val="auto"/>
              </w:rPr>
              <w:t>June 30, 2008</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24, 2008</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2008</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24, 2007</w:t>
            </w:r>
          </w:p>
        </w:tc>
        <w:tc>
          <w:tcPr>
            <w:tcW w:w="1720" w:type="dxa"/>
            <w:vAlign w:val="bottom"/>
          </w:tcPr>
          <w:p>
            <w:pPr>
              <w:ind w:left="40"/>
              <w:spacing w:after="0"/>
              <w:rPr>
                <w:sz w:val="20"/>
                <w:szCs w:val="20"/>
                <w:color w:val="auto"/>
              </w:rPr>
            </w:pPr>
            <w:r>
              <w:rPr>
                <w:rFonts w:ascii="Arial" w:cs="Arial" w:eastAsia="Arial" w:hAnsi="Arial"/>
                <w:sz w:val="18"/>
                <w:szCs w:val="18"/>
                <w:color w:val="auto"/>
              </w:rPr>
              <w:t>December 31, 2007</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0.90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25, 2007</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28, 2007</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22, 2007</w:t>
            </w:r>
          </w:p>
        </w:tc>
        <w:tc>
          <w:tcPr>
            <w:tcW w:w="1720" w:type="dxa"/>
            <w:vAlign w:val="bottom"/>
          </w:tcPr>
          <w:p>
            <w:pPr>
              <w:ind w:left="40"/>
              <w:spacing w:after="0"/>
              <w:rPr>
                <w:sz w:val="20"/>
                <w:szCs w:val="20"/>
                <w:color w:val="auto"/>
              </w:rPr>
            </w:pPr>
            <w:r>
              <w:rPr>
                <w:rFonts w:ascii="Arial" w:cs="Arial" w:eastAsia="Arial" w:hAnsi="Arial"/>
                <w:sz w:val="18"/>
                <w:szCs w:val="18"/>
                <w:color w:val="auto"/>
              </w:rPr>
              <w:t>June 29, 2007</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0.36**</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140" w:type="dxa"/>
            <w:vAlign w:val="bottom"/>
            <w:gridSpan w:val="3"/>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980" w:type="dxa"/>
            <w:vAlign w:val="bottom"/>
            <w:gridSpan w:val="4"/>
          </w:tcPr>
          <w:p>
            <w:pPr>
              <w:ind w:left="140"/>
              <w:spacing w:after="0"/>
              <w:rPr>
                <w:sz w:val="20"/>
                <w:szCs w:val="20"/>
                <w:color w:val="auto"/>
              </w:rPr>
            </w:pPr>
            <w:r>
              <w:rPr>
                <w:rFonts w:ascii="Arial" w:cs="Arial" w:eastAsia="Arial" w:hAnsi="Arial"/>
                <w:sz w:val="18"/>
                <w:szCs w:val="18"/>
                <w:color w:val="auto"/>
              </w:rPr>
              <w:t>See note 8 to our consolidated financial statements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980" w:type="dxa"/>
            <w:vAlign w:val="bottom"/>
            <w:gridSpan w:val="4"/>
          </w:tcPr>
          <w:p>
            <w:pPr>
              <w:ind w:left="140"/>
              <w:spacing w:after="0"/>
              <w:rPr>
                <w:sz w:val="20"/>
                <w:szCs w:val="20"/>
                <w:color w:val="auto"/>
              </w:rPr>
            </w:pPr>
            <w:r>
              <w:rPr>
                <w:rFonts w:ascii="Arial" w:cs="Arial" w:eastAsia="Arial" w:hAnsi="Arial"/>
                <w:sz w:val="18"/>
                <w:szCs w:val="18"/>
                <w:color w:val="auto"/>
              </w:rPr>
              <w:t>$0.00107 per share is a tax return of capital</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98% of our ordinary income for the calendar year, (2) 98.2% of our realized net capital gains for the 12-month period ending on October 31 of the calendar</w:t>
      </w:r>
    </w:p>
    <w:p>
      <w:pPr>
        <w:spacing w:after="0" w:line="38" w:lineRule="exact"/>
        <w:rPr>
          <w:rFonts w:ascii="Arial" w:cs="Arial" w:eastAsia="Arial" w:hAnsi="Arial"/>
          <w:sz w:val="16"/>
          <w:szCs w:val="16"/>
          <w:color w:val="auto"/>
        </w:rPr>
      </w:pPr>
    </w:p>
    <w:p>
      <w:pPr>
        <w:ind w:right="20"/>
        <w:spacing w:after="0" w:line="331" w:lineRule="auto"/>
        <w:rPr>
          <w:rFonts w:ascii="Arial" w:cs="Arial" w:eastAsia="Arial" w:hAnsi="Arial"/>
          <w:sz w:val="16"/>
          <w:szCs w:val="16"/>
          <w:color w:val="auto"/>
        </w:rPr>
      </w:pPr>
      <w:r>
        <w:rPr>
          <w:rFonts w:ascii="Arial" w:cs="Arial" w:eastAsia="Arial" w:hAnsi="Arial"/>
          <w:sz w:val="15"/>
          <w:szCs w:val="15"/>
          <w:color w:val="auto"/>
        </w:rPr>
        <w:t>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2"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have not elected to distribute stock as a dividend but reserve the right to do so. See “Material U.S. Federal Income Tax Considerations” for more information.</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 In addition, for tax purposes we have elected to be treated as a RIC, under the Code.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Adviser has a rigorous investment approach, which is based upon intensive financial analysis with a focus on capital preservation, diversification and active management. Since our inception in 2007, we have raised nearly $800 million in debt and equity capital, and have invested over $1 billion in 96 companies and 48 different financial sponsors.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Related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160" w:hanging="446"/>
        <w:spacing w:after="0" w:line="262"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a five-year, multi-currency $300.0 million credit facility, which matures on June 25, 2012, and is secured by substantially all of our investment portfolio assets (excluding assets of SBIC LP) with a group of lenders, under which we had $233.1 million (including a $5.2 million temporary draw) and $225.1 million (including a $7.0 million temporary draw) of indebtedness outstanding at September 30, 2010 and 2009, respectively. Pricing of borrowings under our credit facility is set at 100 basis points over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w:t>
      </w:r>
    </w:p>
    <w:p>
      <w:pPr>
        <w:spacing w:after="0" w:line="12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On August 5, 2010 and November 4, 2010, SBIC LP received a debenture commitment from the SBA in the amount of $33.5 million and $66.5 million, respectively, bringing our total commitment from the SBA to $100 million. SBA debentures offer competitive terms such as being non-recourse to us, having a</w:t>
      </w:r>
    </w:p>
    <w:p>
      <w:pPr>
        <w:spacing w:after="0" w:line="295" w:lineRule="auto"/>
        <w:rPr>
          <w:sz w:val="20"/>
          <w:szCs w:val="20"/>
          <w:color w:val="auto"/>
        </w:rPr>
      </w:pPr>
      <w:r>
        <w:rPr>
          <w:rFonts w:ascii="Arial" w:cs="Arial" w:eastAsia="Arial" w:hAnsi="Arial"/>
          <w:sz w:val="16"/>
          <w:szCs w:val="16"/>
          <w:color w:val="auto"/>
        </w:rPr>
        <w:t>10-year maturity, requiring semi-annual interest payments, not requiring principal payments prior to maturity and may be prepaid at any time without penalty. The SBA debentures are secured by all the investment portfolio assets of SBIC LP and have a superior claim over such assets. As of September 30, 2010, SBIC LP had $14.5 million (including $14.0 million of temporary financing resetting in March 2011) of outstanding SBA debentures. See “Regulation” and “Recent Developments” in Management’s Discussion and Analysis of Financial Condition and Results of Operations for more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senior secured loans, mezzanine debt and equity by targeting an investment size of $10 to $50 million, on average, in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 public middle-market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Policy Overview —Investment selection criteria” for more information.</w:t>
      </w:r>
    </w:p>
    <w:p>
      <w:pPr>
        <w:spacing w:after="0" w:line="12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collateral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 Our SBIC subsidiary will invest in SBA eligible investments that otherwise meet the same investment criteria used by PennantPark Investment.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Mezzanine debt typically has interest-only payments in the early years, payable in cash or in-kind (“PIK”),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investments generally consist of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quality purchased within 60 days of maturity are valued at cost plus accreted discount, or minus amortized premium, which approximates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FASB, issued guidance related to Fair Value Measurements,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 for any period prior to October 1, 2008.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PennantPark Investment at the measurement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PennantPark Investment’s own assumptions about how market participants would price the asset or liability.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w:t>
      </w:r>
    </w:p>
    <w:p>
      <w:pPr>
        <w:spacing w:after="0" w:line="14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Substantially, all of our investments and long-term credit facility are classified as Level 3.</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business development company,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Since inception we have invested in approximately 32 industries. We may invest in other industries if we are presented with attractive opportunities. The following is a list of the industries in which we have invested:</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Environmental Services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Financial Services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Grocery</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Healthcare, Education and Childcare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w w:val="89"/>
              </w:rPr>
              <w:t>Home &amp; Office Furnishings, Housewares &amp; Durable Consumer Products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Hotels, Motels, Inns and Gaming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Insurance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Leisure, Amusement, Motion Picture, Entertainment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Logistics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Manufacturing / Basic Industries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Media</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Oil and Gas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Other Media</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Printing and Publishing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Telecommunications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Retail Store</w:t>
            </w:r>
          </w:p>
        </w:tc>
      </w:tr>
    </w:tbl>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September 30,</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Veritext Corporation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UP Acquisition Sub Inc.</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Da-Lite Screen Company, Inc.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Brand Energy and Infrastructure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Instant Web, Inc.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Sugarhouse HSP Gaming Properties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Trizetto Group, Inc.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Lyondell Chemical Co.</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1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4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Housewares and Durable</w:t>
            </w:r>
          </w:p>
        </w:tc>
        <w:tc>
          <w:tcPr>
            <w:tcW w:w="5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September 30, 2010, our portfolio consisted of 43 companies and was invested 35% in senior secured loans, 24% in second lien secured debt, 34% in subordinated debt, and 7% in preferred and common equity investments.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2010.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2010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25% or more owned” which represent portfolio companies where we directly or indirectly own 25% or more of the outstanding voting securities of such portfolio company and, therefore, are presumed to be controlled by us under the 1940 Act;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5% or less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40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25% or More Owned</w:t>
            </w:r>
          </w:p>
        </w:tc>
        <w:tc>
          <w:tcPr>
            <w:tcW w:w="400" w:type="dxa"/>
            <w:vAlign w:val="bottom"/>
            <w:shd w:val="clear" w:color="auto" w:fill="CCEEFF"/>
          </w:tcPr>
          <w:p>
            <w:pPr>
              <w:spacing w:after="0"/>
              <w:rPr>
                <w:sz w:val="12"/>
                <w:szCs w:val="12"/>
                <w:color w:val="auto"/>
              </w:rPr>
            </w:pPr>
          </w:p>
        </w:tc>
        <w:tc>
          <w:tcPr>
            <w:tcW w:w="3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40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4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240" w:type="dxa"/>
            <w:vAlign w:val="bottom"/>
            <w:gridSpan w:val="2"/>
          </w:tcPr>
          <w:p>
            <w:pPr>
              <w:jc w:val="right"/>
              <w:ind w:right="73"/>
              <w:spacing w:after="0" w:line="189" w:lineRule="exact"/>
              <w:rPr>
                <w:sz w:val="20"/>
                <w:szCs w:val="20"/>
                <w:color w:val="auto"/>
              </w:rPr>
            </w:pPr>
            <w:r>
              <w:rPr>
                <w:rFonts w:ascii="Arial" w:cs="Arial" w:eastAsia="Arial" w:hAnsi="Arial"/>
                <w:sz w:val="13"/>
                <w:szCs w:val="13"/>
                <w:color w:val="auto"/>
              </w:rPr>
              <w:t xml:space="preserve">100% </w:t>
            </w:r>
            <w:r>
              <w:rPr>
                <w:rFonts w:ascii="Arial" w:cs="Arial" w:eastAsia="Arial" w:hAnsi="Arial"/>
                <w:sz w:val="21"/>
                <w:szCs w:val="21"/>
                <w:color w:val="auto"/>
                <w:vertAlign w:val="superscript"/>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20" w:type="dxa"/>
            <w:vAlign w:val="bottom"/>
            <w:gridSpan w:val="2"/>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New York, NY 10022</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7"/>
              </w:rPr>
              <w:t>Leisure, Amusement, Motion Pictures, Entertainment</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1240" w:type="dxa"/>
            <w:vAlign w:val="bottom"/>
            <w:gridSpan w:val="2"/>
          </w:tcPr>
          <w:p>
            <w:pPr>
              <w:jc w:val="right"/>
              <w:ind w:right="173"/>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One Performance Way</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Chapel Hill, NC 27514</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or Less Owned</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5"/>
              </w:rPr>
              <w:t>Consumer Products</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40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42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Preferred Equity</w:t>
            </w:r>
          </w:p>
        </w:tc>
        <w:tc>
          <w:tcPr>
            <w:tcW w:w="124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4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Airvana Networks Solution,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Communications</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42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19 Alpha Road</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Chelmsford, MA 01824</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40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42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4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Brand Energy and Infrastructure Services,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0"/>
              </w:rPr>
              <w:t>Energy / Utilities</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42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2502 South Main Street</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Kennesaw, GA 30144</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Birch Communications, Inc.</w:t>
            </w:r>
          </w:p>
        </w:tc>
        <w:tc>
          <w:tcPr>
            <w:tcW w:w="40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Telecommunications</w:t>
            </w:r>
          </w:p>
        </w:tc>
        <w:tc>
          <w:tcPr>
            <w:tcW w:w="42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3060 Peachtree Road NW, Suite 1065</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Atlanta, GA 30305</w:t>
            </w:r>
          </w:p>
        </w:tc>
        <w:tc>
          <w:tcPr>
            <w:tcW w:w="4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8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8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31"/>
        </w:trPr>
        <w:tc>
          <w:tcPr>
            <w:tcW w:w="3860" w:type="dxa"/>
            <w:vAlign w:val="bottom"/>
            <w:gridSpan w:val="2"/>
          </w:tcPr>
          <w:p>
            <w:pPr>
              <w:spacing w:after="0" w:line="131" w:lineRule="exact"/>
              <w:rPr>
                <w:sz w:val="20"/>
                <w:szCs w:val="20"/>
                <w:color w:val="auto"/>
              </w:rPr>
            </w:pPr>
            <w:r>
              <w:rPr>
                <w:rFonts w:ascii="Arial" w:cs="Arial" w:eastAsia="Arial" w:hAnsi="Arial"/>
                <w:sz w:val="14"/>
                <w:szCs w:val="14"/>
                <w:color w:val="auto"/>
              </w:rPr>
              <w:t>CEA Autumn Management, L.L.C.</w:t>
            </w:r>
          </w:p>
        </w:tc>
        <w:tc>
          <w:tcPr>
            <w:tcW w:w="380" w:type="dxa"/>
            <w:vAlign w:val="bottom"/>
          </w:tcPr>
          <w:p>
            <w:pPr>
              <w:spacing w:after="0"/>
              <w:rPr>
                <w:sz w:val="11"/>
                <w:szCs w:val="11"/>
                <w:color w:val="auto"/>
              </w:rPr>
            </w:pPr>
          </w:p>
        </w:tc>
        <w:tc>
          <w:tcPr>
            <w:tcW w:w="3580" w:type="dxa"/>
            <w:vAlign w:val="bottom"/>
          </w:tcPr>
          <w:p>
            <w:pPr>
              <w:jc w:val="center"/>
              <w:spacing w:after="0" w:line="131" w:lineRule="exact"/>
              <w:rPr>
                <w:sz w:val="20"/>
                <w:szCs w:val="20"/>
                <w:color w:val="auto"/>
              </w:rPr>
            </w:pPr>
            <w:r>
              <w:rPr>
                <w:rFonts w:ascii="Arial" w:cs="Arial" w:eastAsia="Arial" w:hAnsi="Arial"/>
                <w:sz w:val="14"/>
                <w:szCs w:val="14"/>
                <w:color w:val="auto"/>
                <w:w w:val="86"/>
              </w:rPr>
              <w:t>Broadcasting and Entertainment</w:t>
            </w:r>
          </w:p>
        </w:tc>
        <w:tc>
          <w:tcPr>
            <w:tcW w:w="400" w:type="dxa"/>
            <w:vAlign w:val="bottom"/>
          </w:tcPr>
          <w:p>
            <w:pPr>
              <w:spacing w:after="0"/>
              <w:rPr>
                <w:sz w:val="11"/>
                <w:szCs w:val="11"/>
                <w:color w:val="auto"/>
              </w:rPr>
            </w:pPr>
          </w:p>
        </w:tc>
        <w:tc>
          <w:tcPr>
            <w:tcW w:w="1980" w:type="dxa"/>
            <w:vAlign w:val="bottom"/>
          </w:tcPr>
          <w:p>
            <w:pPr>
              <w:jc w:val="center"/>
              <w:spacing w:after="0" w:line="131" w:lineRule="exact"/>
              <w:rPr>
                <w:sz w:val="20"/>
                <w:szCs w:val="20"/>
                <w:color w:val="auto"/>
              </w:rPr>
            </w:pPr>
            <w:r>
              <w:rPr>
                <w:rFonts w:ascii="Arial" w:cs="Arial" w:eastAsia="Arial" w:hAnsi="Arial"/>
                <w:sz w:val="14"/>
                <w:szCs w:val="14"/>
                <w:color w:val="auto"/>
                <w:w w:val="90"/>
              </w:rPr>
              <w:t>Common Equity</w:t>
            </w:r>
          </w:p>
        </w:tc>
        <w:tc>
          <w:tcPr>
            <w:tcW w:w="380" w:type="dxa"/>
            <w:vAlign w:val="bottom"/>
          </w:tcPr>
          <w:p>
            <w:pPr>
              <w:spacing w:after="0"/>
              <w:rPr>
                <w:sz w:val="11"/>
                <w:szCs w:val="11"/>
                <w:color w:val="auto"/>
              </w:rPr>
            </w:pPr>
          </w:p>
        </w:tc>
        <w:tc>
          <w:tcPr>
            <w:tcW w:w="840" w:type="dxa"/>
            <w:vAlign w:val="bottom"/>
          </w:tcPr>
          <w:p>
            <w:pPr>
              <w:jc w:val="right"/>
              <w:ind w:right="213"/>
              <w:spacing w:after="0" w:line="131"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54 Thompson St.</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New York, NY 10012</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CEVA Group PLC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Logistics</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St. George Street</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London W1s 1fs</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Chester Downs and Marina, LLC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Hotels, Motels, Inns and Gaming</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777 Harrah’s Blvd</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Chester, PA 19103</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spacing w:after="0"/>
              <w:rPr>
                <w:sz w:val="20"/>
                <w:szCs w:val="20"/>
                <w:color w:val="auto"/>
              </w:rPr>
            </w:pPr>
            <w:r>
              <w:rPr>
                <w:rFonts w:ascii="Arial" w:cs="Arial" w:eastAsia="Arial" w:hAnsi="Arial"/>
                <w:sz w:val="14"/>
                <w:szCs w:val="14"/>
                <w:color w:val="auto"/>
              </w:rPr>
              <w:t>Columbus International,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Communications</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Roebuck &amp; Palmetto Sts.</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Bridgetown</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Barbados, West Indies</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Consolidated Foundries, Inc.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22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4200 Valley Blvd.</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Pomona, CA 91766</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CT Technologies Intermediate Holdings,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220" w:type="dxa"/>
            <w:vAlign w:val="bottom"/>
            <w:gridSpan w:val="2"/>
          </w:tcPr>
          <w:p>
            <w:pPr>
              <w:jc w:val="right"/>
              <w:ind w:right="21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875 North Michigan Avenue</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Chicago, IL 60601</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Da-Lite Screen Company, Inc.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 Furnishings, Housewares and</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3100 North Detroit Street, P.O. Box 137</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Durable Consumer Products</w:t>
            </w: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Warsaw, IN 46581</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7"/>
              </w:rPr>
              <w:t>Environmental Services</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220" w:type="dxa"/>
            <w:vAlign w:val="bottom"/>
            <w:gridSpan w:val="2"/>
          </w:tcPr>
          <w:p>
            <w:pPr>
              <w:jc w:val="center"/>
              <w:ind w:left="316"/>
              <w:spacing w:after="0" w:line="205" w:lineRule="exact"/>
              <w:rPr>
                <w:sz w:val="20"/>
                <w:szCs w:val="20"/>
                <w:color w:val="auto"/>
              </w:rPr>
            </w:pPr>
            <w:r>
              <w:rPr>
                <w:rFonts w:ascii="Arial" w:cs="Arial" w:eastAsia="Arial" w:hAnsi="Arial"/>
                <w:sz w:val="23"/>
                <w:szCs w:val="23"/>
                <w:color w:val="auto"/>
                <w:w w:val="92"/>
                <w:vertAlign w:val="subscript"/>
              </w:rPr>
              <w:t>4.9%</w:t>
            </w:r>
            <w:r>
              <w:rPr>
                <w:rFonts w:ascii="Arial" w:cs="Arial" w:eastAsia="Arial" w:hAnsi="Arial"/>
                <w:sz w:val="10"/>
                <w:szCs w:val="10"/>
                <w:color w:val="auto"/>
                <w:w w:val="92"/>
              </w:rPr>
              <w:t>(2), (3)</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11220 Asset Loop, Suite 201</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Second Lien Secured Debt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Manassas, VA 20109</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380" w:type="dxa"/>
            <w:vAlign w:val="bottom"/>
            <w:shd w:val="clear" w:color="auto" w:fill="CCEEFF"/>
          </w:tcPr>
          <w:p>
            <w:pPr>
              <w:spacing w:after="0"/>
              <w:rPr>
                <w:sz w:val="10"/>
                <w:szCs w:val="10"/>
                <w:color w:val="auto"/>
              </w:rPr>
            </w:pPr>
          </w:p>
        </w:tc>
        <w:tc>
          <w:tcPr>
            <w:tcW w:w="358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Grocery</w:t>
            </w:r>
          </w:p>
        </w:tc>
        <w:tc>
          <w:tcPr>
            <w:tcW w:w="400" w:type="dxa"/>
            <w:vAlign w:val="bottom"/>
            <w:shd w:val="clear" w:color="auto" w:fill="CCEEFF"/>
          </w:tcPr>
          <w:p>
            <w:pPr>
              <w:spacing w:after="0"/>
              <w:rPr>
                <w:sz w:val="10"/>
                <w:szCs w:val="10"/>
                <w:color w:val="auto"/>
              </w:rPr>
            </w:pPr>
          </w:p>
        </w:tc>
        <w:tc>
          <w:tcPr>
            <w:tcW w:w="198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First Lien Secured Debt</w:t>
            </w: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2284 12</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Avenue</w:t>
            </w:r>
          </w:p>
        </w:tc>
        <w:tc>
          <w:tcPr>
            <w:tcW w:w="38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10027</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Generics International (U.S.),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7"/>
              </w:rPr>
              <w:t>Healthcare, Education and Childcare</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130 Vintage Drive</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Huntsville, AL 35811</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Greatwide Logistics Services, L.L.C.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122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Dallas, TX 75251-1803</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Hanley-Wood, L.L.C.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Other Media</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Washington, DC 20005</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i2 Holdings Ltd.</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22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Visual Space Capital Park</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Fulbourn Cambrideshire, CB21 5XH</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9"/>
              </w:rPr>
              <w:t>Printing and Publishing</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7951 Powers Boulevard</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Chanhassen, MN 55317</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 Furnishings, Housewares and</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Durable Consumer Products</w:t>
            </w: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West Palm Beach, FL 33401</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6"/>
              </w:rPr>
              <w:t>Chemicals, Plastics and Rubber</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2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Kadmon Holdings, L.L.C.</w:t>
            </w:r>
          </w:p>
        </w:tc>
        <w:tc>
          <w:tcPr>
            <w:tcW w:w="320" w:type="dxa"/>
            <w:vAlign w:val="bottom"/>
            <w:shd w:val="clear" w:color="auto" w:fill="CCEEFF"/>
          </w:tcPr>
          <w:p>
            <w:pPr>
              <w:spacing w:after="0"/>
              <w:rPr>
                <w:sz w:val="11"/>
                <w:szCs w:val="11"/>
                <w:color w:val="auto"/>
              </w:rPr>
            </w:pPr>
          </w:p>
        </w:tc>
        <w:tc>
          <w:tcPr>
            <w:tcW w:w="3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Healthcare, Education and Childcare</w:t>
            </w:r>
          </w:p>
        </w:tc>
        <w:tc>
          <w:tcPr>
            <w:tcW w:w="320" w:type="dxa"/>
            <w:vAlign w:val="bottom"/>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3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213"/>
              <w:spacing w:after="0" w:line="131"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Alexandria Center for Life Sciences</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0"/>
              </w:rPr>
              <w:t>Common Equity</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450 East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940" w:type="dxa"/>
            <w:vAlign w:val="bottom"/>
            <w:gridSpan w:val="2"/>
          </w:tcPr>
          <w:p>
            <w:pPr>
              <w:spacing w:after="0"/>
              <w:rPr>
                <w:sz w:val="20"/>
                <w:szCs w:val="20"/>
                <w:color w:val="auto"/>
              </w:rPr>
            </w:pPr>
            <w:r>
              <w:rPr>
                <w:rFonts w:ascii="Arial" w:cs="Arial" w:eastAsia="Arial" w:hAnsi="Arial"/>
                <w:sz w:val="14"/>
                <w:szCs w:val="14"/>
                <w:color w:val="auto"/>
              </w:rPr>
              <w:t>Learning Care Group (US) Inc.</w:t>
            </w:r>
          </w:p>
        </w:tc>
        <w:tc>
          <w:tcPr>
            <w:tcW w:w="32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6"/>
              </w:rPr>
              <w:t>Education</w:t>
            </w:r>
          </w:p>
        </w:tc>
        <w:tc>
          <w:tcPr>
            <w:tcW w:w="3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20" w:type="dxa"/>
            <w:vAlign w:val="bottom"/>
          </w:tcPr>
          <w:p>
            <w:pPr>
              <w:spacing w:after="0"/>
              <w:rPr>
                <w:sz w:val="21"/>
                <w:szCs w:val="21"/>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Novi, MI 48375</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Common Equity</w:t>
            </w:r>
          </w:p>
        </w:tc>
        <w:tc>
          <w:tcPr>
            <w:tcW w:w="116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Post Oak Blvd., Suite 910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Mattress Holding Corp.</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7"/>
              </w:rPr>
              <w:t>Home and Office Furnishings, Housewares and</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5815 Gulf Freeway</w:t>
            </w:r>
          </w:p>
        </w:tc>
        <w:tc>
          <w:tcPr>
            <w:tcW w:w="320" w:type="dxa"/>
            <w:vAlign w:val="bottom"/>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87"/>
              </w:rPr>
              <w:t>Durable Consumer Products</w:t>
            </w: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Houston, TX 77023</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MedQuist,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Mt. Laurel, NJ 08054</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Mohegan Tribal Gaming Authority</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7"/>
              </w:rPr>
              <w:t>Hotels, Motels, Inns and Gaming</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One Mohegan Sun Boulevard</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Uncasville, CT 06382</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20" w:type="dxa"/>
            <w:vAlign w:val="bottom"/>
            <w:shd w:val="clear" w:color="auto" w:fill="CCEEFF"/>
          </w:tcPr>
          <w:p>
            <w:pPr>
              <w:spacing w:after="0"/>
              <w:rPr>
                <w:sz w:val="10"/>
                <w:szCs w:val="10"/>
                <w:color w:val="auto"/>
              </w:rPr>
            </w:pPr>
          </w:p>
        </w:tc>
        <w:tc>
          <w:tcPr>
            <w:tcW w:w="36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32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First Lien Secured Debt</w:t>
            </w: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Questex Media Group LLC</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0"/>
              </w:rPr>
              <w:t>Other Media</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Buildings and Real Estate</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spacing w:after="0"/>
              <w:rPr>
                <w:sz w:val="20"/>
                <w:szCs w:val="20"/>
                <w:color w:val="auto"/>
              </w:rPr>
            </w:pPr>
            <w:r>
              <w:rPr>
                <w:rFonts w:ascii="Arial" w:cs="Arial" w:eastAsia="Arial" w:hAnsi="Arial"/>
                <w:sz w:val="14"/>
                <w:szCs w:val="14"/>
                <w:color w:val="auto"/>
              </w:rPr>
              <w:t>Saint Acquisition Corp.</w:t>
            </w:r>
          </w:p>
        </w:tc>
        <w:tc>
          <w:tcPr>
            <w:tcW w:w="3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6"/>
              </w:rPr>
              <w:t>Transportation</w:t>
            </w:r>
          </w:p>
        </w:tc>
        <w:tc>
          <w:tcPr>
            <w:tcW w:w="3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940" w:type="dxa"/>
            <w:vAlign w:val="bottom"/>
            <w:gridSpan w:val="2"/>
          </w:tcPr>
          <w:p>
            <w:pPr>
              <w:spacing w:after="0" w:line="165" w:lineRule="exact"/>
              <w:rPr>
                <w:sz w:val="20"/>
                <w:szCs w:val="20"/>
                <w:color w:val="auto"/>
              </w:rPr>
            </w:pPr>
            <w:r>
              <w:rPr>
                <w:rFonts w:ascii="Arial" w:cs="Arial" w:eastAsia="Arial" w:hAnsi="Arial"/>
                <w:sz w:val="12"/>
                <w:szCs w:val="12"/>
                <w:color w:val="auto"/>
              </w:rPr>
              <w:t>2200 South 75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Avenue</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Phoenix, AZ 85043</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Specialized Technology Resources, Inc.</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6"/>
              </w:rPr>
              <w:t>Chemical, Plastics and Rubber</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10 Water Street</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Enfield, CT 06082</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Sugarhouse HSP Gaming Prop.</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 Gaming</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1080 N. Delaware Avenue</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Philadelphia, PA 19125</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spacing w:after="0"/>
              <w:rPr>
                <w:sz w:val="20"/>
                <w:szCs w:val="20"/>
                <w:color w:val="auto"/>
              </w:rPr>
            </w:pPr>
            <w:r>
              <w:rPr>
                <w:rFonts w:ascii="Arial" w:cs="Arial" w:eastAsia="Arial" w:hAnsi="Arial"/>
                <w:sz w:val="14"/>
                <w:szCs w:val="14"/>
                <w:color w:val="auto"/>
              </w:rPr>
              <w:t>TRAK Acquisition Corp.</w:t>
            </w:r>
          </w:p>
        </w:tc>
        <w:tc>
          <w:tcPr>
            <w:tcW w:w="3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3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5"/>
        </w:trPr>
        <w:tc>
          <w:tcPr>
            <w:tcW w:w="3940" w:type="dxa"/>
            <w:vAlign w:val="bottom"/>
            <w:gridSpan w:val="2"/>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Miami, FL 33131</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TransFirst Holdings,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Financial Services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Dallas, TX 75225</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Trizetto Group, Inc.</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7"/>
              </w:rPr>
              <w:t>Insurance</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Newport Beach, CA 92660</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UP Acquisition Sub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16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1515 Arapahoe Street</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Tower One, Suite 1500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4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r>
      <w:tr>
        <w:trPr>
          <w:trHeight w:val="115"/>
        </w:trPr>
        <w:tc>
          <w:tcPr>
            <w:tcW w:w="20" w:type="dxa"/>
            <w:vAlign w:val="bottom"/>
          </w:tcPr>
          <w:p>
            <w:pPr>
              <w:spacing w:after="0"/>
              <w:rPr>
                <w:sz w:val="10"/>
                <w:szCs w:val="10"/>
                <w:color w:val="auto"/>
              </w:rPr>
            </w:pPr>
          </w:p>
        </w:tc>
        <w:tc>
          <w:tcPr>
            <w:tcW w:w="40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Veritext Corporation</w:t>
            </w:r>
          </w:p>
        </w:tc>
        <w:tc>
          <w:tcPr>
            <w:tcW w:w="320" w:type="dxa"/>
            <w:vAlign w:val="bottom"/>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20" w:type="dxa"/>
            <w:vAlign w:val="bottom"/>
            <w:shd w:val="clear" w:color="auto" w:fill="CCEEFF"/>
          </w:tcPr>
          <w:p>
            <w:pPr>
              <w:spacing w:after="0"/>
              <w:rPr>
                <w:sz w:val="10"/>
                <w:szCs w:val="10"/>
                <w:color w:val="auto"/>
              </w:rPr>
            </w:pPr>
          </w:p>
        </w:tc>
        <w:tc>
          <w:tcPr>
            <w:tcW w:w="19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4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215"/>
              <w:spacing w:after="0" w:line="115" w:lineRule="exact"/>
              <w:rPr>
                <w:sz w:val="20"/>
                <w:szCs w:val="20"/>
                <w:color w:val="auto"/>
              </w:rPr>
            </w:pPr>
            <w:r>
              <w:rPr>
                <w:rFonts w:ascii="Arial" w:cs="Arial" w:eastAsia="Arial" w:hAnsi="Arial"/>
                <w:sz w:val="12"/>
                <w:szCs w:val="12"/>
                <w:color w:val="auto"/>
              </w:rPr>
              <w:t>3.4%</w:t>
            </w:r>
          </w:p>
        </w:tc>
      </w:tr>
      <w:tr>
        <w:trPr>
          <w:trHeight w:val="165"/>
        </w:trPr>
        <w:tc>
          <w:tcPr>
            <w:tcW w:w="20" w:type="dxa"/>
            <w:vAlign w:val="bottom"/>
          </w:tcPr>
          <w:p>
            <w:pPr>
              <w:spacing w:after="0"/>
              <w:rPr>
                <w:sz w:val="14"/>
                <w:szCs w:val="14"/>
                <w:color w:val="auto"/>
              </w:rPr>
            </w:pPr>
          </w:p>
        </w:tc>
        <w:tc>
          <w:tcPr>
            <w:tcW w:w="40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Cleveland, Ohio 44113</w:t>
            </w:r>
          </w:p>
        </w:tc>
        <w:tc>
          <w:tcPr>
            <w:tcW w:w="32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6"/>
        </w:trPr>
        <w:tc>
          <w:tcPr>
            <w:tcW w:w="4020" w:type="dxa"/>
            <w:vAlign w:val="bottom"/>
            <w:gridSpan w:val="2"/>
          </w:tcPr>
          <w:p>
            <w:pPr>
              <w:spacing w:after="0"/>
              <w:rPr>
                <w:sz w:val="20"/>
                <w:szCs w:val="20"/>
                <w:color w:val="auto"/>
              </w:rPr>
            </w:pPr>
            <w:r>
              <w:rPr>
                <w:rFonts w:ascii="Arial" w:cs="Arial" w:eastAsia="Arial" w:hAnsi="Arial"/>
                <w:sz w:val="14"/>
                <w:szCs w:val="14"/>
                <w:color w:val="auto"/>
              </w:rPr>
              <w:t>Yonkers Racing Corp.</w:t>
            </w:r>
          </w:p>
        </w:tc>
        <w:tc>
          <w:tcPr>
            <w:tcW w:w="32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88"/>
              </w:rPr>
              <w:t>Hotels, Motels, Inns and Gaming</w:t>
            </w:r>
          </w:p>
        </w:tc>
        <w:tc>
          <w:tcPr>
            <w:tcW w:w="32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40" w:type="dxa"/>
            <w:vAlign w:val="bottom"/>
          </w:tcPr>
          <w:p>
            <w:pPr>
              <w:spacing w:after="0"/>
              <w:rPr>
                <w:sz w:val="21"/>
                <w:szCs w:val="21"/>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color w:val="auto"/>
              </w:rPr>
              <w:t>—</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810 Yonkers Avenue</w:t>
            </w:r>
          </w:p>
        </w:tc>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New York, NY 10704</w:t>
            </w:r>
          </w:p>
        </w:tc>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7.8%.</w:t>
      </w: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Indicates that we are a member of a portfolio company’s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there were no investments held that represented greater than 5% of our total assets.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2010 and September 30,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372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5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720" w:type="dxa"/>
            <w:vAlign w:val="bottom"/>
          </w:tcPr>
          <w:p>
            <w:pPr>
              <w:spacing w:after="0"/>
              <w:rPr>
                <w:sz w:val="18"/>
                <w:szCs w:val="18"/>
                <w:color w:val="auto"/>
              </w:rPr>
            </w:pPr>
          </w:p>
        </w:tc>
        <w:tc>
          <w:tcPr>
            <w:tcW w:w="144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gridSpan w:val="3"/>
          </w:tcPr>
          <w:p>
            <w:pPr>
              <w:spacing w:after="0"/>
              <w:rPr>
                <w:sz w:val="20"/>
                <w:szCs w:val="20"/>
                <w:color w:val="auto"/>
              </w:rPr>
            </w:pPr>
            <w:r>
              <w:rPr>
                <w:rFonts w:ascii="Arial" w:cs="Arial" w:eastAsia="Arial" w:hAnsi="Arial"/>
                <w:sz w:val="18"/>
                <w:szCs w:val="18"/>
                <w:color w:val="auto"/>
              </w:rPr>
              <w:t>Total</w:t>
            </w:r>
          </w:p>
        </w:tc>
        <w:tc>
          <w:tcPr>
            <w:tcW w:w="5160" w:type="dxa"/>
            <w:vAlign w:val="bottom"/>
            <w:gridSpan w:val="3"/>
          </w:tcPr>
          <w:p>
            <w:pPr>
              <w:jc w:val="right"/>
              <w:ind w:right="69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20" w:type="dxa"/>
            <w:vAlign w:val="bottom"/>
          </w:tcPr>
          <w:p>
            <w:pPr>
              <w:jc w:val="right"/>
              <w:ind w:right="3352"/>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 (19)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43</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322"/>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47</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600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p>
        </w:tc>
        <w:tc>
          <w:tcPr>
            <w:tcW w:w="4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Name Address</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600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Adam K. Bernstein (47),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Marshall Brozost (43),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Jeffrey Flug (48),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Samuel L. Katz (45),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Arthur H. Penn (47)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Aviv Efrat (46), Chief Financial Officer and Treasurer. Mr. Efrat became PennantPark Investment’s Chief Financial Officer and Treasurer in February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Mr. Efrat is also a Managing Director of PennantPark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Guy F. Talarico (55)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For the fiscal year ended September 30, 2010, we held seven board meetings, four Audit Committee meetings and two Nominating and Corporate Governance Committee meetings. All directors attended at least 75% of the aggregate number of meetings of the board of directors and of the respective committees on which they served. The Company requires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which report to the entire board of directors and are comprised solely of Independent Directors and (2) monitoring by the Company’s chief compliance officer in accordance with its compliance policies and procedures.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more fully described below under “Audit Committee” and “Nominating and Corporate Governance Committee,” the Audit Committee and the Nominating and Corporate Governance Committee assist the board of directors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Both the Audit Committee and the Nominating and Corporate Governance Committee consist solely of Independent Directors.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at least once each 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Company’s ability to incur indebtedness is limited such that its asset coverage must equal at least 200% immediately after each time it incurs issuance, the Company generally must invest at least 70% of its total assets in “qualifying assets.” In addition, the Company elected to be treated as a RIC under the Code. As a RIC the Company must, among other things, meet certain income source and asset diversification requirements.</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believes that the extent of the board’s and its committees’ roles in risk oversight complements the board’s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Company’s independent auditors, chief compliance officer and chief executive officer, the Independent Directors have similarly established direct communication and oversight channels that the board believes foster open communication and early detection of issues of concern.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believes that board’s role in risk oversight must be evaluated on a case by case basis and that the current configuration and allocation of responsibilities among the Board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the Company’s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Messers.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Messers. Flug and Katz is an “audit committee financial expert” as that term is defined under Item 407 of Regulation S-K under the Exchange Act. The Audit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 xml:space="preserve">Governance Committee has adopted a written Nominating and Corporate Governance Committee Charter that is available on the Company’s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of directors, but the Committee will consider such factors as it may deem are in the best interests of the Company and its stockholders. Those factors may include a person’s differences of viewpoint, professional experience, education and skills, as well as his or her race, gender and national origin. In addition, as part of the board’s annual-self assessment the members of the Nominating and Corporate Governance Committee, evaluates the membership of the board of directors and whether the board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2010.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Aggregate</w:t>
            </w:r>
          </w:p>
        </w:tc>
        <w:tc>
          <w:tcPr>
            <w:tcW w:w="1040" w:type="dxa"/>
            <w:vAlign w:val="bottom"/>
          </w:tcPr>
          <w:p>
            <w:pPr>
              <w:spacing w:after="0"/>
              <w:rPr>
                <w:sz w:val="14"/>
                <w:szCs w:val="14"/>
                <w:color w:val="auto"/>
              </w:rPr>
            </w:pPr>
          </w:p>
        </w:tc>
        <w:tc>
          <w:tcPr>
            <w:tcW w:w="24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Pension or retirement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82"/>
              </w:rPr>
              <w:t>compensation</w:t>
            </w:r>
          </w:p>
        </w:tc>
        <w:tc>
          <w:tcPr>
            <w:tcW w:w="1040" w:type="dxa"/>
            <w:vAlign w:val="bottom"/>
          </w:tcPr>
          <w:p>
            <w:pPr>
              <w:spacing w:after="0"/>
              <w:rPr>
                <w:sz w:val="11"/>
                <w:szCs w:val="11"/>
                <w:color w:val="auto"/>
              </w:rPr>
            </w:pPr>
          </w:p>
        </w:tc>
        <w:tc>
          <w:tcPr>
            <w:tcW w:w="2440" w:type="dxa"/>
            <w:vAlign w:val="bottom"/>
            <w:gridSpan w:val="2"/>
          </w:tcPr>
          <w:p>
            <w:pPr>
              <w:jc w:val="center"/>
              <w:ind w:right="102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04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76"/>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from the Company</w:t>
            </w:r>
          </w:p>
        </w:tc>
        <w:tc>
          <w:tcPr>
            <w:tcW w:w="1040" w:type="dxa"/>
            <w:vAlign w:val="bottom"/>
          </w:tcPr>
          <w:p>
            <w:pPr>
              <w:spacing w:after="0"/>
              <w:rPr>
                <w:sz w:val="15"/>
                <w:szCs w:val="15"/>
                <w:color w:val="auto"/>
              </w:rPr>
            </w:pPr>
          </w:p>
        </w:tc>
        <w:tc>
          <w:tcPr>
            <w:tcW w:w="2440" w:type="dxa"/>
            <w:vAlign w:val="bottom"/>
            <w:gridSpan w:val="2"/>
          </w:tcPr>
          <w:p>
            <w:pPr>
              <w:jc w:val="center"/>
              <w:ind w:right="1040"/>
              <w:spacing w:after="0" w:line="176" w:lineRule="exact"/>
              <w:rPr>
                <w:sz w:val="20"/>
                <w:szCs w:val="20"/>
                <w:color w:val="auto"/>
              </w:rPr>
            </w:pPr>
            <w:r>
              <w:rPr>
                <w:rFonts w:ascii="Arial" w:cs="Arial" w:eastAsia="Arial" w:hAnsi="Arial"/>
                <w:sz w:val="13"/>
                <w:szCs w:val="13"/>
                <w:b w:val="1"/>
                <w:bCs w:val="1"/>
                <w:color w:val="auto"/>
                <w:w w:val="90"/>
              </w:rPr>
              <w:t>part of our expense</w:t>
            </w:r>
            <w:r>
              <w:rPr>
                <w:rFonts w:ascii="Arial" w:cs="Arial" w:eastAsia="Arial" w:hAnsi="Arial"/>
                <w:sz w:val="20"/>
                <w:szCs w:val="20"/>
                <w:b w:val="1"/>
                <w:bCs w:val="1"/>
                <w:color w:val="auto"/>
                <w:w w:val="90"/>
                <w:vertAlign w:val="superscript"/>
              </w:rPr>
              <w:t>(1)</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director /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98,750</w:t>
            </w:r>
          </w:p>
        </w:tc>
        <w:tc>
          <w:tcPr>
            <w:tcW w:w="1040" w:type="dxa"/>
            <w:vAlign w:val="bottom"/>
          </w:tcPr>
          <w:p>
            <w:pPr>
              <w:spacing w:after="0"/>
              <w:rPr>
                <w:sz w:val="18"/>
                <w:szCs w:val="18"/>
                <w:color w:val="auto"/>
              </w:rPr>
            </w:pPr>
          </w:p>
        </w:tc>
        <w:tc>
          <w:tcPr>
            <w:tcW w:w="2440" w:type="dxa"/>
            <w:vAlign w:val="bottom"/>
            <w:gridSpan w:val="2"/>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106,250</w:t>
            </w:r>
          </w:p>
        </w:tc>
        <w:tc>
          <w:tcPr>
            <w:tcW w:w="1040" w:type="dxa"/>
            <w:vAlign w:val="bottom"/>
          </w:tcPr>
          <w:p>
            <w:pPr>
              <w:spacing w:after="0"/>
              <w:rPr>
                <w:sz w:val="18"/>
                <w:szCs w:val="18"/>
                <w:color w:val="auto"/>
              </w:rPr>
            </w:pPr>
          </w:p>
        </w:tc>
        <w:tc>
          <w:tcPr>
            <w:tcW w:w="2440" w:type="dxa"/>
            <w:vAlign w:val="bottom"/>
            <w:gridSpan w:val="2"/>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Each Independent Director receives an annual payment of $90,000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60"/>
          </w:cols>
          <w:pgMar w:left="240" w:top="459" w:right="3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December 3, 2010,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 and independent directors are all other directors (the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3, 2010,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7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2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86,258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100,241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113,163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479,031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39,274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827,991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68,236 shares held by JAM Investments,</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9"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295,631 shares held by PennantPark Investment Advisers, LLC.</w:t>
      </w: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Portfolio Managers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portfolio managers as of December 3, 2010. Information as to the beneficial ownerships is based on information furnished to the Company by such persons. We are not part of a “family of investment companies,” as that term is defined in the 1940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Dollar Range of Common Stock</w:t>
            </w:r>
          </w:p>
        </w:tc>
      </w:tr>
      <w:tr>
        <w:trPr>
          <w:trHeight w:val="176"/>
        </w:trPr>
        <w:tc>
          <w:tcPr>
            <w:tcW w:w="9360" w:type="dxa"/>
            <w:vAlign w:val="bottom"/>
            <w:gridSpan w:val="3"/>
          </w:tcPr>
          <w:p>
            <w:pPr>
              <w:spacing w:after="0"/>
              <w:rPr>
                <w:sz w:val="20"/>
                <w:szCs w:val="20"/>
                <w:color w:val="auto"/>
              </w:rPr>
            </w:pPr>
            <w:r>
              <w:rPr>
                <w:rFonts w:ascii="Arial" w:cs="Arial" w:eastAsia="Arial" w:hAnsi="Arial"/>
                <w:sz w:val="14"/>
                <w:szCs w:val="14"/>
                <w:b w:val="1"/>
                <w:bCs w:val="1"/>
                <w:color w:val="auto"/>
              </w:rPr>
              <w:t>Directors of the Company</w:t>
            </w:r>
          </w:p>
        </w:tc>
        <w:tc>
          <w:tcPr>
            <w:tcW w:w="2060" w:type="dxa"/>
            <w:vAlign w:val="bottom"/>
            <w:gridSpan w:val="3"/>
          </w:tcPr>
          <w:p>
            <w:pPr>
              <w:ind w:left="380"/>
              <w:spacing w:after="0" w:line="176" w:lineRule="exact"/>
              <w:rPr>
                <w:sz w:val="20"/>
                <w:szCs w:val="20"/>
                <w:color w:val="auto"/>
              </w:rPr>
            </w:pPr>
            <w:r>
              <w:rPr>
                <w:rFonts w:ascii="Arial" w:cs="Arial" w:eastAsia="Arial" w:hAnsi="Arial"/>
                <w:sz w:val="13"/>
                <w:szCs w:val="13"/>
                <w:b w:val="1"/>
                <w:bCs w:val="1"/>
                <w:color w:val="auto"/>
              </w:rPr>
              <w:t>of the Company</w:t>
            </w:r>
            <w:r>
              <w:rPr>
                <w:rFonts w:ascii="Arial" w:cs="Arial" w:eastAsia="Arial" w:hAnsi="Arial"/>
                <w:sz w:val="20"/>
                <w:szCs w:val="20"/>
                <w:b w:val="1"/>
                <w:bCs w:val="1"/>
                <w:color w:val="auto"/>
                <w:vertAlign w:val="superscript"/>
              </w:rPr>
              <w:t>(1)</w:t>
            </w:r>
          </w:p>
        </w:tc>
      </w:tr>
      <w:tr>
        <w:trPr>
          <w:trHeight w:val="142"/>
        </w:trPr>
        <w:tc>
          <w:tcPr>
            <w:tcW w:w="20" w:type="dxa"/>
            <w:vAlign w:val="bottom"/>
          </w:tcPr>
          <w:p>
            <w:pPr>
              <w:spacing w:after="0"/>
              <w:rPr>
                <w:sz w:val="12"/>
                <w:szCs w:val="12"/>
                <w:color w:val="auto"/>
              </w:rPr>
            </w:pPr>
          </w:p>
        </w:tc>
        <w:tc>
          <w:tcPr>
            <w:tcW w:w="1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778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060" w:type="dxa"/>
            <w:vAlign w:val="bottom"/>
            <w:gridSpan w:val="3"/>
          </w:tcPr>
          <w:p>
            <w:pPr>
              <w:ind w:left="600"/>
              <w:spacing w:after="0"/>
              <w:rPr>
                <w:sz w:val="20"/>
                <w:szCs w:val="20"/>
                <w:color w:val="auto"/>
              </w:rPr>
            </w:pPr>
            <w:r>
              <w:rPr>
                <w:rFonts w:ascii="Arial" w:cs="Arial" w:eastAsia="Arial" w:hAnsi="Arial"/>
                <w:sz w:val="18"/>
                <w:szCs w:val="18"/>
                <w:color w:val="auto"/>
                <w:w w:val="94"/>
              </w:rPr>
              <w:t xml:space="preserve">Over $1,000,000 </w:t>
            </w:r>
            <w:r>
              <w:rPr>
                <w:rFonts w:ascii="Arial" w:cs="Arial" w:eastAsia="Arial" w:hAnsi="Arial"/>
                <w:sz w:val="11"/>
                <w:szCs w:val="11"/>
                <w:color w:val="auto"/>
                <w:w w:val="94"/>
              </w:rPr>
              <w:t>(2)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$100,001-$  500,000</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060" w:type="dxa"/>
            <w:vAlign w:val="bottom"/>
            <w:gridSpan w:val="3"/>
          </w:tcPr>
          <w:p>
            <w:pPr>
              <w:jc w:val="right"/>
              <w:ind w:right="220"/>
              <w:spacing w:after="0"/>
              <w:rPr>
                <w:sz w:val="20"/>
                <w:szCs w:val="20"/>
                <w:color w:val="auto"/>
              </w:rPr>
            </w:pPr>
            <w:r>
              <w:rPr>
                <w:rFonts w:ascii="Arial" w:cs="Arial" w:eastAsia="Arial" w:hAnsi="Arial"/>
                <w:sz w:val="18"/>
                <w:szCs w:val="18"/>
                <w:color w:val="auto"/>
              </w:rPr>
              <w:t>Over $1,000,000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Over $1,000,000</w:t>
            </w:r>
          </w:p>
        </w:tc>
      </w:tr>
      <w:tr>
        <w:trPr>
          <w:trHeight w:val="28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4"/>
              </w:rPr>
              <w:t xml:space="preserve">Over $1,000,000 </w:t>
            </w:r>
            <w:r>
              <w:rPr>
                <w:rFonts w:ascii="Arial" w:cs="Arial" w:eastAsia="Arial" w:hAnsi="Arial"/>
                <w:sz w:val="11"/>
                <w:szCs w:val="11"/>
                <w:color w:val="auto"/>
                <w:w w:val="94"/>
              </w:rPr>
              <w:t>(3)</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Aviv Efrat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r>
      <w:tr>
        <w:trPr>
          <w:trHeight w:val="28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Portfolio managers</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 A. Briones</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$100,001-$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500,000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$500,001-$ 1,000,000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60" w:hanging="452"/>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19"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Although the base management fee is 2.00% of our average adjusted gross assets, the Investment Adviser waived a portion of the base management fee such that the base management fee equaled 1.50% from the consummation of the initial public offering through September 30, 2007 and 1.75% from October 1, 2007 through March 31, 2008. Our base management fee has been 2.00% since March 31, 2008 and is payable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2010, 2009 and 2008, the Investment Adviser earned base management fees, after fee waivers, if any, of $11.6 million, $7.7 million and $6.7 million,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appreciation or depreciation. Pre-Incentive Fee Net Investment Income, expressed as a rate of return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for any period of less than three months and adjusted for any share issuances or repurchases during the current quarter.</w:t>
      </w:r>
    </w:p>
    <w:p>
      <w:pPr>
        <w:spacing w:after="0" w:line="2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109855</wp:posOffset>
            </wp:positionV>
            <wp:extent cx="2426970" cy="4032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69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2010, 2009 and 2008, the Investment Adviser earned $8.0 million, $5.7 million and $3.8 million, respectively, in incentive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18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99"/>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0219"/>
          </w:cols>
          <w:pgMar w:left="240" w:top="460" w:right="1440"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20% x Pre-Incentive Fee Net Investment Income, subject to “catch-up”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100% x “catch-up” + (20% x (Pre-Incentive Fee Net Investment Income – 2.1875%))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2.1875% – 1.75%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0.4375%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(100% x 0.4375%) + (20% x (2.30% – 2.1875%))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0.4375% + (20% x 0.1125%)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0.4375% + 0.0225%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0.46%</w:t>
      </w:r>
    </w:p>
    <w:p>
      <w:pPr>
        <w:spacing w:after="0" w:line="151" w:lineRule="exact"/>
        <w:rPr>
          <w:sz w:val="20"/>
          <w:szCs w:val="20"/>
          <w:color w:val="auto"/>
        </w:rPr>
      </w:pPr>
    </w:p>
    <w:p>
      <w:pPr>
        <w:sectPr>
          <w:pgSz w:w="11900" w:h="16838" w:orient="portrait"/>
          <w:cols w:equalWidth="0" w:num="2">
            <w:col w:w="1840" w:space="620"/>
            <w:col w:w="7759"/>
          </w:cols>
          <w:pgMar w:left="240" w:top="460" w:right="1440"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219"/>
          </w:cols>
          <w:pgMar w:left="240" w:top="460" w:right="1440"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20"/>
          </w:cols>
          <w:pgMar w:left="240" w:top="460"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 1%)</w:t>
      </w:r>
    </w:p>
    <w:p>
      <w:pPr>
        <w:spacing w:after="0" w:line="32" w:lineRule="exact"/>
        <w:rPr>
          <w:sz w:val="20"/>
          <w:szCs w:val="20"/>
          <w:color w:val="auto"/>
        </w:rPr>
      </w:pPr>
    </w:p>
    <w:p>
      <w:pPr>
        <w:sectPr>
          <w:pgSz w:w="11900" w:h="16838" w:orient="portrait"/>
          <w:cols w:equalWidth="0" w:num="2">
            <w:col w:w="2160" w:space="720"/>
            <w:col w:w="8540"/>
          </w:cols>
          <w:pgMar w:left="240" w:top="460" w:right="239" w:bottom="1440" w:gutter="0" w:footer="0" w:header="0"/>
          <w:type w:val="continuous"/>
        </w:sectPr>
      </w:pPr>
    </w:p>
    <w:p>
      <w:pPr>
        <w:ind w:left="3020" w:hanging="135"/>
        <w:spacing w:after="0"/>
        <w:tabs>
          <w:tab w:leader="none" w:pos="3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0" w:right="23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2010, 2009 and 2008, the Investment Adviser and Administrator were reimbursed $2.1 million, $1.7 million and $2.0 million, respectively, from PennantPark Investment, including expenses it incurred on behalf of the Administrator for the services described above.</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 ended September 30, 2010, PennantPark Investment was reimbursed $0.1 million,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16,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using fair value as determined in good faith by our board of directors in consultation with our independent third party valuation firms.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See “Risk Factors—Risks Related to Our Investments”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See “Sales Of Common Stock Below Net Asset Value” for more information.</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30, 2010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January 21, 2011 was $12.20 per share. As of January 21, 2011, we had 17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6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Authorized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100,000,000</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4"/>
              </w:rPr>
              <w:t>36,223,950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57" w:lineRule="auto"/>
        <w:rPr>
          <w:sz w:val="20"/>
          <w:szCs w:val="20"/>
          <w:color w:val="auto"/>
        </w:rPr>
      </w:pPr>
      <w:r>
        <w:rPr>
          <w:rFonts w:ascii="Arial" w:cs="Arial" w:eastAsia="Arial" w:hAnsi="Arial"/>
          <w:sz w:val="15"/>
          <w:szCs w:val="15"/>
          <w:color w:val="auto"/>
        </w:rPr>
        <w:t>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00"/>
          </w:cols>
          <w:pgMar w:left="24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446"/>
        <w:spacing w:after="0" w:line="318" w:lineRule="auto"/>
        <w:tabs>
          <w:tab w:leader="none" w:pos="9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40" w:hanging="567"/>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900" w:right="10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coverage. See “Risk Factors—Risks relating to our business and structure—Regulations governing our operation as a business development company will affect our ability to, and the way in which we, raise additional capital”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copies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You may obtain information about how we voted proxies by making a written request for proxy voting information to: Aviv Efrat, Chief Financial Officer and Treasurer,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Report on Form 10-K (File No. 814-00736 on December 13, 2007.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consolidated subsidiary, SBIC LP, is licensed under the SBA as a SBIC under Section 301(c) of the 1958 Act. SBIC LP received its license effective July 30, 2010 and its initial debenture commitment of $33.5 million effective August 5, 2010.</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an SBIC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financing terms of investments by SBICs in portfolio companies such as limiting the interest rate on debt securities and loans provided to portfolio companies of the SBIC. The SBA also limits fees, prepayment terms and other economic arrangements that are typically charged in lending arrangements.</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SBA also prohibits, without prior written approval, a “change in control” of an SBIC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14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paid-in. However, we have capitalized SBIC LP with a lesser amount.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20"/>
          </w:cols>
          <w:pgMar w:left="240" w:top="460"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16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9"/>
              </w:rPr>
              <w:t>INDEX TO FINANCIAL STATEMENTS</w:t>
            </w:r>
          </w:p>
        </w:tc>
        <w:tc>
          <w:tcPr>
            <w:tcW w:w="2040" w:type="dxa"/>
            <w:vAlign w:val="bottom"/>
          </w:tcPr>
          <w:p>
            <w:pPr>
              <w:spacing w:after="0"/>
              <w:rPr>
                <w:sz w:val="19"/>
                <w:szCs w:val="19"/>
                <w:color w:val="auto"/>
              </w:rPr>
            </w:pPr>
          </w:p>
        </w:tc>
      </w:tr>
      <w:tr>
        <w:trPr>
          <w:trHeight w:val="419"/>
        </w:trPr>
        <w:tc>
          <w:tcPr>
            <w:tcW w:w="928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2040" w:type="dxa"/>
            <w:vAlign w:val="bottom"/>
          </w:tcPr>
          <w:p>
            <w:pPr>
              <w:spacing w:after="0"/>
              <w:rPr>
                <w:sz w:val="24"/>
                <w:szCs w:val="24"/>
                <w:color w:val="auto"/>
              </w:rPr>
            </w:pPr>
          </w:p>
        </w:tc>
      </w:tr>
      <w:tr>
        <w:trPr>
          <w:trHeight w:val="324"/>
        </w:trPr>
        <w:tc>
          <w:tcPr>
            <w:tcW w:w="928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204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2">
              <w:r>
                <w:rPr>
                  <w:rFonts w:ascii="Arial" w:cs="Arial" w:eastAsia="Arial" w:hAnsi="Arial"/>
                  <w:sz w:val="18"/>
                  <w:szCs w:val="18"/>
                  <w:color w:val="0000EE"/>
                  <w:w w:val="89"/>
                </w:rPr>
                <w:t>Management’s Report on Internal Control over Financial Reporting</w:t>
              </w:r>
            </w:hyperlink>
          </w:p>
        </w:tc>
        <w:tc>
          <w:tcPr>
            <w:tcW w:w="4520" w:type="dxa"/>
            <w:vAlign w:val="bottom"/>
            <w:gridSpan w:val="7"/>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Report of Independent Registered Public Accounting Firm On Internal Control Over Financial Reporting</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7380" w:type="dxa"/>
            <w:vAlign w:val="bottom"/>
            <w:tcBorders>
              <w:top w:val="single" w:sz="8" w:color="0000EE"/>
            </w:tcBorders>
            <w:gridSpan w:val="8"/>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Consolidated Statements of Assets and Liabilities as of September 30, 2010 and 2009</w:t>
              </w:r>
            </w:hyperlink>
          </w:p>
        </w:tc>
        <w:tc>
          <w:tcPr>
            <w:tcW w:w="190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3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Consolidated Statements of Operations for the years ended September 30, 2010, 2009 and 2008</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3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Changes in Net Assets for the years ended September 30, 2010, 2009 and 2008</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6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208">
              <w:r>
                <w:rPr>
                  <w:rFonts w:ascii="Arial" w:cs="Arial" w:eastAsia="Arial" w:hAnsi="Arial"/>
                  <w:sz w:val="18"/>
                  <w:szCs w:val="18"/>
                  <w:color w:val="0000EE"/>
                  <w:w w:val="86"/>
                </w:rPr>
                <w:t>Consolidated Statements of Cash Flows for the years ended September 30, 2010, 2009 and 2008</w:t>
              </w:r>
            </w:hyperlink>
          </w:p>
        </w:tc>
        <w:tc>
          <w:tcPr>
            <w:tcW w:w="800" w:type="dxa"/>
            <w:vAlign w:val="bottom"/>
            <w:tcBorders>
              <w:top w:val="single" w:sz="8" w:color="0000EE"/>
            </w:tcBorders>
            <w:gridSpan w:val="2"/>
          </w:tcPr>
          <w:p>
            <w:pPr>
              <w:spacing w:after="0"/>
              <w:rPr>
                <w:sz w:val="24"/>
                <w:szCs w:val="24"/>
                <w:color w:val="auto"/>
              </w:rPr>
            </w:pPr>
          </w:p>
        </w:tc>
        <w:tc>
          <w:tcPr>
            <w:tcW w:w="1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09">
              <w:r>
                <w:rPr>
                  <w:rFonts w:ascii="Arial" w:cs="Arial" w:eastAsia="Arial" w:hAnsi="Arial"/>
                  <w:sz w:val="18"/>
                  <w:szCs w:val="18"/>
                  <w:color w:val="0000EE"/>
                  <w:w w:val="86"/>
                </w:rPr>
                <w:t>Consolidated Schedules of Investments as of September 30, 2010 and 2009</w:t>
              </w:r>
            </w:hyperlink>
          </w:p>
        </w:tc>
        <w:tc>
          <w:tcPr>
            <w:tcW w:w="3980" w:type="dxa"/>
            <w:vAlign w:val="bottom"/>
            <w:gridSpan w:val="6"/>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Notes to the Consolidated Financial Statements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F-16</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80" w:type="dxa"/>
            <w:vAlign w:val="bottom"/>
            <w:gridSpan w:val="6"/>
          </w:tcPr>
          <w:p>
            <w:pPr>
              <w:jc w:val="center"/>
              <w:ind w:right="3140"/>
              <w:spacing w:after="0"/>
              <w:rPr>
                <w:sz w:val="20"/>
                <w:szCs w:val="20"/>
                <w:color w:val="auto"/>
              </w:rPr>
            </w:pPr>
            <w:r>
              <w:rPr>
                <w:rFonts w:ascii="Arial" w:cs="Arial" w:eastAsia="Arial" w:hAnsi="Arial"/>
                <w:sz w:val="18"/>
                <w:szCs w:val="18"/>
                <w:color w:val="auto"/>
                <w:w w:val="88"/>
              </w:rPr>
              <w:t>F-1</w:t>
            </w:r>
          </w:p>
        </w:tc>
        <w:tc>
          <w:tcPr>
            <w:tcW w:w="204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2010.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2010,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2010.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2010 and 2009, and the related consolidated statements of operations, changes in net assets, and cash flows for the years ended September 30, 2010, 2009 and 2008.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2010 and 2009, and the results of their operations and their cash flows for the years ended September 30, 2010, 2009 and 2008,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17, 2010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prospectus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2010 and 2009, and the related statements of operations, changes in net assets, and cash flows for the years ended September 30, 2010, 2009 and 2008, and our report dated November 17, 2010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(cost—$631,280,755 and $479,909,805,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453,644,335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(cost—$17,427,648 and $17,378,081,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16,115,738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(cost—$8,000,100 and $0,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(cost—$656,708,503 and $497,287,886,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512,381,369</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 $233,100,000 and $225,100,000,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175,475,380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 $14,500,000 and $0, respectively),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Notes 5 and 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324,918,623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4"/>
              </w:rPr>
              <w:t>Common stock, par value $0.001 per share, 100,000,000 shares authorized and 36,158,772 and 25,368,772 shares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issued and outstanding,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(65,911,544)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300,580,268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512,381,369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57,467,862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43,613,233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38,405,757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1,069,514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1,358,031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60,139,757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45,118,771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39,810,962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11,618,773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7,715,615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7,136,580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8,018,309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5,683,388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3,672,444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4,628,564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6,308,933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2,328,210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2,329,110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2,136,303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27,966,846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22,399,856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21,675,689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28,065,140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22,399,856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21,254,958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32,074,617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22,718,915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18,556,004</w:t>
            </w:r>
          </w:p>
        </w:tc>
        <w:tc>
          <w:tcPr>
            <w:tcW w:w="0" w:type="dxa"/>
            <w:vAlign w:val="bottom"/>
          </w:tcPr>
          <w:p>
            <w:pPr>
              <w:spacing w:after="0"/>
              <w:rPr>
                <w:sz w:val="1"/>
                <w:szCs w:val="1"/>
                <w:color w:val="auto"/>
              </w:rPr>
            </w:pPr>
          </w:p>
        </w:tc>
      </w:tr>
      <w:tr>
        <w:trPr>
          <w:trHeight w:val="22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w w:val="95"/>
              </w:rPr>
              <w:t>Realized and unrealized (loss) gain on investments, cash equivalents and credit facility:</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(15,417,097)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(39,243,879)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(11,154,735)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36,275,341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46,954,325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(49,052,812)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(731,625)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(2,455,952)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(35,665,745)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(122,029)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52,326,993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(48,104,208)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Net realized and unrealized (loss) gain from investments, cash equivalents and credit facility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(15,539,126)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13,083,114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(59,258,943)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16,535,491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35,802,029</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(40,702,939)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 (decrease) in net assets resulting from operations per common share (See Note 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32,074,617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22,718,915</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18,556,004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(15,417,097)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(39,243,879)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(11,154,735)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35,543,716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44,498,373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(48,104,208)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(35,665,745)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16,535,491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35,802,029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(40,702,939)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(32,264,036)</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(20,226,021)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(18,961,895)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107,710,000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(5,986,500)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101,723,500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32,480,000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85,994,955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48,056,008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(59,664,834)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300,580,268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270,393,094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300,580,268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252,524,260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270,393,094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386,575,223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300,580,268</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210,728,260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(distributions in excess of) net investment income,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1,800,646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10,790,000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7"/>
              </w:rPr>
              <w:t>Years ended 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16,535,491</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(40,702,939)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increase (decrease)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(35,543,716)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(44,498,373)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15,417,097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(4,203,920)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(309,455,078)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(112,693,490)</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(206,790,979)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(6,416,075)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145,237,359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(7,275,040)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(27,528,767)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33,295,475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19,489,525</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15,872,049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6,331,385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 and SBA debentures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(652,529)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258,912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management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1,066,706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2,134,214</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1,385,131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(500,423)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555,556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(127,050,830)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(42,355,514)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(395,805,044)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107,710,000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(5,986,500)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(1,920,000)</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paid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(27,919,260)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(20,226,021)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 costs capitalized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(686,625)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256,000,000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(248,000,000)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(146,500,000)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(269,040,000)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95,617,615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35,353,979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178,094,610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(31,433,215)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(217,710,434)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3,161,048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41,796,000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Maturity</w:t>
            </w:r>
          </w:p>
        </w:tc>
        <w:tc>
          <w:tcPr>
            <w:tcW w:w="1000" w:type="dxa"/>
            <w:vAlign w:val="bottom"/>
          </w:tcPr>
          <w:p>
            <w:pPr>
              <w:spacing w:after="0"/>
              <w:rPr>
                <w:sz w:val="14"/>
                <w:szCs w:val="14"/>
                <w:color w:val="auto"/>
              </w:rPr>
            </w:pPr>
          </w:p>
        </w:tc>
        <w:tc>
          <w:tcPr>
            <w:tcW w:w="15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(4)</w:t>
            </w:r>
          </w:p>
        </w:tc>
        <w:tc>
          <w:tcPr>
            <w:tcW w:w="2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6"/>
              </w:rPr>
              <w:t>Investments in Non-Controlled, Non-Affiliated Portfolio</w:t>
            </w: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Companies—165.9%</w:t>
            </w:r>
            <w:r>
              <w:rPr>
                <w:rFonts w:ascii="Arial" w:cs="Arial" w:eastAsia="Arial" w:hAnsi="Arial"/>
                <w:sz w:val="20"/>
                <w:szCs w:val="20"/>
                <w:b w:val="1"/>
                <w:bCs w:val="1"/>
                <w:color w:val="auto"/>
                <w:vertAlign w:val="superscript"/>
              </w:rPr>
              <w:t>(1),(2)</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Debt—59.3%</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Networks Solution,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08/27/2014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$ 13,583,333</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$ 13,316,337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$ 13,447,500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06/21/2015</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16,363,636</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15,786,257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01/31/2011</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3,636,364</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10/01/2016</w:t>
            </w:r>
          </w:p>
        </w:tc>
        <w:tc>
          <w:tcPr>
            <w:tcW w:w="1000" w:type="dxa"/>
            <w:vAlign w:val="bottom"/>
          </w:tcPr>
          <w:p>
            <w:pPr>
              <w:spacing w:after="0"/>
              <w:rPr>
                <w:sz w:val="12"/>
                <w:szCs w:val="12"/>
                <w:color w:val="auto"/>
              </w:rPr>
            </w:pPr>
          </w:p>
        </w:tc>
        <w:tc>
          <w:tcPr>
            <w:tcW w:w="1560" w:type="dxa"/>
            <w:vAlign w:val="bottom"/>
            <w:gridSpan w:val="2"/>
          </w:tcPr>
          <w:p>
            <w:pPr>
              <w:jc w:val="center"/>
              <w:ind w:right="102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7,305,603</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04/01/2018</w:t>
            </w:r>
          </w:p>
        </w:tc>
        <w:tc>
          <w:tcPr>
            <w:tcW w:w="10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02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987,774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07/31/2016</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8,765,468</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07/29/2013</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Fairway Group Acquisition Company</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10/01/2014</w:t>
            </w:r>
          </w:p>
        </w:tc>
        <w:tc>
          <w:tcPr>
            <w:tcW w:w="10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040"/>
              <w:spacing w:after="0" w:line="138" w:lineRule="exact"/>
              <w:rPr>
                <w:sz w:val="20"/>
                <w:szCs w:val="20"/>
                <w:color w:val="auto"/>
              </w:rPr>
            </w:pPr>
            <w:r>
              <w:rPr>
                <w:rFonts w:ascii="Arial" w:cs="Arial" w:eastAsia="Arial" w:hAnsi="Arial"/>
                <w:sz w:val="14"/>
                <w:szCs w:val="14"/>
                <w:color w:val="auto"/>
                <w:w w:val="88"/>
              </w:rPr>
              <w:t>Grocery</w:t>
            </w: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P+850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11,905,025</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11,650,744</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03/08/2014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8,752,500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08/07/2014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9"/>
              </w:rPr>
              <w:t>Printing and Publishing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24,875,000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10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02/07/2014</w:t>
            </w:r>
          </w:p>
        </w:tc>
        <w:tc>
          <w:tcPr>
            <w:tcW w:w="256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2.71%</w:t>
            </w:r>
          </w:p>
        </w:tc>
        <w:tc>
          <w:tcPr>
            <w:tcW w:w="7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9,744,595</w:t>
            </w:r>
          </w:p>
        </w:tc>
        <w:tc>
          <w:tcPr>
            <w:tcW w:w="8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gridSpan w:val="2"/>
          </w:tcPr>
          <w:p>
            <w:pPr>
              <w:jc w:val="center"/>
              <w:ind w:right="1040"/>
              <w:spacing w:after="0"/>
              <w:rPr>
                <w:sz w:val="20"/>
                <w:szCs w:val="20"/>
                <w:color w:val="auto"/>
              </w:rPr>
            </w:pPr>
            <w:r>
              <w:rPr>
                <w:rFonts w:ascii="Arial" w:cs="Arial" w:eastAsia="Arial" w:hAnsi="Arial"/>
                <w:sz w:val="14"/>
                <w:szCs w:val="14"/>
                <w:color w:val="auto"/>
                <w:w w:val="86"/>
              </w:rPr>
              <w:t>Products</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09/10/2015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Chemicals, Plastics and Rubber</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04/27/2016</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26,052,631</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01/18/2014</w:t>
            </w:r>
          </w:p>
        </w:tc>
        <w:tc>
          <w:tcPr>
            <w:tcW w:w="2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Home and Office Furnishings, Housewares</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2.54%</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3,844,931</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56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and Durable Consumer Products</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08/01/2014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9,829,738</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12/16/2012</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66,801</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12/16/2012</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200,404</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09/23/2014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Three Rivers Pharmaceutical, L.L.C.</w:t>
            </w:r>
          </w:p>
        </w:tc>
        <w:tc>
          <w:tcPr>
            <w:tcW w:w="10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10/22/2011</w:t>
            </w:r>
          </w:p>
        </w:tc>
        <w:tc>
          <w:tcPr>
            <w:tcW w:w="256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15.25%</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L+1,300</w:t>
            </w:r>
            <w:r>
              <w:rPr>
                <w:rFonts w:ascii="Arial" w:cs="Arial" w:eastAsia="Arial" w:hAnsi="Arial"/>
                <w:sz w:val="15"/>
                <w:szCs w:val="15"/>
                <w:color w:val="auto"/>
                <w:vertAlign w:val="superscript"/>
              </w:rPr>
              <w:t>(8)</w:t>
            </w:r>
          </w:p>
        </w:tc>
        <w:tc>
          <w:tcPr>
            <w:tcW w:w="8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25,000,000</w:t>
            </w:r>
          </w:p>
        </w:tc>
        <w:tc>
          <w:tcPr>
            <w:tcW w:w="8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21,861,968</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P+1,200</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50"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07/15/2016</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160" w:type="dxa"/>
            <w:vAlign w:val="bottom"/>
          </w:tcPr>
          <w:p>
            <w:pPr>
              <w:spacing w:after="0"/>
              <w:rPr>
                <w:sz w:val="14"/>
                <w:szCs w:val="14"/>
                <w:color w:val="auto"/>
              </w:rPr>
            </w:pP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02/07/2015</w:t>
            </w:r>
          </w:p>
        </w:tc>
        <w:tc>
          <w:tcPr>
            <w:tcW w:w="2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6.43%</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02/07/2015</w:t>
            </w:r>
          </w:p>
        </w:tc>
        <w:tc>
          <w:tcPr>
            <w:tcW w:w="25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7.39%</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11,776,589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07/29/2014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6,237,317</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6,237,317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04/30/2015</w:t>
            </w:r>
          </w:p>
        </w:tc>
        <w:tc>
          <w:tcPr>
            <w:tcW w:w="2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7.79%</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11,958,469</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040"/>
              <w:spacing w:after="0"/>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03/01/2014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Cargo Transport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2,570,357</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11/01/2017</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3,219,319</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12/15/2015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1,773,703</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10/15/2017</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Buildings and Real Estate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05/15/2015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05/15/2017</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17,039,991</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06/15/2015</w:t>
            </w:r>
          </w:p>
        </w:tc>
        <w:tc>
          <w:tcPr>
            <w:tcW w:w="2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6.05%</w:t>
            </w:r>
            <w:r>
              <w:rPr>
                <w:rFonts w:ascii="Arial" w:cs="Arial" w:eastAsia="Arial" w:hAnsi="Arial"/>
                <w:sz w:val="15"/>
                <w:szCs w:val="15"/>
                <w:color w:val="auto"/>
                <w:vertAlign w:val="superscript"/>
              </w:rPr>
              <w:t>(6)</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21,500,000</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19,211,412</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19,887,500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040"/>
              <w:spacing w:after="0"/>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Chemical, Plastics and Rubber</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06/15/2015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Financial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17,811,488</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151,611,934</w:t>
            </w:r>
          </w:p>
        </w:tc>
        <w:tc>
          <w:tcPr>
            <w:tcW w:w="160" w:type="dxa"/>
            <w:vAlign w:val="bottom"/>
          </w:tcPr>
          <w:p>
            <w:pPr>
              <w:spacing w:after="0"/>
              <w:rPr>
                <w:sz w:val="13"/>
                <w:szCs w:val="13"/>
                <w:color w:val="auto"/>
              </w:rPr>
            </w:pPr>
          </w:p>
        </w:tc>
        <w:tc>
          <w:tcPr>
            <w:tcW w:w="8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Maturity</w:t>
            </w:r>
          </w:p>
        </w:tc>
        <w:tc>
          <w:tcPr>
            <w:tcW w:w="960" w:type="dxa"/>
            <w:vAlign w:val="bottom"/>
          </w:tcPr>
          <w:p>
            <w:pPr>
              <w:spacing w:after="0"/>
              <w:rPr>
                <w:sz w:val="14"/>
                <w:szCs w:val="14"/>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4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6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Subordinated Debt/Corporate</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Notes—56.1%</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11/15/2015</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2"/>
              </w:rPr>
              <w:t>$   9,855,000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5"/>
              </w:rPr>
              <w:t>$   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12/15/2016</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11.13%</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18,885,000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04/17/2015</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8,109,468</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7,973,429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03/22/2014</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20,720,892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14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04/01/2015</w:t>
            </w:r>
          </w:p>
        </w:tc>
        <w:tc>
          <w:tcPr>
            <w:tcW w:w="24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12.50%</w:t>
            </w:r>
          </w:p>
        </w:tc>
        <w:tc>
          <w:tcPr>
            <w:tcW w:w="46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25,000,000</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24,379,843</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gridSpan w:val="2"/>
          </w:tcPr>
          <w:p>
            <w:pPr>
              <w:jc w:val="center"/>
              <w:ind w:right="1000"/>
              <w:spacing w:after="0" w:line="159" w:lineRule="exact"/>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06/06/2014</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23,283,292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06/30/2016</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3,947,368</w:t>
            </w:r>
          </w:p>
        </w:tc>
        <w:tc>
          <w:tcPr>
            <w:tcW w:w="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3,194,611</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10/15/2016</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04/15/2015</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9,055,731</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12/29/2015</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11,721,019</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11,361,858</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10/01/2016</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20,501,960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20,331,704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02/08/2015</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21,098,000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12/31/2015</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14,636,487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(9),(7)</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12/31/2012</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11,700,000</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7"/>
              </w:rPr>
              <w:t>213,271,563</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319</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318,896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797</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144,375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144,376</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4,137,240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686</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6.50%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1,312</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280" w:type="dxa"/>
            <w:vAlign w:val="bottom"/>
          </w:tcPr>
          <w:p>
            <w:pPr>
              <w:spacing w:after="0"/>
              <w:rPr>
                <w:sz w:val="14"/>
                <w:szCs w:val="14"/>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91,608</w:t>
            </w:r>
          </w:p>
        </w:tc>
        <w:tc>
          <w:tcPr>
            <w:tcW w:w="7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16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Interests—9.9%</w:t>
            </w:r>
            <w:r>
              <w:rPr>
                <w:rFonts w:ascii="Arial" w:cs="Arial" w:eastAsia="Arial" w:hAnsi="Arial"/>
                <w:sz w:val="18"/>
                <w:szCs w:val="18"/>
                <w:b w:val="1"/>
                <w:bCs w:val="1"/>
                <w:color w:val="auto"/>
                <w:vertAlign w:val="superscript"/>
              </w:rPr>
              <w:t>(7)</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Broadcasting and Entertainment</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1,627</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16,271</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387,012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5,556</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7,987,755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1,998,008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49,005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4,016,429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457,322</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 Education and</w:t>
            </w: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(Three Rivers Pharmaceutical, L.L.C.)</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7"/>
              </w:rPr>
              <w:t>Childcare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8,999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1,780,693</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1,780,693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Healthcare, Education and</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Childcare</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8,999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857,339</w:t>
            </w:r>
          </w:p>
        </w:tc>
        <w:tc>
          <w:tcPr>
            <w:tcW w:w="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857,339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Maturity</w:t>
            </w:r>
          </w:p>
        </w:tc>
        <w:tc>
          <w:tcPr>
            <w:tcW w:w="780" w:type="dxa"/>
            <w:vAlign w:val="bottom"/>
          </w:tcPr>
          <w:p>
            <w:pPr>
              <w:spacing w:after="0"/>
              <w:rPr>
                <w:sz w:val="14"/>
                <w:szCs w:val="14"/>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Coupon</w:t>
            </w:r>
          </w:p>
        </w:tc>
        <w:tc>
          <w:tcPr>
            <w:tcW w:w="6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04/27/2020</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Education</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633,308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1,055,932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2,464,999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4,350,440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340"/>
              <w:spacing w:after="0" w:line="159" w:lineRule="exact"/>
              <w:rPr>
                <w:sz w:val="20"/>
                <w:szCs w:val="20"/>
                <w:color w:val="auto"/>
              </w:rPr>
            </w:pPr>
            <w:r>
              <w:rPr>
                <w:rFonts w:ascii="Arial" w:cs="Arial" w:eastAsia="Arial" w:hAnsi="Arial"/>
                <w:sz w:val="14"/>
                <w:szCs w:val="14"/>
                <w:color w:val="auto"/>
                <w:w w:val="99"/>
              </w:rPr>
              <w:t>—</w:t>
            </w:r>
          </w:p>
        </w:tc>
        <w:tc>
          <w:tcPr>
            <w:tcW w:w="224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1,081,683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132,803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12/29/2019</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20" w:type="dxa"/>
            <w:vAlign w:val="bottom"/>
            <w:gridSpan w:val="3"/>
          </w:tcPr>
          <w:p>
            <w:pPr>
              <w:spacing w:after="0"/>
              <w:rPr>
                <w:sz w:val="20"/>
                <w:szCs w:val="20"/>
                <w:color w:val="auto"/>
              </w:rPr>
            </w:pPr>
            <w:r>
              <w:rPr>
                <w:rFonts w:ascii="Arial" w:cs="Arial" w:eastAsia="Arial" w:hAnsi="Arial"/>
                <w:sz w:val="14"/>
                <w:szCs w:val="14"/>
                <w:color w:val="auto"/>
              </w:rPr>
              <w:t>Transportation 100 Holdco, L.L.C.</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137,923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4,589,906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1,688,629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4,634,758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6"/>
              </w:rPr>
              <w:t>24,595,148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38,112,638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Investments in Non-Controlled, Non-Affiliated Portfolio Companies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631,280,755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641,290,626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Investments in Non-Controlled, Affiliated Portfolio Companies—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020" w:type="dxa"/>
            <w:vAlign w:val="bottom"/>
            <w:gridSpan w:val="3"/>
          </w:tcPr>
          <w:p>
            <w:pPr>
              <w:ind w:left="220"/>
              <w:spacing w:after="0" w:line="284" w:lineRule="exact"/>
              <w:rPr>
                <w:sz w:val="20"/>
                <w:szCs w:val="20"/>
                <w:color w:val="auto"/>
              </w:rPr>
            </w:pPr>
            <w:r>
              <w:rPr>
                <w:rFonts w:ascii="Arial" w:cs="Arial" w:eastAsia="Arial" w:hAnsi="Arial"/>
                <w:sz w:val="27"/>
                <w:szCs w:val="27"/>
                <w:b w:val="1"/>
                <w:bCs w:val="1"/>
                <w:color w:val="auto"/>
                <w:vertAlign w:val="subscript"/>
              </w:rPr>
              <w:t>4.0%</w:t>
            </w:r>
            <w:r>
              <w:rPr>
                <w:rFonts w:ascii="Arial" w:cs="Arial" w:eastAsia="Arial" w:hAnsi="Arial"/>
                <w:sz w:val="11"/>
                <w:szCs w:val="11"/>
                <w:b w:val="1"/>
                <w:bCs w:val="1"/>
                <w:color w:val="auto"/>
              </w:rPr>
              <w:t xml:space="preserve"> (1),(2)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Performance, Inc.</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6"/>
              </w:rPr>
              <w:t>01/16/2015</w:t>
            </w:r>
          </w:p>
        </w:tc>
        <w:tc>
          <w:tcPr>
            <w:tcW w:w="22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7,584,000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07/16/2015</w:t>
            </w: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5,848,176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5,677,648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5,745,832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Common Equity/Partnership</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Interest—0.5%</w:t>
            </w:r>
            <w:r>
              <w:rPr>
                <w:rFonts w:ascii="Arial" w:cs="Arial" w:eastAsia="Arial" w:hAnsi="Arial"/>
                <w:sz w:val="20"/>
                <w:szCs w:val="20"/>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3,750,000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2,103,848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Investments in Non-Controlled, Affiliated Portfolio Companies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6"/>
              </w:rPr>
              <w:t>17,427,648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15,433,680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Controlled, Affiliated Portfolio Companies—2.1%</w:t>
            </w:r>
            <w:r>
              <w:rPr>
                <w:rFonts w:ascii="Arial" w:cs="Arial" w:eastAsia="Arial" w:hAnsi="Arial"/>
                <w:sz w:val="14"/>
                <w:szCs w:val="14"/>
                <w:b w:val="1"/>
                <w:bCs w:val="1"/>
                <w:color w:val="auto"/>
                <w:vertAlign w:val="superscript"/>
              </w:rPr>
              <w:t>(1),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(2)</w:t>
            </w: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06/30/2020</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4,800,000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06/30/2020</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1,200,000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40" w:type="dxa"/>
            <w:vAlign w:val="bottom"/>
          </w:tcPr>
          <w:p>
            <w:pPr>
              <w:spacing w:after="0"/>
              <w:rPr>
                <w:sz w:val="14"/>
                <w:szCs w:val="14"/>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Coupon</w:t>
            </w:r>
          </w:p>
        </w:tc>
        <w:tc>
          <w:tcPr>
            <w:tcW w:w="240" w:type="dxa"/>
            <w:vAlign w:val="bottom"/>
          </w:tcPr>
          <w:p>
            <w:pPr>
              <w:spacing w:after="0"/>
              <w:rPr>
                <w:sz w:val="14"/>
                <w:szCs w:val="14"/>
                <w:color w:val="auto"/>
              </w:rPr>
            </w:pP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80"/>
              <w:spacing w:after="0" w:line="162" w:lineRule="exact"/>
              <w:rPr>
                <w:sz w:val="20"/>
                <w:szCs w:val="20"/>
                <w:color w:val="auto"/>
              </w:rPr>
            </w:pPr>
            <w:r>
              <w:rPr>
                <w:rFonts w:ascii="Arial" w:cs="Arial" w:eastAsia="Arial" w:hAnsi="Arial"/>
                <w:sz w:val="12"/>
                <w:szCs w:val="12"/>
                <w:b w:val="1"/>
                <w:bCs w:val="1"/>
                <w:color w:val="auto"/>
                <w:w w:val="89"/>
              </w:rPr>
              <w:t>Value</w:t>
            </w:r>
            <w:r>
              <w:rPr>
                <w:rFonts w:ascii="Arial" w:cs="Arial" w:eastAsia="Arial" w:hAnsi="Arial"/>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52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Investments—172.0%</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4"/>
              </w:rPr>
              <w:t>656,708,503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9"/>
              </w:rPr>
              <w:t>664,724,406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Equivalents—0.5%</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1,814,451</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 and Cash</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b w:val="1"/>
                <w:bCs w:val="1"/>
                <w:color w:val="auto"/>
              </w:rPr>
              <w:t>Equivalents—172.5%</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84"/>
              </w:rPr>
              <w:t>658,522,954</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89"/>
              </w:rPr>
              <w:t>666,538,857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in Excess of Other Assets—(72.5%)</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Above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14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Coupon</w:t>
            </w:r>
          </w:p>
        </w:tc>
        <w:tc>
          <w:tcPr>
            <w:tcW w:w="50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89"/>
              </w:rPr>
              <w:t>Investments in Non-Controlled, Non-Affiliated Portfolio Companies</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—150.9%</w:t>
            </w:r>
            <w:r>
              <w:rPr>
                <w:rFonts w:ascii="Arial" w:cs="Arial" w:eastAsia="Arial" w:hAnsi="Arial"/>
                <w:sz w:val="20"/>
                <w:szCs w:val="20"/>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restart"/>
          </w:tcPr>
          <w:p>
            <w:pPr>
              <w:jc w:val="right"/>
              <w:ind w:right="64"/>
              <w:spacing w:after="0"/>
              <w:rPr>
                <w:sz w:val="20"/>
                <w:szCs w:val="20"/>
                <w:color w:val="auto"/>
              </w:rPr>
            </w:pPr>
            <w:r>
              <w:rPr>
                <w:rFonts w:ascii="Arial" w:cs="Arial" w:eastAsia="Arial" w:hAnsi="Arial"/>
                <w:sz w:val="14"/>
                <w:szCs w:val="14"/>
                <w:color w:val="auto"/>
              </w:rPr>
              <w:t>P+295</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03/04/2015</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Distribution</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7.70%</w:t>
            </w:r>
          </w:p>
        </w:tc>
        <w:tc>
          <w:tcPr>
            <w:tcW w:w="760" w:type="dxa"/>
            <w:vAlign w:val="bottom"/>
            <w:gridSpan w:val="2"/>
            <w:vMerge w:val="continue"/>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$13,929,825</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w w:val="95"/>
              </w:rPr>
              <w:t>$ 11,941,660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$ 13,720,877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Burlington Coat Factory Warehouse Corp.</w:t>
            </w:r>
          </w:p>
        </w:tc>
        <w:tc>
          <w:tcPr>
            <w:tcW w:w="840" w:type="dxa"/>
            <w:vAlign w:val="bottom"/>
            <w:gridSpan w:val="3"/>
          </w:tcPr>
          <w:p>
            <w:pPr>
              <w:jc w:val="right"/>
              <w:ind w:right="140"/>
              <w:spacing w:after="0" w:line="122" w:lineRule="exact"/>
              <w:rPr>
                <w:sz w:val="20"/>
                <w:szCs w:val="20"/>
                <w:color w:val="auto"/>
              </w:rPr>
            </w:pPr>
            <w:r>
              <w:rPr>
                <w:rFonts w:ascii="Arial" w:cs="Arial" w:eastAsia="Arial" w:hAnsi="Arial"/>
                <w:sz w:val="14"/>
                <w:szCs w:val="14"/>
                <w:color w:val="auto"/>
                <w:w w:val="96"/>
              </w:rPr>
              <w:t>05/28/2013</w:t>
            </w:r>
          </w:p>
        </w:tc>
        <w:tc>
          <w:tcPr>
            <w:tcW w:w="2300" w:type="dxa"/>
            <w:vAlign w:val="bottom"/>
            <w:gridSpan w:val="3"/>
          </w:tcPr>
          <w:p>
            <w:pPr>
              <w:jc w:val="center"/>
              <w:ind w:right="60"/>
              <w:spacing w:after="0" w:line="122" w:lineRule="exact"/>
              <w:rPr>
                <w:sz w:val="20"/>
                <w:szCs w:val="20"/>
                <w:color w:val="auto"/>
              </w:rPr>
            </w:pPr>
            <w:r>
              <w:rPr>
                <w:rFonts w:ascii="Arial" w:cs="Arial" w:eastAsia="Arial" w:hAnsi="Arial"/>
                <w:sz w:val="14"/>
                <w:szCs w:val="14"/>
                <w:color w:val="auto"/>
                <w:w w:val="87"/>
              </w:rPr>
              <w:t>Retail Store</w:t>
            </w:r>
          </w:p>
        </w:tc>
        <w:tc>
          <w:tcPr>
            <w:tcW w:w="86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2.57%</w:t>
            </w:r>
          </w:p>
        </w:tc>
        <w:tc>
          <w:tcPr>
            <w:tcW w:w="760" w:type="dxa"/>
            <w:vAlign w:val="bottom"/>
            <w:gridSpan w:val="2"/>
          </w:tcPr>
          <w:p>
            <w:pPr>
              <w:jc w:val="right"/>
              <w:ind w:right="184"/>
              <w:spacing w:after="0" w:line="122"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2,837,374</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2,835,299</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2,578,464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10/01/2016</w:t>
            </w:r>
          </w:p>
        </w:tc>
        <w:tc>
          <w:tcPr>
            <w:tcW w:w="860" w:type="dxa"/>
            <w:vAlign w:val="bottom"/>
          </w:tcPr>
          <w:p>
            <w:pPr>
              <w:spacing w:after="0"/>
              <w:rPr>
                <w:sz w:val="15"/>
                <w:szCs w:val="15"/>
                <w:color w:val="auto"/>
              </w:rPr>
            </w:pPr>
          </w:p>
        </w:tc>
        <w:tc>
          <w:tcPr>
            <w:tcW w:w="1440" w:type="dxa"/>
            <w:vAlign w:val="bottom"/>
            <w:gridSpan w:val="2"/>
          </w:tcPr>
          <w:p>
            <w:pPr>
              <w:jc w:val="center"/>
              <w:ind w:right="940"/>
              <w:spacing w:after="0"/>
              <w:rPr>
                <w:sz w:val="20"/>
                <w:szCs w:val="20"/>
                <w:color w:val="auto"/>
              </w:rPr>
            </w:pPr>
            <w:r>
              <w:rPr>
                <w:rFonts w:ascii="Arial" w:cs="Arial" w:eastAsia="Arial" w:hAnsi="Arial"/>
                <w:sz w:val="14"/>
                <w:szCs w:val="14"/>
                <w:color w:val="auto"/>
                <w:w w:val="91"/>
              </w:rPr>
              <w:t>Logistics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11.63%</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7,284,525</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7,284,525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20" w:type="dxa"/>
            <w:vAlign w:val="bottom"/>
            <w:gridSpan w:val="3"/>
            <w:vMerge w:val="restart"/>
          </w:tcPr>
          <w:p>
            <w:pPr>
              <w:spacing w:after="0" w:line="122" w:lineRule="exact"/>
              <w:rPr>
                <w:sz w:val="20"/>
                <w:szCs w:val="20"/>
                <w:color w:val="auto"/>
              </w:rPr>
            </w:pPr>
            <w:r>
              <w:rPr>
                <w:rFonts w:ascii="Arial" w:cs="Arial" w:eastAsia="Arial" w:hAnsi="Arial"/>
                <w:sz w:val="14"/>
                <w:szCs w:val="14"/>
                <w:color w:val="auto"/>
              </w:rPr>
              <w:t>Chester Downs and Marina, LLC</w:t>
            </w:r>
          </w:p>
        </w:tc>
        <w:tc>
          <w:tcPr>
            <w:tcW w:w="84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color w:val="auto"/>
                <w:w w:val="96"/>
              </w:rPr>
              <w:t>07/31/2016</w:t>
            </w:r>
          </w:p>
        </w:tc>
        <w:tc>
          <w:tcPr>
            <w:tcW w:w="2300" w:type="dxa"/>
            <w:vAlign w:val="bottom"/>
            <w:gridSpan w:val="3"/>
            <w:vMerge w:val="restart"/>
          </w:tcPr>
          <w:p>
            <w:pPr>
              <w:jc w:val="center"/>
              <w:ind w:right="60"/>
              <w:spacing w:after="0" w:line="122"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vMerge w:val="restart"/>
          </w:tcPr>
          <w:p>
            <w:pPr>
              <w:jc w:val="right"/>
              <w:ind w:right="260"/>
              <w:spacing w:after="0" w:line="122" w:lineRule="exact"/>
              <w:rPr>
                <w:sz w:val="20"/>
                <w:szCs w:val="20"/>
                <w:color w:val="auto"/>
              </w:rPr>
            </w:pPr>
            <w:r>
              <w:rPr>
                <w:rFonts w:ascii="Arial" w:cs="Arial" w:eastAsia="Arial" w:hAnsi="Arial"/>
                <w:sz w:val="14"/>
                <w:szCs w:val="14"/>
                <w:color w:val="auto"/>
              </w:rPr>
              <w:t>12.38%</w:t>
            </w:r>
          </w:p>
        </w:tc>
        <w:tc>
          <w:tcPr>
            <w:tcW w:w="5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gridSpan w:val="3"/>
            <w:vMerge w:val="restart"/>
          </w:tcPr>
          <w:p>
            <w:pPr>
              <w:jc w:val="right"/>
              <w:ind w:right="60"/>
              <w:spacing w:after="0" w:line="122" w:lineRule="exact"/>
              <w:rPr>
                <w:sz w:val="20"/>
                <w:szCs w:val="20"/>
                <w:color w:val="auto"/>
              </w:rPr>
            </w:pPr>
            <w:r>
              <w:rPr>
                <w:rFonts w:ascii="Arial" w:cs="Arial" w:eastAsia="Arial" w:hAnsi="Arial"/>
                <w:sz w:val="14"/>
                <w:szCs w:val="14"/>
                <w:color w:val="auto"/>
              </w:rPr>
              <w:t>10,000,000</w:t>
            </w:r>
          </w:p>
        </w:tc>
        <w:tc>
          <w:tcPr>
            <w:tcW w:w="800" w:type="dxa"/>
            <w:vAlign w:val="bottom"/>
            <w:gridSpan w:val="4"/>
            <w:vMerge w:val="restart"/>
          </w:tcPr>
          <w:p>
            <w:pPr>
              <w:jc w:val="right"/>
              <w:spacing w:after="0" w:line="122" w:lineRule="exact"/>
              <w:rPr>
                <w:sz w:val="20"/>
                <w:szCs w:val="20"/>
                <w:color w:val="auto"/>
              </w:rPr>
            </w:pPr>
            <w:r>
              <w:rPr>
                <w:rFonts w:ascii="Arial" w:cs="Arial" w:eastAsia="Arial" w:hAnsi="Arial"/>
                <w:sz w:val="14"/>
                <w:szCs w:val="14"/>
                <w:color w:val="auto"/>
              </w:rPr>
              <w:t>9,421,220</w:t>
            </w:r>
          </w:p>
        </w:tc>
        <w:tc>
          <w:tcPr>
            <w:tcW w:w="80" w:type="dxa"/>
            <w:vAlign w:val="bottom"/>
          </w:tcPr>
          <w:p>
            <w:pPr>
              <w:spacing w:after="0"/>
              <w:rPr>
                <w:sz w:val="4"/>
                <w:szCs w:val="4"/>
                <w:color w:val="auto"/>
              </w:rPr>
            </w:pPr>
          </w:p>
        </w:tc>
        <w:tc>
          <w:tcPr>
            <w:tcW w:w="840" w:type="dxa"/>
            <w:vAlign w:val="bottom"/>
            <w:gridSpan w:val="4"/>
            <w:vMerge w:val="restart"/>
          </w:tcPr>
          <w:p>
            <w:pPr>
              <w:jc w:val="right"/>
              <w:spacing w:after="0" w:line="122" w:lineRule="exact"/>
              <w:rPr>
                <w:sz w:val="20"/>
                <w:szCs w:val="20"/>
                <w:color w:val="auto"/>
              </w:rPr>
            </w:pPr>
            <w:r>
              <w:rPr>
                <w:rFonts w:ascii="Arial" w:cs="Arial" w:eastAsia="Arial" w:hAnsi="Arial"/>
                <w:sz w:val="14"/>
                <w:szCs w:val="14"/>
                <w:color w:val="auto"/>
              </w:rPr>
              <w:t>10,050,000</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60" w:type="dxa"/>
            <w:vAlign w:val="bottom"/>
            <w:gridSpan w:val="2"/>
          </w:tcPr>
          <w:p>
            <w:pPr>
              <w:jc w:val="right"/>
              <w:ind w:right="184"/>
              <w:spacing w:after="0" w:line="68" w:lineRule="exact"/>
              <w:rPr>
                <w:sz w:val="20"/>
                <w:szCs w:val="20"/>
                <w:color w:val="auto"/>
              </w:rPr>
            </w:pPr>
            <w:r>
              <w:rPr>
                <w:rFonts w:ascii="Arial" w:cs="Arial" w:eastAsia="Arial" w:hAnsi="Arial"/>
                <w:sz w:val="7"/>
                <w:szCs w:val="7"/>
                <w:color w:val="auto"/>
              </w:rPr>
              <w:t>L+988</w:t>
            </w:r>
          </w:p>
        </w:tc>
        <w:tc>
          <w:tcPr>
            <w:tcW w:w="860" w:type="dxa"/>
            <w:vAlign w:val="bottom"/>
            <w:gridSpan w:val="3"/>
            <w:vMerge w:val="continue"/>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07/07/2012</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7"/>
              </w:rPr>
              <w:t>Environmental Services</w:t>
            </w:r>
          </w:p>
        </w:tc>
        <w:tc>
          <w:tcPr>
            <w:tcW w:w="86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11.00%</w:t>
            </w:r>
            <w:r>
              <w:rPr>
                <w:rFonts w:ascii="Arial" w:cs="Arial" w:eastAsia="Arial" w:hAnsi="Arial"/>
                <w:sz w:val="20"/>
                <w:szCs w:val="20"/>
                <w:color w:val="auto"/>
                <w:vertAlign w:val="superscript"/>
              </w:rPr>
              <w:t>(6)</w:t>
            </w:r>
          </w:p>
        </w:tc>
        <w:tc>
          <w:tcPr>
            <w:tcW w:w="760" w:type="dxa"/>
            <w:vAlign w:val="bottom"/>
            <w:gridSpan w:val="2"/>
          </w:tcPr>
          <w:p>
            <w:pPr>
              <w:jc w:val="right"/>
              <w:ind w:right="64"/>
              <w:spacing w:after="0" w:line="176" w:lineRule="exact"/>
              <w:rPr>
                <w:sz w:val="20"/>
                <w:szCs w:val="20"/>
                <w:color w:val="auto"/>
              </w:rPr>
            </w:pPr>
            <w:r>
              <w:rPr>
                <w:rFonts w:ascii="Arial" w:cs="Arial" w:eastAsia="Arial" w:hAnsi="Arial"/>
                <w:sz w:val="13"/>
                <w:szCs w:val="13"/>
                <w:color w:val="auto"/>
              </w:rPr>
              <w:t>P+775</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14,175,260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13,391,908</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12,715,207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03/08/2014</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2.49%</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8,842,500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8,842,500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6,225,120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04/15/2014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2.88%</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2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02/07/2014</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2.53%</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9,817,568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9,817,568</w:t>
            </w:r>
          </w:p>
        </w:tc>
        <w:tc>
          <w:tcPr>
            <w:tcW w:w="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4,810,608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2"/>
          </w:tcPr>
          <w:p>
            <w:pPr>
              <w:jc w:val="center"/>
              <w:ind w:right="920"/>
              <w:spacing w:after="0" w:line="159" w:lineRule="exact"/>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03/08/2014</w:t>
            </w:r>
          </w:p>
        </w:tc>
        <w:tc>
          <w:tcPr>
            <w:tcW w:w="23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7.75%</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L+475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4,434,548</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4,434,548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1,064,292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Lyondell Chemical Co.</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12/15/2009</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760" w:type="dxa"/>
            <w:vAlign w:val="bottom"/>
            <w:gridSpan w:val="2"/>
          </w:tcPr>
          <w:p>
            <w:pPr>
              <w:jc w:val="right"/>
              <w:ind w:right="64"/>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12,668,615</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12,965,067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13,169,026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Lyondell Chemical Co.</w:t>
            </w:r>
            <w:r>
              <w:rPr>
                <w:rFonts w:ascii="Arial" w:cs="Arial" w:eastAsia="Arial" w:hAnsi="Arial"/>
                <w:sz w:val="17"/>
                <w:szCs w:val="17"/>
                <w:color w:val="auto"/>
                <w:vertAlign w:val="superscript"/>
              </w:rPr>
              <w:t>(9)</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12/15/2009</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6,331,385</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6,458,897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6,581,474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w w:val="96"/>
              </w:rPr>
              <w:t>01/18/2014</w:t>
            </w:r>
          </w:p>
        </w:tc>
        <w:tc>
          <w:tcPr>
            <w:tcW w:w="230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2.55%</w:t>
            </w:r>
          </w:p>
        </w:tc>
        <w:tc>
          <w:tcPr>
            <w:tcW w:w="760" w:type="dxa"/>
            <w:vAlign w:val="bottom"/>
            <w:gridSpan w:val="2"/>
          </w:tcPr>
          <w:p>
            <w:pPr>
              <w:jc w:val="right"/>
              <w:ind w:right="184"/>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3,910,200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3,910,200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3,022,585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03/28/2014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2.31%</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1,910,204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1,910,204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1,687,346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w w:val="96"/>
              </w:rPr>
              <w:t>02/28/2013</w:t>
            </w:r>
          </w:p>
        </w:tc>
        <w:tc>
          <w:tcPr>
            <w:tcW w:w="230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2.26%</w:t>
            </w:r>
          </w:p>
        </w:tc>
        <w:tc>
          <w:tcPr>
            <w:tcW w:w="760" w:type="dxa"/>
            <w:vAlign w:val="bottom"/>
            <w:gridSpan w:val="2"/>
          </w:tcPr>
          <w:p>
            <w:pPr>
              <w:jc w:val="right"/>
              <w:ind w:right="184"/>
              <w:spacing w:after="0" w:line="138" w:lineRule="exact"/>
              <w:rPr>
                <w:sz w:val="20"/>
                <w:szCs w:val="20"/>
                <w:color w:val="auto"/>
              </w:rPr>
            </w:pPr>
            <w:r>
              <w:rPr>
                <w:rFonts w:ascii="Arial" w:cs="Arial" w:eastAsia="Arial" w:hAnsi="Arial"/>
                <w:sz w:val="14"/>
                <w:szCs w:val="14"/>
                <w:color w:val="auto"/>
              </w:rPr>
              <w:t>L+200</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6,825,000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6,829,243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6,142,500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02/01/2013</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2.73%</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4,875,000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3,568,500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03/16/2014</w:t>
            </w:r>
          </w:p>
        </w:tc>
        <w:tc>
          <w:tcPr>
            <w:tcW w:w="23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1,426,506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1,426,506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1,148,337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05/04/2014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4,886,667</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2,912,600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020" w:type="dxa"/>
            <w:vAlign w:val="bottom"/>
            <w:gridSpan w:val="3"/>
          </w:tcPr>
          <w:p>
            <w:pPr>
              <w:spacing w:after="0"/>
              <w:rPr>
                <w:sz w:val="20"/>
                <w:szCs w:val="20"/>
                <w:color w:val="auto"/>
              </w:rPr>
            </w:pPr>
            <w:r>
              <w:rPr>
                <w:rFonts w:ascii="Arial" w:cs="Arial" w:eastAsia="Arial" w:hAnsi="Arial"/>
                <w:sz w:val="14"/>
                <w:szCs w:val="14"/>
                <w:color w:val="auto"/>
              </w:rPr>
              <w:t>Rexair, L.L.C.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06/30/2010</w:t>
            </w:r>
          </w:p>
        </w:tc>
        <w:tc>
          <w:tcPr>
            <w:tcW w:w="860" w:type="dxa"/>
            <w:vAlign w:val="bottom"/>
          </w:tcPr>
          <w:p>
            <w:pPr>
              <w:spacing w:after="0"/>
              <w:rPr>
                <w:sz w:val="22"/>
                <w:szCs w:val="22"/>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color w:val="auto"/>
                <w:w w:val="89"/>
              </w:rPr>
              <w:t>Retail</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L+425</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6,695,795</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5,507,847</w:t>
            </w:r>
          </w:p>
        </w:tc>
        <w:tc>
          <w:tcPr>
            <w:tcW w:w="8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5,189,241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07/19/2013</w:t>
            </w:r>
          </w:p>
        </w:tc>
        <w:tc>
          <w:tcPr>
            <w:tcW w:w="23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Manufacturing/Basic Industry</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2,887,881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2,887,881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2,768,756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01/30/2014</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5.95%</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L+550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2,682,328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2,682,328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2,226,332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09/23/2014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760" w:type="dxa"/>
            <w:vAlign w:val="bottom"/>
            <w:gridSpan w:val="2"/>
            <w:shd w:val="clear" w:color="auto" w:fill="CCEEFF"/>
          </w:tcPr>
          <w:p>
            <w:pPr>
              <w:jc w:val="right"/>
              <w:ind w:right="64"/>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19,203,528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U.S. Xpress Enterprises,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10/12/2014</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7"/>
              </w:rPr>
              <w:t>Cargo Transportation</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4.26%</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L+400</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14,966,254</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10,315,732</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10,887,950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07/21/2012</w:t>
            </w:r>
          </w:p>
        </w:tc>
        <w:tc>
          <w:tcPr>
            <w:tcW w:w="8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920"/>
              <w:spacing w:after="0" w:line="149" w:lineRule="exact"/>
              <w:rPr>
                <w:sz w:val="20"/>
                <w:szCs w:val="20"/>
                <w:color w:val="auto"/>
              </w:rPr>
            </w:pPr>
            <w:r>
              <w:rPr>
                <w:rFonts w:ascii="Arial" w:cs="Arial" w:eastAsia="Arial" w:hAnsi="Arial"/>
                <w:sz w:val="14"/>
                <w:szCs w:val="14"/>
                <w:color w:val="auto"/>
                <w:w w:val="92"/>
              </w:rPr>
              <w:t>Printing</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9.00%</w:t>
            </w:r>
          </w:p>
        </w:tc>
        <w:tc>
          <w:tcPr>
            <w:tcW w:w="760" w:type="dxa"/>
            <w:vAlign w:val="bottom"/>
            <w:gridSpan w:val="2"/>
            <w:shd w:val="clear" w:color="auto" w:fill="CCEEFF"/>
          </w:tcPr>
          <w:p>
            <w:pPr>
              <w:jc w:val="right"/>
              <w:ind w:right="64"/>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3,177,842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3,491,250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07/15/2016</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4,857,698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5,200,000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164,863,868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150,607,490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02/07/2015</w:t>
            </w:r>
          </w:p>
        </w:tc>
        <w:tc>
          <w:tcPr>
            <w:tcW w:w="23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6.36%</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13,153,077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12,416,800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02/07/2015</w:t>
            </w:r>
          </w:p>
        </w:tc>
        <w:tc>
          <w:tcPr>
            <w:tcW w:w="23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7.44%</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11,735,965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11,364,000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96"/>
              </w:rPr>
              <w:t>04/30/2015</w:t>
            </w:r>
          </w:p>
        </w:tc>
        <w:tc>
          <w:tcPr>
            <w:tcW w:w="230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7"/>
              </w:rPr>
              <w:t>Healthcare, Education and</w:t>
            </w: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7.78%</w:t>
            </w:r>
          </w:p>
        </w:tc>
        <w:tc>
          <w:tcPr>
            <w:tcW w:w="760" w:type="dxa"/>
            <w:vAlign w:val="bottom"/>
            <w:gridSpan w:val="2"/>
            <w:shd w:val="clear" w:color="auto" w:fill="CCEEFF"/>
          </w:tcPr>
          <w:p>
            <w:pPr>
              <w:jc w:val="right"/>
              <w:ind w:right="184"/>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11,949,634</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color w:val="auto"/>
              </w:rPr>
              <w:t>Greatwide Logistics Services, L.L.C.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03/01/2014</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140"/>
              <w:spacing w:after="0" w:line="217" w:lineRule="exact"/>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60" w:type="dxa"/>
            <w:vAlign w:val="bottom"/>
            <w:gridSpan w:val="2"/>
          </w:tcPr>
          <w:p>
            <w:pPr>
              <w:jc w:val="right"/>
              <w:ind w:right="64"/>
              <w:spacing w:after="0" w:line="217" w:lineRule="exact"/>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2,309,343</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2,309,344</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2,309,344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11/04/2014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L+650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10/15/2017</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05/15/2015</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Transportation</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8.19%</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05/15/2017</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Transportation</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16,890,972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96"/>
              </w:rPr>
              <w:t>06/15/2015</w:t>
            </w:r>
          </w:p>
        </w:tc>
        <w:tc>
          <w:tcPr>
            <w:tcW w:w="230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7"/>
              </w:rPr>
              <w:t>Healthcare, Education and</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84"/>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21,500,000</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Specialized Technology Resources,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12/15/2014</w:t>
            </w:r>
          </w:p>
        </w:tc>
        <w:tc>
          <w:tcPr>
            <w:tcW w:w="230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Chemical, Plastics and Rubber</w:t>
            </w:r>
          </w:p>
        </w:tc>
        <w:tc>
          <w:tcPr>
            <w:tcW w:w="860" w:type="dxa"/>
            <w:vAlign w:val="bottom"/>
            <w:gridSpan w:val="2"/>
          </w:tcPr>
          <w:p>
            <w:pPr>
              <w:jc w:val="right"/>
              <w:ind w:right="140"/>
              <w:spacing w:after="0" w:line="217" w:lineRule="exact"/>
              <w:rPr>
                <w:sz w:val="20"/>
                <w:szCs w:val="20"/>
                <w:color w:val="auto"/>
              </w:rPr>
            </w:pPr>
            <w:r>
              <w:rPr>
                <w:rFonts w:ascii="Arial" w:cs="Arial" w:eastAsia="Arial" w:hAnsi="Arial"/>
                <w:sz w:val="14"/>
                <w:szCs w:val="14"/>
                <w:color w:val="auto"/>
              </w:rPr>
              <w:t>7.25%</w:t>
            </w:r>
            <w:r>
              <w:rPr>
                <w:rFonts w:ascii="Arial" w:cs="Arial" w:eastAsia="Arial" w:hAnsi="Arial"/>
                <w:sz w:val="22"/>
                <w:szCs w:val="22"/>
                <w:color w:val="auto"/>
                <w:vertAlign w:val="superscript"/>
              </w:rPr>
              <w:t>(6)</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22,488,166</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06/15/2015</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Financial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L+675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16,792,105</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143,571,496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126,382,167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-4819015</wp:posOffset>
            </wp:positionV>
            <wp:extent cx="724662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-4630420</wp:posOffset>
            </wp:positionV>
            <wp:extent cx="7246620" cy="946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-4441825</wp:posOffset>
            </wp:positionV>
            <wp:extent cx="7246620" cy="946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56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62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7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03/01/2012</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Consumer Products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$23,572,133</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5"/>
              </w:rPr>
              <w:t>$ 22,930,475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$ 21,497,875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04/17/2015</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7,952,769</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03/22/2014</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20,311,603</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19,875,880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20,463,940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04/01/2014</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995,610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06/06/2014</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22,653,857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22,279,800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22,880,395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05/20/2012</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Auto Sector</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19,632,400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20,060,000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12/28/2015</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Education</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10,324,976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10,190,682</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10,324,976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04/15/2015</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Buildings and Real Estate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8,921,187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5,525,000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20,197,856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20,010,210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20,652,308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Acquisitions Sub Inc.</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02/08/2015</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9"/>
              </w:rPr>
              <w:t>Oil and Gas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20,472,809</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21,420,000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153,261,822</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152,130,057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Interests—3.6%</w:t>
            </w:r>
            <w:r>
              <w:rPr>
                <w:rFonts w:ascii="Arial" w:cs="Arial" w:eastAsia="Arial" w:hAnsi="Arial"/>
                <w:sz w:val="17"/>
                <w:szCs w:val="17"/>
                <w:b w:val="1"/>
                <w:bCs w:val="1"/>
                <w:color w:val="auto"/>
                <w:vertAlign w:val="superscript"/>
              </w:rPr>
              <w:t>(7)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2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797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797,288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949,648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 (Trizetto Group, Inc.)</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28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1,410,604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640" w:type="dxa"/>
            <w:vAlign w:val="bottom"/>
            <w:gridSpan w:val="3"/>
          </w:tcPr>
          <w:p>
            <w:pPr>
              <w:spacing w:after="0"/>
              <w:rPr>
                <w:sz w:val="20"/>
                <w:szCs w:val="20"/>
                <w:color w:val="auto"/>
              </w:rPr>
            </w:pPr>
            <w:r>
              <w:rPr>
                <w:rFonts w:ascii="Arial" w:cs="Arial" w:eastAsia="Arial" w:hAnsi="Arial"/>
                <w:sz w:val="14"/>
                <w:szCs w:val="14"/>
                <w:color w:val="auto"/>
              </w:rPr>
              <w:t>UP Holdings Inc., Class A-1 (UP Acquisitions Sub Inc.)</w:t>
            </w:r>
          </w:p>
        </w:tc>
        <w:tc>
          <w:tcPr>
            <w:tcW w:w="280" w:type="dxa"/>
            <w:vAlign w:val="bottom"/>
          </w:tcPr>
          <w:p>
            <w:pPr>
              <w:spacing w:after="0"/>
              <w:rPr>
                <w:sz w:val="23"/>
                <w:szCs w:val="2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Oil and Gas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8.00%</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91,608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2,499,067</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3,094,252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319</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9,750,317</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10,934,053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Interests—4.5%</w:t>
            </w:r>
            <w:r>
              <w:rPr>
                <w:rFonts w:ascii="Arial" w:cs="Arial" w:eastAsia="Arial" w:hAnsi="Arial"/>
                <w:sz w:val="17"/>
                <w:szCs w:val="17"/>
                <w:b w:val="1"/>
                <w:bCs w:val="1"/>
                <w:color w:val="auto"/>
                <w:vertAlign w:val="superscript"/>
              </w:rPr>
              <w:t>(7)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640" w:type="dxa"/>
            <w:vAlign w:val="bottom"/>
            <w:gridSpan w:val="3"/>
          </w:tcPr>
          <w:p>
            <w:pPr>
              <w:spacing w:after="0"/>
              <w:rPr>
                <w:sz w:val="20"/>
                <w:szCs w:val="20"/>
                <w:color w:val="auto"/>
              </w:rPr>
            </w:pPr>
            <w:r>
              <w:rPr>
                <w:rFonts w:ascii="Arial" w:cs="Arial" w:eastAsia="Arial" w:hAnsi="Arial"/>
                <w:sz w:val="14"/>
                <w:szCs w:val="14"/>
                <w:color w:val="auto"/>
              </w:rPr>
              <w:t>AHC Mezzanine (Advanstar Inc.)</w:t>
            </w:r>
          </w:p>
        </w:tc>
        <w:tc>
          <w:tcPr>
            <w:tcW w:w="280" w:type="dxa"/>
            <w:vAlign w:val="bottom"/>
          </w:tcPr>
          <w:p>
            <w:pPr>
              <w:spacing w:after="0"/>
              <w:rPr>
                <w:sz w:val="22"/>
                <w:szCs w:val="2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Other Media</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3,005,163</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215,547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5,556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3,200,000</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6,696,281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457,322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8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8"/>
              </w:rPr>
              <w:t>Cargo Transport</w:t>
            </w:r>
          </w:p>
        </w:tc>
        <w:tc>
          <w:tcPr>
            <w:tcW w:w="8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106,299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1,779,455</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2,391,463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Oil and Gas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91,608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916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1,656,350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Inc. (Advanstar, Inc.) (Warrant)</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11/06/2018</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8,462,302</w:t>
            </w: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13,590,568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479,909,805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453,644,335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Companies—5.4%</w:t>
            </w:r>
            <w:r>
              <w:rPr>
                <w:rFonts w:ascii="Arial" w:cs="Arial" w:eastAsia="Arial" w:hAnsi="Arial"/>
                <w:sz w:val="18"/>
                <w:szCs w:val="18"/>
                <w:b w:val="1"/>
                <w:bCs w:val="1"/>
                <w:color w:val="auto"/>
                <w:vertAlign w:val="superscript"/>
              </w:rPr>
              <w:t>(1),(2)</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100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07/02/2014</w:t>
            </w:r>
          </w:p>
        </w:tc>
        <w:tc>
          <w:tcPr>
            <w:tcW w:w="16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Leisure, Amusement,</w:t>
            </w:r>
          </w:p>
        </w:tc>
        <w:tc>
          <w:tcPr>
            <w:tcW w:w="840" w:type="dxa"/>
            <w:vAlign w:val="bottom"/>
            <w:gridSpan w:val="2"/>
          </w:tcPr>
          <w:p>
            <w:pPr>
              <w:jc w:val="right"/>
              <w:ind w:right="12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62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5,077,822</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4,878,081</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4,988,960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Motion Pictures,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9"/>
              </w:rPr>
              <w:t>Entertainment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100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07/02/2013</w:t>
            </w:r>
          </w:p>
        </w:tc>
        <w:tc>
          <w:tcPr>
            <w:tcW w:w="16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Leisure, Amusement,</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6.24%</w:t>
            </w:r>
          </w:p>
        </w:tc>
        <w:tc>
          <w:tcPr>
            <w:tcW w:w="6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8,750,000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8,750,000</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8,019,375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Motion Pictures,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9"/>
              </w:rPr>
              <w:t>Entertainment</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4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Industry</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Coupon</w:t>
            </w:r>
          </w:p>
        </w:tc>
        <w:tc>
          <w:tcPr>
            <w:tcW w:w="240" w:type="dxa"/>
            <w:vAlign w:val="bottom"/>
          </w:tcPr>
          <w:p>
            <w:pPr>
              <w:spacing w:after="0"/>
              <w:rPr>
                <w:sz w:val="14"/>
                <w:szCs w:val="14"/>
                <w:color w:val="auto"/>
              </w:rPr>
            </w:pP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Shares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6"/>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26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Interest—1.0%</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1"/>
                <w:szCs w:val="11"/>
                <w:color w:val="auto"/>
              </w:rPr>
            </w:pPr>
          </w:p>
        </w:tc>
        <w:tc>
          <w:tcPr>
            <w:tcW w:w="900" w:type="dxa"/>
            <w:vAlign w:val="bottom"/>
            <w:gridSpan w:val="2"/>
          </w:tcPr>
          <w:p>
            <w:pPr>
              <w:jc w:val="center"/>
              <w:ind w:right="360"/>
              <w:spacing w:after="0" w:line="138" w:lineRule="exact"/>
              <w:rPr>
                <w:sz w:val="20"/>
                <w:szCs w:val="20"/>
                <w:color w:val="auto"/>
              </w:rPr>
            </w:pPr>
            <w:r>
              <w:rPr>
                <w:rFonts w:ascii="Arial" w:cs="Arial" w:eastAsia="Arial" w:hAnsi="Arial"/>
                <w:sz w:val="14"/>
                <w:szCs w:val="14"/>
                <w:color w:val="auto"/>
                <w:w w:val="84"/>
              </w:rPr>
              <w:t>Leisure,</w:t>
            </w:r>
          </w:p>
        </w:tc>
        <w:tc>
          <w:tcPr>
            <w:tcW w:w="48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Pr>
          <w:p>
            <w:pPr>
              <w:ind w:left="28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$37,500</w:t>
            </w:r>
          </w:p>
        </w:tc>
        <w:tc>
          <w:tcPr>
            <w:tcW w:w="10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   3,750,000</w:t>
            </w:r>
          </w:p>
        </w:tc>
        <w:tc>
          <w:tcPr>
            <w:tcW w:w="10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   3,107,403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Amusement,</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Motion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4"/>
              </w:rPr>
              <w:t>Pictures,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17,378,081</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16,115,738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Investments—156.3%</w:t>
            </w: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497,287,886</w:t>
            </w:r>
          </w:p>
        </w:tc>
        <w:tc>
          <w:tcPr>
            <w:tcW w:w="240" w:type="dxa"/>
            <w:vAlign w:val="bottom"/>
          </w:tcPr>
          <w:p>
            <w:pPr>
              <w:spacing w:after="0"/>
              <w:rPr>
                <w:sz w:val="23"/>
                <w:szCs w:val="23"/>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469,760,073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Equivalents—11.1%</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Equivalents—167.4%</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530,535,552</w:t>
            </w:r>
          </w:p>
        </w:tc>
        <w:tc>
          <w:tcPr>
            <w:tcW w:w="10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503,007,739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Assets—(67.4%)</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300,580,268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663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(“BDC”), under the Investment Company Act of 1940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We are externally managed by PennantPark Investment Advisers, LLC (the “Investment Adviser” or “PennantPark Investment Advisers”). PennantPark Investment Administration, LLC (the “Administrator” or “PennantPark Investment Administration”) provides the administrative services necessary for us to operate.</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SBIC LP (the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Both SBIC LP and SBIC GP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 See Note 13 for subsequent events regarding SBIC LP.</w:t>
      </w:r>
    </w:p>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PennantPark Investment completed its initial public offering of common stock in 2007 and issued 21.0 million shares raising $294.1 million in net proceeds. For the year ended September 30, 2009, we sold 4.3 million shares of common stock through a follow-on public offering at a price less than the then current net asset value, resulting in net proceeds of $32.5 million. For the year ended September 30, 2010, we sold 10.8 million shares of common stock through follow-on public offerings at a price less than the then current net asset value, resulting in net proceeds of $101.7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Certain prior period amounts have been reclassified to conform to current period presentation. All intercompany balances and transactions have been eliminated. References to the Accounting Standards Codification (“ASC”), serve as a single source of accounting literature and are not intended to change accounting literature. Subsequent events are evaluated and disclosed as appropriate for events occurring subsequently through the date the consolidated financial statements are issued.</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are prepared in accordance with GAAP and pursuant to the requirements for reporting on Form 10-K and Article 6 or 10 of Regulation S-X, as appropriate. In accordance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with Article 6-09 of Regulation S-X under the Exchange Act, we are providing a Consolidated Statement of Changes in Net Assets in lieu of a Consolidated Statement of Changes in Stockholders’ Equity.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and its Subsidiaries are:</w:t>
      </w:r>
    </w:p>
    <w:p>
      <w:pPr>
        <w:spacing w:after="0" w:line="90"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Since May 1, 2007, PennantPark Investment has complied with the requirements of Subchapter M of the Internal Revenue Code of 1986, as amended, (the “Code”) and expects to be subject to tax as a regulated investment company (“RIC”). As a RIC,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pay an excise tax of $0.1 million for the fiscal year ended September 30, 2010.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109"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distributions are determined in accordance with income tax regulations that may differ from accounting principles generally accepted in the United States of America. See Note 8 to the consolidated financial statements.</w:t>
      </w:r>
    </w:p>
    <w:p>
      <w:pPr>
        <w:spacing w:after="0" w:line="254" w:lineRule="exact"/>
        <w:rPr>
          <w:sz w:val="20"/>
          <w:szCs w:val="20"/>
          <w:color w:val="auto"/>
        </w:rPr>
      </w:pPr>
    </w:p>
    <w:p>
      <w:pPr>
        <w:ind w:left="1480" w:hanging="479"/>
        <w:spacing w:after="0"/>
        <w:tabs>
          <w:tab w:leader="none" w:pos="14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72" w:lineRule="exact"/>
        <w:rPr>
          <w:sz w:val="20"/>
          <w:szCs w:val="20"/>
          <w:color w:val="auto"/>
        </w:rPr>
      </w:pPr>
    </w:p>
    <w:p>
      <w:pPr>
        <w:ind w:left="1480" w:hanging="567"/>
        <w:spacing w:after="0"/>
        <w:tabs>
          <w:tab w:leader="none" w:pos="14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147" w:lineRule="exact"/>
        <w:rPr>
          <w:sz w:val="20"/>
          <w:szCs w:val="20"/>
          <w:color w:val="auto"/>
        </w:rPr>
      </w:pPr>
    </w:p>
    <w:p>
      <w:pPr>
        <w:ind w:left="1480" w:hanging="567"/>
        <w:spacing w:after="0"/>
        <w:tabs>
          <w:tab w:leader="none" w:pos="148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2010, the FASB issued ASU 2010-06, Fair Value Measurements and Disclosures, to clarify and amend ASC 820-10. In particular, it requires additional disclosures with regards to transfers into and out of Levels 1 and 2. It also requires that entities disclose on a gross basis purchases, sales, issuances, and settlements within the Level 3 fair value roll-forward. ASU 2010-06 also clarifies existing fair value disclosures about the level of disaggregation as well as inputs and valuation techniques for both recurring and nonrecurring fair value measurements that fall into Level 2 or 3. The new disclosures and clarifications of existing disclosures are effective for interim and annual reporting periods beginning after December 15, 2009, except for the disclosures about purchases, sales and settlements in the roll-forward of activity in Level 3 fair value measurements, which are effective for fiscal years beginning after December 15, 2010, and for interim periods within those fiscal years. The adoption of the additional disclosure requirements of ASU 2010-06 did not materially impact our consolidated financial statements. The disclosures regarding the disaggregation of purchases, sales and settlements in the roll-forward of activity in Level 3 fair value measurements is not expected to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PennantPark Investment, through the Investment Adviser, manages day-to-day operations of and provides investment advisory services to SBIC LP under its investment management agreement. The SBIC LP investment management agreement does not affect the management or incentive fees of PennantPark Investment. For providing these services, the Investment Adviser receives a fee from PennantPark Investment, consisting of two components—a base management fee and an incentive fee (collectively, “Management Fees”).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base management fee is calculated at an annual rate of 2.00% on PennantPark Investment’s gross assets (net of U.S. Treasury Bills and/or temporary draws on the credit facility or “average adjusted gross assets”, if any, see Note 11). Although the base management fee is 2.00% of our average adjusted gross assets,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w:t>
      </w:r>
    </w:p>
    <w:p>
      <w:pPr>
        <w:ind w:right="40"/>
        <w:spacing w:after="0" w:line="254" w:lineRule="auto"/>
        <w:rPr>
          <w:sz w:val="20"/>
          <w:szCs w:val="20"/>
          <w:color w:val="auto"/>
        </w:rPr>
      </w:pPr>
      <w:r>
        <w:rPr>
          <w:rFonts w:ascii="Arial" w:cs="Arial" w:eastAsia="Arial" w:hAnsi="Arial"/>
          <w:sz w:val="18"/>
          <w:szCs w:val="18"/>
          <w:color w:val="auto"/>
        </w:rPr>
        <w:t>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2010, 2009 and 2008, the Investment Adviser earned a net base management fee of $11.6 million, $7.7 million and $6.7 million, respectively, from us.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2010, 2009 and 2008, the Investment Adviser received an incentive fee of $8.0 million, $5.7 million and $3.8 million, respectively, from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has also entered into an Administration Agreement with the Administrator, which was reapproved by our board of directors including a majority of our directors who are not interested persons of PennantPark Investment in February 2010. Under this agreement PennantPark Investment Administration provides administrative services for PennantPark Investment. PennantPark Investment, through the 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statement of operations. For the fiscal years ended September 30, 2010, 2009 and 2008, the Investment Adviser and Administrator, collectively, were reimbursed $2.1 million, $1.7 million and $2.0 million, respectively, from us, including expenses it incurred on behalf of the Administrator, for services described above.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 ended September 30, 2010, the PennantPark Investment was reimbursed $0.1 million,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2010, 2009 and 2008 totaled $315.8 million, $117.4 million and $209.2 million, respectively. Sales and repayments of long-term investments for the fiscal years ended September 30, 2010, 2009 and 2008 totaled $145.2 million, $28.0 million and $70.1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2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$ 236,707,418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$ 234,595,683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164,863,868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150,607,490</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159,611,934</w:t>
            </w:r>
          </w:p>
        </w:tc>
        <w:tc>
          <w:tcPr>
            <w:tcW w:w="1040" w:type="dxa"/>
            <w:vAlign w:val="bottom"/>
          </w:tcPr>
          <w:p>
            <w:pPr>
              <w:jc w:val="right"/>
              <w:spacing w:after="0"/>
              <w:rPr>
                <w:sz w:val="20"/>
                <w:szCs w:val="20"/>
                <w:color w:val="auto"/>
              </w:rPr>
            </w:pPr>
            <w:r>
              <w:rPr>
                <w:rFonts w:ascii="Arial" w:cs="Arial" w:eastAsia="Arial" w:hAnsi="Arial"/>
                <w:sz w:val="18"/>
                <w:szCs w:val="18"/>
                <w:color w:val="auto"/>
              </w:rPr>
              <w:t>156,671,151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152,321,496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134,401,542</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220,149,211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223,969,304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158,139,903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157,119,017</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11,894,692</w:t>
            </w:r>
          </w:p>
        </w:tc>
        <w:tc>
          <w:tcPr>
            <w:tcW w:w="1040" w:type="dxa"/>
            <w:vAlign w:val="bottom"/>
          </w:tcPr>
          <w:p>
            <w:pPr>
              <w:jc w:val="right"/>
              <w:spacing w:after="0"/>
              <w:rPr>
                <w:sz w:val="20"/>
                <w:szCs w:val="20"/>
                <w:color w:val="auto"/>
              </w:rPr>
            </w:pPr>
            <w:r>
              <w:rPr>
                <w:rFonts w:ascii="Arial" w:cs="Arial" w:eastAsia="Arial" w:hAnsi="Arial"/>
                <w:sz w:val="18"/>
                <w:szCs w:val="18"/>
                <w:color w:val="auto"/>
              </w:rPr>
              <w:t>9,271,682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9,750,317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10,934,053</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28,345,248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12,212,302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16,697,971</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$ 658,522,954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$ 666,538,857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530,535,552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503,007,739</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2010 and September 30,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3"/>
            <w:vMerge w:val="continue"/>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2010</w:t>
            </w:r>
          </w:p>
        </w:tc>
        <w:tc>
          <w:tcPr>
            <w:tcW w:w="880" w:type="dxa"/>
            <w:vAlign w:val="bottom"/>
          </w:tcPr>
          <w:p>
            <w:pPr>
              <w:spacing w:after="0"/>
              <w:rPr>
                <w:sz w:val="12"/>
                <w:szCs w:val="12"/>
                <w:color w:val="auto"/>
              </w:rPr>
            </w:pPr>
          </w:p>
        </w:tc>
        <w:tc>
          <w:tcPr>
            <w:tcW w:w="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20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8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w w:val="79"/>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8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w w:val="79"/>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80" w:type="dxa"/>
            <w:vAlign w:val="bottom"/>
            <w:gridSpan w:val="3"/>
          </w:tcPr>
          <w:p>
            <w:pPr>
              <w:jc w:val="right"/>
              <w:ind w:right="3492"/>
              <w:spacing w:after="0"/>
              <w:rPr>
                <w:sz w:val="20"/>
                <w:szCs w:val="20"/>
                <w:color w:val="auto"/>
              </w:rPr>
            </w:pPr>
            <w:r>
              <w:rPr>
                <w:rFonts w:ascii="Arial" w:cs="Arial" w:eastAsia="Arial" w:hAnsi="Arial"/>
                <w:sz w:val="18"/>
                <w:szCs w:val="18"/>
                <w:color w:val="auto"/>
              </w:rPr>
              <w:t>F-21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88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260" w:type="dxa"/>
            <w:vAlign w:val="bottom"/>
            <w:tcBorders>
              <w:right w:val="single" w:sz="8" w:color="CCEEFF"/>
            </w:tcBorders>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Diversified/Conglomerate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Grocery</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26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60" w:type="dxa"/>
            <w:vAlign w:val="bottom"/>
            <w:tcBorders>
              <w:right w:val="single" w:sz="8" w:color="CCEEFF"/>
            </w:tcBorders>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right w:val="single" w:sz="8" w:color="CCEEFF"/>
            </w:tcBorders>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October 1, 2008, we adopted ASC 820, Fair Value Measurements for all financial instruments.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At September 30, 2010 and 2009,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8"/>
              </w:rPr>
              <w:t>Fair Value Measurements using at September 30, 2010</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$ 615,236,138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$ 615,236,138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49,488,268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4,350,440</w:t>
            </w: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45,137,828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4,350,440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1,814,451</w:t>
            </w: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666,538,857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6,164,891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3"/>
            <w:vMerge w:val="continue"/>
          </w:tcPr>
          <w:p>
            <w:pPr>
              <w:spacing w:after="0"/>
              <w:rPr>
                <w:sz w:val="18"/>
                <w:szCs w:val="18"/>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(213,941,125)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(213,941,125)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8"/>
              </w:rPr>
              <w:t>Fair Value Measurements using at September 30, 2009</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$ 442,128,049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469,760,073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33,247,666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33,247,666</w:t>
            </w: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33,247,666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3"/>
            <w:vMerge w:val="continue"/>
          </w:tcPr>
          <w:p>
            <w:pPr>
              <w:spacing w:after="0"/>
              <w:rPr>
                <w:sz w:val="18"/>
                <w:szCs w:val="18"/>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F-23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September 30, 2010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Loan and debt</w:t>
            </w:r>
          </w:p>
        </w:tc>
        <w:tc>
          <w:tcPr>
            <w:tcW w:w="480" w:type="dxa"/>
            <w:vAlign w:val="bottom"/>
          </w:tcPr>
          <w:p>
            <w:pPr>
              <w:spacing w:after="0"/>
              <w:rPr>
                <w:sz w:val="11"/>
                <w:szCs w:val="11"/>
                <w:color w:val="auto"/>
              </w:rPr>
            </w:pPr>
          </w:p>
        </w:tc>
        <w:tc>
          <w:tcPr>
            <w:tcW w:w="14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investments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442,128,049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$ 27,632,024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(12,411,934)</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(3,005,163)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31,964,795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1,693,480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304,625,814</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12,984,260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317,610,074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(138,765,449)</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(6,922)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(138,772,371)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Non-cash exchanges, including settled delayed draws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(12,305,137)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5,840,149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(6,464,988)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3"/>
          </w:tcPr>
          <w:p>
            <w:pPr>
              <w:spacing w:after="0"/>
              <w:rPr>
                <w:sz w:val="20"/>
                <w:szCs w:val="20"/>
                <w:color w:val="auto"/>
              </w:rPr>
            </w:pPr>
            <w:r>
              <w:rPr>
                <w:rFonts w:ascii="Arial" w:cs="Arial" w:eastAsia="Arial" w:hAnsi="Arial"/>
                <w:sz w:val="18"/>
                <w:szCs w:val="18"/>
                <w:color w:val="auto"/>
              </w:rPr>
              <w:t>Ending Balance, September 30, 2010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615,236,138</w:t>
            </w: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45,137,828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660,373,966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Net change in unrealized appreciation (depreciation) for the period above within the net change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unrealized appreciation on investments in our consolidated statement of operations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15,408,002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(1,311,683)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September 30, 2009</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Loan and debt</w:t>
            </w:r>
          </w:p>
        </w:tc>
        <w:tc>
          <w:tcPr>
            <w:tcW w:w="48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349,260,104</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$ 22,887,716</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4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2,489,868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118,059,327</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2,254,440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(27,956,008)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442,128,049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$ 27,632,024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469,760,073</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w w:val="95"/>
              </w:rPr>
              <w:t>Net change in unrealized depreciation for the period above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w w:val="94"/>
              </w:rPr>
              <w:t>depreciation on investments in our statement of operations attributable to our Level 3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30,141,081</w:t>
            </w: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2,489,868</w:t>
            </w:r>
          </w:p>
        </w:tc>
        <w:tc>
          <w:tcPr>
            <w:tcW w:w="5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20"/>
              <w:spacing w:after="0"/>
              <w:rPr>
                <w:sz w:val="20"/>
                <w:szCs w:val="20"/>
                <w:color w:val="auto"/>
              </w:rPr>
            </w:pPr>
            <w:r>
              <w:rPr>
                <w:rFonts w:ascii="Arial" w:cs="Arial" w:eastAsia="Arial" w:hAnsi="Arial"/>
                <w:sz w:val="18"/>
                <w:szCs w:val="18"/>
                <w:color w:val="auto"/>
              </w:rPr>
              <w:t>F-24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2010 and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(Cost—$218,100,000)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168,475,380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35,665,745</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177,700,000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(167,900,000)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Ending balance of long-term credit facility at fair value,</w:t>
            </w:r>
          </w:p>
        </w:tc>
        <w:tc>
          <w:tcPr>
            <w:tcW w:w="1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(Cost—$227,900,000)</w:t>
            </w:r>
          </w:p>
        </w:tc>
        <w:tc>
          <w:tcPr>
            <w:tcW w:w="1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213,941,125</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Temporary draw outstanding, at cost</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00" w:type="dxa"/>
            <w:vAlign w:val="bottom"/>
            <w:shd w:val="clear" w:color="auto" w:fill="CCEEFF"/>
          </w:tcPr>
          <w:p>
            <w:pPr>
              <w:spacing w:after="0"/>
              <w:rPr>
                <w:sz w:val="18"/>
                <w:szCs w:val="18"/>
                <w:color w:val="auto"/>
              </w:rPr>
            </w:pPr>
          </w:p>
        </w:tc>
      </w:tr>
      <w:tr>
        <w:trPr>
          <w:trHeight w:val="221"/>
        </w:trPr>
        <w:tc>
          <w:tcPr>
            <w:tcW w:w="9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219,141,125</w:t>
            </w: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(Cost—$162,000,000)</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162,000,000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(41,796,000)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108,200,000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(52,100,000)</w:t>
            </w:r>
          </w:p>
        </w:tc>
      </w:tr>
      <w:tr>
        <w:trPr>
          <w:trHeight w:val="223"/>
        </w:trPr>
        <w:tc>
          <w:tcPr>
            <w:tcW w:w="920" w:type="dxa"/>
            <w:vAlign w:val="bottom"/>
          </w:tcPr>
          <w:p>
            <w:pPr>
              <w:spacing w:after="0"/>
              <w:rPr>
                <w:sz w:val="19"/>
                <w:szCs w:val="19"/>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Transfers in and/or out of Level 3</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long-term credit facility at fair value,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(Cost—$218,100,000)</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168,475,380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Temporary draw outstanding, at cost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credit facility, September 30, 2009 (Cost—$225,100,000)</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175,475,380</w:t>
            </w:r>
          </w:p>
        </w:tc>
      </w:tr>
      <w:tr>
        <w:trPr>
          <w:trHeight w:val="20"/>
        </w:trPr>
        <w:tc>
          <w:tcPr>
            <w:tcW w:w="9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liabilities approximates fair value. Effective October 1, 2008,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including the SBA debentures. For the years ended September 30, 2010 and 2009, our credit facility had a net change in unrealized (appreciation) depreciation of $(35.7) million and $7.8 million, respectively. As of September 30, 2010 and 2009, net unrealized depreciation on our long-term credit facility totaled $13.9 million and $49.6 million, respectively, which included the cumulative effect of adoption of ASC 825-10 on our credit facility of $41.8 million. PennantPark Investment uses a nationally recognized independent valuation services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affiliated company is a company in which the PennantPark Investment has ownership of 5% or more of the portfolio company’s voting securities. Advances to and distributions from affiliates are included in the consolidated statement of cash flows purchases and sales. Transactions with affiliates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 of Investment</w:t>
            </w:r>
          </w:p>
        </w:tc>
        <w:tc>
          <w:tcPr>
            <w:tcW w:w="16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affiliates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from affiliates</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Received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$8,000,100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16,115,738</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750,000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1,313,772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Controlled and</w:t>
            </w:r>
          </w:p>
        </w:tc>
        <w:tc>
          <w:tcPr>
            <w:tcW w:w="1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Affiliates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16,115,738</w:t>
            </w:r>
          </w:p>
        </w:tc>
        <w:tc>
          <w:tcPr>
            <w:tcW w:w="1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8,000,100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750,000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1,523,772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23,433,780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Years ended September 30,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16,535,491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35,802,029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(40,702,939)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21,092,334*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increase (decrease) in net assets per share resulting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 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2010 and 2009:</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(98,294)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98,294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September 30, 2010 and 2009, the cost of investments for federal income tax purposes was $659.4 million and $497.3 million, respectively, resulting in a gross unrealized appreciation of $28.8 million and $19.4 million, respectively, and depreciation of $23.5 million and $46.9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16,535,491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35,802,029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realized loss on investments not taxable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15,417,097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5"/>
              </w:rPr>
              <w:t>39,243,879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 (depreciation) on investments and credit facility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(52,326,993)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temporary book-to-tax differences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(305,849)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460"/>
              <w:spacing w:after="0"/>
              <w:rPr>
                <w:sz w:val="20"/>
                <w:szCs w:val="20"/>
                <w:color w:val="auto"/>
              </w:rPr>
            </w:pPr>
            <w:r>
              <w:rPr>
                <w:rFonts w:ascii="Arial" w:cs="Arial" w:eastAsia="Arial" w:hAnsi="Arial"/>
                <w:sz w:val="18"/>
                <w:szCs w:val="18"/>
                <w:color w:val="auto"/>
              </w:rPr>
              <w:t>Taxable income before deductions for distributions</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31,752,812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23,546,442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780" w:type="dxa"/>
            <w:vAlign w:val="bottom"/>
            <w:gridSpan w:val="9"/>
          </w:tcPr>
          <w:p>
            <w:pPr>
              <w:ind w:left="460"/>
              <w:spacing w:after="0"/>
              <w:rPr>
                <w:sz w:val="20"/>
                <w:szCs w:val="20"/>
                <w:color w:val="auto"/>
              </w:rPr>
            </w:pPr>
            <w:r>
              <w:rPr>
                <w:rFonts w:ascii="Arial" w:cs="Arial" w:eastAsia="Arial" w:hAnsi="Arial"/>
                <w:sz w:val="18"/>
                <w:szCs w:val="18"/>
                <w:color w:val="auto"/>
                <w:w w:val="93"/>
              </w:rPr>
              <w:t>The components of accumulated losses on tax basis and reconciliation to accumulated losses on a book basis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11,451,782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undistributed net earnings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11,451,782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4"/>
              </w:rPr>
              <w:t>(54,591,911)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(11,250,568)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(8,645,354)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(39,331,872)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(9,651,137)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(5,638,469)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19,300,499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22,096,807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deficit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4"/>
              </w:rPr>
              <w:t>(42,136,121)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(26,505,872)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of September 30, 2010, the capital loss carry forward of $54.6 million expires, if not utilized against future capital gains, as follows: $0.2 million in 2016, $11.0 million in 2017 and $43.3 million expires in 2018.</w:t>
      </w:r>
    </w:p>
    <w:p>
      <w:pPr>
        <w:ind w:left="460" w:hanging="452"/>
        <w:spacing w:after="0"/>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18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2010 and 2009 were solely from ordinary income, and totaled $32.3 million or $1.09 per share, and $20.2 million or $0.96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 funds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 As of September 30, 2010, cash equivalents consisted of $1.8 million in money market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11.99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1"/>
                <w:szCs w:val="11"/>
                <w:color w:val="auto"/>
              </w:rPr>
              <w:t>(2)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0.62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(0.96)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2"/>
            <w:vMerge w:val="continue"/>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11.85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r>
              <w:rPr>
                <w:rFonts w:ascii="Arial" w:cs="Arial" w:eastAsia="Arial" w:hAnsi="Arial"/>
                <w:sz w:val="18"/>
                <w:szCs w:val="18"/>
                <w:color w:val="auto"/>
              </w:rPr>
              <w:t xml:space="preserve"> *</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25,368,772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operating expenses to average net assets</w:t>
            </w:r>
            <w:r>
              <w:rPr>
                <w:rFonts w:ascii="Arial" w:cs="Arial" w:eastAsia="Arial" w:hAnsi="Arial"/>
                <w:sz w:val="11"/>
                <w:szCs w:val="11"/>
                <w:color w:val="auto"/>
                <w:w w:val="98"/>
              </w:rPr>
              <w:t>(5)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Ratio of credit facility related expenses to average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Ratio of net investment income to average net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300,580,268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182,490,685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8.65</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Not annualized for a period of less than a year.</w:t>
      </w:r>
    </w:p>
    <w:p>
      <w:pPr>
        <w:spacing w:after="0" w:line="15" w:lineRule="exact"/>
        <w:rPr>
          <w:sz w:val="20"/>
          <w:szCs w:val="20"/>
          <w:color w:val="auto"/>
        </w:rPr>
      </w:pPr>
    </w:p>
    <w:p>
      <w:pPr>
        <w:ind w:left="460" w:right="400" w:hanging="452"/>
        <w:spacing w:after="0" w:line="300" w:lineRule="auto"/>
        <w:tabs>
          <w:tab w:leader="none" w:pos="4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and may differ from amounts determined under U.S. generally accepted accounting principles.</w:t>
      </w:r>
    </w:p>
    <w:p>
      <w:pPr>
        <w:ind w:left="460" w:right="20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46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2010 and 2009, the ratios were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2010 and 2009, the ratios were 9.15% and 11.75%.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3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2010 and 2009, there was $233.1 million and $225.1 million in outstanding borrowings under the credit facility (including a $5.2 million and a $7.0 million temporary draw), with a weighted average interest rate at the time of 1.34% and 1.31% exclusive of the fee on undrawn commitment of 0.20%,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million at any one time outstanding. The credit facility is a five-year revolving facility (with a stated maturity date of June 25, 2012) and pricing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basis points over LIBOR. The credit facility contains customary affirmative and negative covenants, including the maintenance of a minimum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equity, the maintenance of a ratio not less than 200% of total assets (less total liabilities other than indebtedness) to total indebtedness, and restrictions on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payments and issuance of debt. For a complete list of such covenants, see our report on Form 8-K, filed June 28, 2007 and on Form 10-Q, filed May 5, 2010.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September 30, 2010, we were in compliance with our covenants relating to our credit facility.</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that is paid-in, subject to customary regulatory requirements including but not limited to an examination by the SBA. 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August 5, 2010, SBIC LP received a SBA debenture commitment of $33.5 million. As of September 30, 2010, $14.5 million of the $33.5 million debt commitment was drawn with a weighted average interest rate of 0.93% exclusive of the 3.43% in upfront fees. Of the $14.5 million of SBA debentures outstanding, $0.5 million is fixed for 10-years with a rate of 3.50% (inclusive of the SBA annual fee) and $14.0 million is temporary financing currently bearing a rate of 0.84% that will reset to a market-driven rate in March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required capitalization thresholds and is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 owned subsidiary. As of September 30, 2010, SBIC LP was in compliance with our requirements relating to our SBA debentures.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 See Note 13 for subsequent events.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of the covenants we made when we entered into, including the ratio of total assets to total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 and subordinated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4, 2010, SBIC LP received a debt commitment from the SBA for an additional $66.5 million bringing its total debt commitment from the SBA to $100.0 million. Subsequent to September 30, 2010, SBIC LP completed its SBA examination in order to gain access to the full SBA commitment subject to customary regulatory requirements.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503555</wp:posOffset>
            </wp:positionV>
            <wp:extent cx="2470150" cy="523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7,500,000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422910</wp:posOffset>
            </wp:positionV>
            <wp:extent cx="34048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198755</wp:posOffset>
            </wp:positionV>
            <wp:extent cx="34048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1158875</wp:posOffset>
            </wp:positionV>
            <wp:extent cx="15176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8"/>
          <w:szCs w:val="18"/>
          <w:b w:val="1"/>
          <w:bCs w:val="1"/>
          <w:color w:val="auto"/>
        </w:rPr>
        <w:t>February</w:t>
        <w:tab/>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1)"/>
      <w:numFmt w:val="decimal"/>
      <w:start w:val="1"/>
    </w:lvl>
  </w:abstractNum>
  <w:abstractNum w:abstractNumId="4">
    <w:nsid w:val="1DBABF00"/>
    <w:multiLevelType w:val="hybridMultilevel"/>
    <w:lvl w:ilvl="0">
      <w:lvlJc w:val="left"/>
      <w:lvlText w:val="(%1)"/>
      <w:numFmt w:val="decimal"/>
      <w:start w:val="7"/>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decimal"/>
      <w:start w:val="1"/>
    </w:lvl>
    <w:lvl w:ilvl="1">
      <w:lvlJc w:val="left"/>
      <w:lvlText w:val="*"/>
      <w:numFmt w:val="bullet"/>
      <w:start w:val="1"/>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1)"/>
      <w:numFmt w:val="decimal"/>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1)"/>
      <w:numFmt w:val="decimal"/>
      <w:start w:val="1"/>
    </w:lvl>
  </w:abstractNum>
  <w:abstractNum w:abstractNumId="13">
    <w:nsid w:val="98A3148"/>
    <w:multiLevelType w:val="hybridMultilevel"/>
    <w:lvl w:ilvl="0">
      <w:lvlJc w:val="left"/>
      <w:lvlText w:val="(%1)"/>
      <w:numFmt w:val="upperLetter"/>
      <w:start w:val="2"/>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3"/>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1)"/>
      <w:numFmt w:val="decimal"/>
      <w:start w:val="1"/>
    </w:lvl>
  </w:abstractNum>
  <w:abstractNum w:abstractNumId="18">
    <w:nsid w:val="1EBA5D23"/>
    <w:multiLevelType w:val="hybridMultilevel"/>
    <w:lvl w:ilvl="0">
      <w:lvlJc w:val="left"/>
      <w:lvlText w:val="(%1)"/>
      <w:numFmt w:val="decimal"/>
      <w:start w:val="5"/>
    </w:lvl>
  </w:abstractNum>
  <w:abstractNum w:abstractNumId="19">
    <w:nsid w:val="661E3F1E"/>
    <w:multiLevelType w:val="hybridMultilevel"/>
    <w:lvl w:ilvl="0">
      <w:lvlJc w:val="left"/>
      <w:lvlText w:val="(%1)"/>
      <w:numFmt w:val="decimal"/>
      <w:start w:val="1"/>
    </w:lvl>
  </w:abstractNum>
  <w:abstractNum w:abstractNumId="20">
    <w:nsid w:val="5DC79EA8"/>
    <w:multiLevelType w:val="hybridMultilevel"/>
    <w:lvl w:ilvl="0">
      <w:lvlJc w:val="left"/>
      <w:lvlText w:val="(%1)"/>
      <w:numFmt w:val="decimal"/>
      <w:start w:val="1"/>
    </w:lvl>
  </w:abstractNum>
  <w:abstractNum w:abstractNumId="21">
    <w:nsid w:val="540A471C"/>
    <w:multiLevelType w:val="hybridMultilevel"/>
    <w:lvl w:ilvl="0">
      <w:lvlJc w:val="left"/>
      <w:lvlText w:val="%1"/>
      <w:numFmt w:val="lowerLetter"/>
      <w:start w:val="1"/>
    </w:lvl>
    <w:lvl w:ilvl="1">
      <w:lvlJc w:val="left"/>
      <w:lvlText w:val="(%2)"/>
      <w:numFmt w:val="decimal"/>
      <w:start w:val="2"/>
    </w:lvl>
  </w:abstractNum>
  <w:abstractNum w:abstractNumId="22">
    <w:nsid w:val="7BD3EE7B"/>
    <w:multiLevelType w:val="hybridMultilevel"/>
    <w:lvl w:ilvl="0">
      <w:lvlJc w:val="left"/>
      <w:lvlText w:val="(%1)"/>
      <w:numFmt w:val="lowerLetter"/>
      <w:start w:val="2"/>
    </w:lvl>
    <w:lvl w:ilvl="1">
      <w:lvlJc w:val="left"/>
      <w:lvlText w:val="%2"/>
      <w:numFmt w:val="decimal"/>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1."/>
      <w:numFmt w:val="decimal"/>
      <w:start w:val="10"/>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1)"/>
      <w:numFmt w:val="lowerLetter"/>
      <w:start w:val="2"/>
    </w:lvl>
    <w:lvl w:ilvl="1">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1)"/>
      <w:numFmt w:val="decimal"/>
      <w:start w:val="7"/>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1)"/>
      <w:numFmt w:val="decimal"/>
      <w:start w:val="1"/>
    </w:lvl>
  </w:abstractNum>
  <w:abstractNum w:abstractNumId="35">
    <w:nsid w:val="6A5EE64"/>
    <w:multiLevelType w:val="hybridMultilevel"/>
    <w:lvl w:ilvl="0">
      <w:lvlJc w:val="left"/>
      <w:lvlText w:val="(%1)"/>
      <w:numFmt w:val="decimal"/>
      <w:start w:val="2"/>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1)"/>
      <w:numFmt w:val="decimal"/>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1)"/>
      <w:numFmt w:val="decimal"/>
      <w:start w:val="4"/>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1."/>
      <w:numFmt w:val="decimal"/>
      <w:start w:val="10"/>
    </w:lvl>
  </w:abstractNum>
  <w:abstractNum w:abstractNumId="53">
    <w:nsid w:val="2DF6D648"/>
    <w:multiLevelType w:val="hybridMultilevel"/>
    <w:lvl w:ilvl="0">
      <w:lvlJc w:val="left"/>
      <w:lvlText w:val="(%1)"/>
      <w:numFmt w:val="upperLetter"/>
      <w:start w:val="2"/>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2"/>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1)"/>
      <w:numFmt w:val="decimal"/>
      <w:start w:val="1"/>
    </w:lvl>
  </w:abstractNum>
  <w:abstractNum w:abstractNumId="63">
    <w:nsid w:val="49DA307D"/>
    <w:multiLevelType w:val="hybridMultilevel"/>
    <w:lvl w:ilvl="0">
      <w:lvlJc w:val="left"/>
      <w:lvlText w:val="(%1)"/>
      <w:numFmt w:val="decimal"/>
      <w:start w:val="3"/>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1)"/>
      <w:numFmt w:val="lowerLetter"/>
      <w:start w:val="2"/>
    </w:lvl>
    <w:lvl w:ilvl="1">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1)"/>
      <w:numFmt w:val="decimal"/>
      <w:start w:val="1"/>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1)"/>
      <w:numFmt w:val="decimal"/>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lvl w:ilvl="1">
      <w:lvlJc w:val="left"/>
      <w:lvlText w:val="="/>
      <w:numFmt w:val="bullet"/>
      <w:start w:val="1"/>
    </w:lvl>
  </w:abstractNum>
  <w:abstractNum w:abstractNumId="79">
    <w:nsid w:val="14FCE74E"/>
    <w:multiLevelType w:val="hybridMultilevel"/>
    <w:lvl w:ilvl="0">
      <w:lvlJc w:val="left"/>
      <w:lvlText w:val="(%1)"/>
      <w:numFmt w:val="decimal"/>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1)"/>
      <w:numFmt w:val="decimal"/>
      <w:start w:val="1"/>
    </w:lvl>
    <w:lvl w:ilvl="1">
      <w:lvlJc w:val="left"/>
      <w:lvlText w:val="(%2)"/>
      <w:numFmt w:val="lowerLetter"/>
      <w:start w:val="1"/>
    </w:lvl>
  </w:abstractNum>
  <w:abstractNum w:abstractNumId="106">
    <w:nsid w:val="6C80EC70"/>
    <w:multiLevelType w:val="hybridMultilevel"/>
    <w:lvl w:ilvl="0">
      <w:lvlJc w:val="left"/>
      <w:lvlText w:val="(%1)"/>
      <w:numFmt w:val="decimal"/>
      <w:start w:val="4"/>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1)"/>
      <w:numFmt w:val="decimal"/>
      <w:start w:val="1"/>
    </w:lvl>
  </w:abstractNum>
  <w:abstractNum w:abstractNumId="112">
    <w:nsid w:val="1DF029D3"/>
    <w:multiLevelType w:val="hybridMultilevel"/>
    <w:lvl w:ilvl="0">
      <w:lvlJc w:val="left"/>
      <w:lvlText w:val="•"/>
      <w:numFmt w:val="bullet"/>
      <w:start w:val="1"/>
    </w:lvl>
    <w:lvl w:ilvl="1">
      <w:lvlJc w:val="left"/>
      <w:lvlText w:val="%2)"/>
      <w:numFmt w:val="decimal"/>
      <w:start w:val="1"/>
    </w:lvl>
  </w:abstractNum>
  <w:abstractNum w:abstractNumId="113">
    <w:nsid w:val="5675FF36"/>
    <w:multiLevelType w:val="hybridMultilevel"/>
    <w:lvl w:ilvl="0">
      <w:lvlJc w:val="left"/>
      <w:lvlText w:val="(%1)"/>
      <w:numFmt w:val="decimal"/>
      <w:start w:val="3"/>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1)"/>
      <w:numFmt w:val="decimal"/>
      <w:start w:val="1"/>
    </w:lvl>
  </w:abstractNum>
  <w:abstractNum w:abstractNumId="116">
    <w:nsid w:val="2708C9AF"/>
    <w:multiLevelType w:val="hybridMultilevel"/>
    <w:lvl w:ilvl="0">
      <w:lvlJc w:val="left"/>
      <w:lvlText w:val="(%1)"/>
      <w:numFmt w:val="decimal"/>
      <w:start w:val="1"/>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decimal"/>
      <w:start w:val="1"/>
    </w:lvl>
  </w:abstractNum>
  <w:abstractNum w:abstractNumId="119">
    <w:nsid w:val="4F97E3E4"/>
    <w:multiLevelType w:val="hybridMultilevel"/>
    <w:lvl w:ilvl="0">
      <w:lvlJc w:val="left"/>
      <w:lvlText w:val="(%1)"/>
      <w:numFmt w:val="lowerLetter"/>
      <w:start w:val="2"/>
    </w:lvl>
  </w:abstractNum>
  <w:abstractNum w:abstractNumId="120">
    <w:nsid w:val="53B0A9E"/>
    <w:multiLevelType w:val="hybridMultilevel"/>
    <w:lvl w:ilvl="0">
      <w:lvlJc w:val="left"/>
      <w:lvlText w:val="(%1)"/>
      <w:numFmt w:val="lowerLetter"/>
      <w:start w:val="3"/>
    </w:lvl>
  </w:abstractNum>
  <w:abstractNum w:abstractNumId="121">
    <w:nsid w:val="34FD6B4F"/>
    <w:multiLevelType w:val="hybridMultilevel"/>
    <w:lvl w:ilvl="0">
      <w:lvlJc w:val="left"/>
      <w:lvlText w:val="(%1)"/>
      <w:numFmt w:val="lowerLetter"/>
      <w:start w:val="4"/>
    </w:lvl>
  </w:abstractNum>
  <w:abstractNum w:abstractNumId="122">
    <w:nsid w:val="5915FF32"/>
    <w:multiLevelType w:val="hybridMultilevel"/>
    <w:lvl w:ilvl="0">
      <w:lvlJc w:val="left"/>
      <w:lvlText w:val="(%1)"/>
      <w:numFmt w:val="lowerLetter"/>
      <w:start w:val="5"/>
    </w:lvl>
  </w:abstractNum>
  <w:abstractNum w:abstractNumId="123">
    <w:nsid w:val="56438D15"/>
    <w:multiLevelType w:val="hybridMultilevel"/>
    <w:lvl w:ilvl="0">
      <w:lvlJc w:val="left"/>
      <w:lvlText w:val="(%1)"/>
      <w:numFmt w:val="lowerLetter"/>
      <w:start w:val="6"/>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2019-12-11T04:07:10Z</dcterms:created>
  <dcterms:modified xsi:type="dcterms:W3CDTF">2019-12-11T04:07:10Z</dcterms:modified>
</cp:coreProperties>
</file>