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333-230014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[TEXT OF COMMUNICATION SENT VIA BLOOMBERG]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priced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$150mm principal amount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 coupon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99.443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4.625% yield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trade date: 4/14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settle date: 4/21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CUSIP: 708062AC8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 04/14/21 13:49:11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Subject: **PennantPart Investment Corp.**Sr Nts New Issue**RJ Lead</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launched: $150mm @ 4.5% coupon to yield 4.625%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At: 04/14/21 12:37:21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Subject: **PennantPart Investment Corp.**Sr Nts New Issue**RJ Lead</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book closing 1:15pm ET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At: 04/14/21 10:34:26</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Subject: **PennantPart Investment Corp.**Sr Nts New Issue**RJ Lead</w:t>
      </w:r>
    </w:p>
    <w:p>
      <w:pPr>
        <w:sectPr>
          <w:pgSz w:w="11900" w:h="16838" w:orient="portrait"/>
          <w:cols w:equalWidth="0" w:num="1">
            <w:col w:w="11020"/>
          </w:cols>
          <w:pgMar w:left="440" w:top="233" w:right="4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PennantPark Investment Corporation (“PNNT”)</w:t>
      </w:r>
    </w:p>
    <w:p>
      <w:pPr>
        <w:spacing w:after="0" w:line="140" w:lineRule="exact"/>
        <w:rPr>
          <w:sz w:val="24"/>
          <w:szCs w:val="24"/>
          <w:color w:val="auto"/>
        </w:rPr>
      </w:pPr>
    </w:p>
    <w:p>
      <w:pPr>
        <w:sectPr>
          <w:pgSz w:w="11900" w:h="16838" w:orient="portrait"/>
          <w:cols w:equalWidth="0" w:num="2">
            <w:col w:w="940" w:space="720"/>
            <w:col w:w="93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Security Type: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Senior Unsecured Notes</w:t>
      </w:r>
    </w:p>
    <w:p>
      <w:pPr>
        <w:spacing w:after="0" w:line="151" w:lineRule="exact"/>
        <w:rPr>
          <w:sz w:val="24"/>
          <w:szCs w:val="24"/>
          <w:color w:val="auto"/>
        </w:rPr>
      </w:pPr>
    </w:p>
    <w:p>
      <w:pPr>
        <w:sectPr>
          <w:pgSz w:w="11900" w:h="16838" w:orient="portrait"/>
          <w:cols w:equalWidth="0" w:num="2">
            <w:col w:w="1040" w:space="620"/>
            <w:col w:w="93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$100mm+</w:t>
      </w:r>
    </w:p>
    <w:p>
      <w:pPr>
        <w:spacing w:after="0" w:line="140" w:lineRule="exact"/>
        <w:rPr>
          <w:sz w:val="24"/>
          <w:szCs w:val="24"/>
          <w:color w:val="auto"/>
        </w:rPr>
      </w:pPr>
    </w:p>
    <w:p>
      <w:pPr>
        <w:sectPr>
          <w:pgSz w:w="11900" w:h="16838" w:orient="portrait"/>
          <w:cols w:equalWidth="0" w:num="2">
            <w:col w:w="940" w:space="720"/>
            <w:col w:w="93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Format: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SEC Registered</w:t>
      </w:r>
    </w:p>
    <w:p>
      <w:pPr>
        <w:spacing w:after="0" w:line="151" w:lineRule="exact"/>
        <w:rPr>
          <w:sz w:val="24"/>
          <w:szCs w:val="24"/>
          <w:color w:val="auto"/>
        </w:rPr>
      </w:pPr>
    </w:p>
    <w:p>
      <w:pPr>
        <w:sectPr>
          <w:pgSz w:w="11900" w:h="16838" w:orient="portrait"/>
          <w:cols w:equalWidth="0" w:num="2">
            <w:col w:w="940" w:space="720"/>
            <w:col w:w="9360"/>
          </w:cols>
          <w:pgMar w:left="440" w:top="233"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May 1, 2026</w:t>
      </w:r>
    </w:p>
    <w:p>
      <w:pPr>
        <w:spacing w:after="0" w:line="140" w:lineRule="exact"/>
        <w:rPr>
          <w:sz w:val="24"/>
          <w:szCs w:val="24"/>
          <w:color w:val="auto"/>
        </w:rPr>
      </w:pPr>
    </w:p>
    <w:p>
      <w:pPr>
        <w:sectPr>
          <w:pgSz w:w="11900" w:h="16838" w:orient="portrait"/>
          <w:cols w:equalWidth="0" w:num="2">
            <w:col w:w="940" w:space="720"/>
            <w:col w:w="93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Expected Rating: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BBB (Egan-Jones)*</w:t>
      </w:r>
    </w:p>
    <w:p>
      <w:pPr>
        <w:spacing w:after="0" w:line="140" w:lineRule="exact"/>
        <w:rPr>
          <w:sz w:val="24"/>
          <w:szCs w:val="24"/>
          <w:color w:val="auto"/>
        </w:rPr>
      </w:pPr>
    </w:p>
    <w:p>
      <w:pPr>
        <w:sectPr>
          <w:pgSz w:w="11900" w:h="16838" w:orient="portrait"/>
          <w:cols w:equalWidth="0" w:num="2">
            <w:col w:w="1240" w:space="420"/>
            <w:col w:w="9360"/>
          </w:cols>
          <w:pgMar w:left="440" w:top="233" w:right="43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Reduce outstanding obligations under the Credit Facility, new investments or other general corporate purposes</w:t>
      </w:r>
    </w:p>
    <w:p>
      <w:pPr>
        <w:spacing w:after="0" w:line="140" w:lineRule="exact"/>
        <w:rPr>
          <w:sz w:val="24"/>
          <w:szCs w:val="24"/>
          <w:color w:val="auto"/>
        </w:rPr>
      </w:pPr>
    </w:p>
    <w:p>
      <w:pPr>
        <w:sectPr>
          <w:pgSz w:w="11900" w:h="16838" w:orient="portrait"/>
          <w:cols w:equalWidth="0" w:num="2">
            <w:col w:w="1220" w:space="440"/>
            <w:col w:w="93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Opt Redemption: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Make Whole Call; 3 month par call prior to maturity</w:t>
      </w:r>
    </w:p>
    <w:p>
      <w:pPr>
        <w:spacing w:after="0" w:line="140" w:lineRule="exact"/>
        <w:rPr>
          <w:sz w:val="24"/>
          <w:szCs w:val="24"/>
          <w:color w:val="auto"/>
        </w:rPr>
      </w:pPr>
    </w:p>
    <w:p>
      <w:pPr>
        <w:sectPr>
          <w:pgSz w:w="11900" w:h="16838" w:orient="portrait"/>
          <w:cols w:equalWidth="0" w:num="2">
            <w:col w:w="1240" w:space="420"/>
            <w:col w:w="93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Raymond James (B&amp;D) / KBW / Truist / JPM</w:t>
      </w:r>
    </w:p>
    <w:p>
      <w:pPr>
        <w:spacing w:after="0" w:line="140" w:lineRule="exact"/>
        <w:rPr>
          <w:sz w:val="24"/>
          <w:szCs w:val="24"/>
          <w:color w:val="auto"/>
        </w:rPr>
      </w:pPr>
    </w:p>
    <w:p>
      <w:pPr>
        <w:sectPr>
          <w:pgSz w:w="11900" w:h="16838" w:orient="portrait"/>
          <w:cols w:equalWidth="0" w:num="2">
            <w:col w:w="1380" w:space="280"/>
            <w:col w:w="93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Compass Point / JMP / Ladenburg / Capital One</w:t>
      </w:r>
    </w:p>
    <w:p>
      <w:pPr>
        <w:spacing w:after="0" w:line="140" w:lineRule="exact"/>
        <w:rPr>
          <w:sz w:val="24"/>
          <w:szCs w:val="24"/>
          <w:color w:val="auto"/>
        </w:rPr>
      </w:pPr>
    </w:p>
    <w:p>
      <w:pPr>
        <w:sectPr>
          <w:pgSz w:w="11900" w:h="16838" w:orient="portrait"/>
          <w:cols w:equalWidth="0" w:num="2">
            <w:col w:w="1020" w:space="640"/>
            <w:col w:w="936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IPT: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4.75% area</w:t>
      </w:r>
    </w:p>
    <w:p>
      <w:pPr>
        <w:spacing w:after="0" w:line="151" w:lineRule="exact"/>
        <w:rPr>
          <w:sz w:val="24"/>
          <w:szCs w:val="24"/>
          <w:color w:val="auto"/>
        </w:rPr>
      </w:pPr>
    </w:p>
    <w:p>
      <w:pPr>
        <w:sectPr>
          <w:pgSz w:w="11900" w:h="16838" w:orient="portrait"/>
          <w:cols w:equalWidth="0" w:num="2">
            <w:col w:w="940" w:space="720"/>
            <w:col w:w="9360"/>
          </w:cols>
          <w:pgMar w:left="440" w:top="233" w:right="439" w:bottom="1440" w:gutter="0" w:footer="0" w:header="0"/>
          <w:type w:val="continuous"/>
        </w:sectPr>
      </w:pPr>
    </w:p>
    <w:p>
      <w:pPr>
        <w:spacing w:after="0"/>
        <w:rPr>
          <w:sz w:val="20"/>
          <w:szCs w:val="20"/>
          <w:color w:val="auto"/>
        </w:rPr>
      </w:pPr>
      <w:r>
        <w:rPr>
          <w:rFonts w:ascii="Arial" w:cs="Arial" w:eastAsia="Arial" w:hAnsi="Arial"/>
          <w:sz w:val="15"/>
          <w:szCs w:val="15"/>
          <w:color w:val="auto"/>
        </w:rPr>
        <w:t>Denoms: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$2,000 x $1,000</w:t>
      </w:r>
    </w:p>
    <w:p>
      <w:pPr>
        <w:sectPr>
          <w:pgSz w:w="11900" w:h="16838" w:orient="portrait"/>
          <w:cols w:equalWidth="0" w:num="2">
            <w:col w:w="940" w:space="720"/>
            <w:col w:w="9360"/>
          </w:cols>
          <w:pgMar w:left="440" w:top="233"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6"/>
          <w:szCs w:val="16"/>
          <w:color w:val="auto"/>
        </w:rPr>
        <w:t>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T+5 (April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-208915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944" w:space="720"/>
            <w:col w:w="9340"/>
          </w:cols>
          <w:pgMar w:left="436" w:top="274" w:right="459" w:bottom="1440" w:gutter="0" w:footer="0" w:header="0"/>
        </w:sectPr>
      </w:pPr>
    </w:p>
    <w:p>
      <w:pPr>
        <w:ind w:left="4"/>
        <w:spacing w:after="0"/>
        <w:rPr>
          <w:sz w:val="20"/>
          <w:szCs w:val="20"/>
          <w:color w:val="auto"/>
        </w:rPr>
      </w:pPr>
      <w:r>
        <w:rPr>
          <w:rFonts w:ascii="Arial" w:cs="Arial" w:eastAsia="Arial" w:hAnsi="Arial"/>
          <w:sz w:val="17"/>
          <w:szCs w:val="17"/>
          <w:color w:val="auto"/>
        </w:rPr>
        <w:t>Timing: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Today’s business</w:t>
      </w:r>
    </w:p>
    <w:p>
      <w:pPr>
        <w:spacing w:after="0" w:line="151" w:lineRule="exact"/>
        <w:rPr>
          <w:sz w:val="20"/>
          <w:szCs w:val="20"/>
          <w:color w:val="auto"/>
        </w:rPr>
      </w:pPr>
    </w:p>
    <w:p>
      <w:pPr>
        <w:sectPr>
          <w:pgSz w:w="11900" w:h="16838" w:orient="portrait"/>
          <w:cols w:equalWidth="0" w:num="2">
            <w:col w:w="944" w:space="720"/>
            <w:col w:w="9340"/>
          </w:cols>
          <w:pgMar w:left="436" w:top="274" w:right="459" w:bottom="1440" w:gutter="0" w:footer="0" w:header="0"/>
          <w:type w:val="continuous"/>
        </w:sectPr>
      </w:pPr>
    </w:p>
    <w:p>
      <w:pPr>
        <w:ind w:left="4"/>
        <w:spacing w:after="0" w:line="286" w:lineRule="auto"/>
        <w:rPr>
          <w:sz w:val="20"/>
          <w:szCs w:val="20"/>
          <w:color w:val="auto"/>
        </w:rPr>
      </w:pPr>
      <w:r>
        <w:rPr>
          <w:rFonts w:ascii="Arial" w:cs="Arial" w:eastAsia="Arial" w:hAnsi="Arial"/>
          <w:sz w:val="17"/>
          <w:szCs w:val="17"/>
          <w:color w:val="auto"/>
        </w:rPr>
        <w:t>Link to Preliminary Prospectus Supplement: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https://www.sec.gov/Archives/edgar/data/0001383414/000119312521115659/d172717d424b2.htm</w:t>
      </w:r>
    </w:p>
    <w:p>
      <w:pPr>
        <w:spacing w:after="0" w:line="706" w:lineRule="exact"/>
        <w:rPr>
          <w:sz w:val="20"/>
          <w:szCs w:val="20"/>
          <w:color w:val="auto"/>
        </w:rPr>
      </w:pPr>
    </w:p>
    <w:p>
      <w:pPr>
        <w:sectPr>
          <w:pgSz w:w="11900" w:h="16838" w:orient="portrait"/>
          <w:cols w:equalWidth="0" w:num="2">
            <w:col w:w="1424" w:space="240"/>
            <w:col w:w="9340"/>
          </w:cols>
          <w:pgMar w:left="436" w:top="274" w:right="459" w:bottom="1440" w:gutter="0" w:footer="0" w:header="0"/>
          <w:type w:val="continuous"/>
        </w:sectPr>
      </w:pPr>
    </w:p>
    <w:p>
      <w:pPr>
        <w:ind w:left="424" w:right="160" w:hanging="424"/>
        <w:spacing w:after="0" w:line="342"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Note: A securities rating is not a recommendation to buy, sell or hold securities and may be subject to revision or withdrawal at any time. Each rating agency has its own methodology for assigning ratings and, accordingly, each rating should be evaluated independently of any other rating.</w:t>
      </w:r>
    </w:p>
    <w:p>
      <w:pPr>
        <w:spacing w:after="0" w:line="124"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Investors are advised to carefully consider the investment objective, risks, charges and expenses of PNNT before investing. The preliminary prospectus supplement dated April 14, 2021, together with an accompanying prospectus, which have been filed with the U.S. Securities and Exchange Commission (“SEC”), contain this and other information about PNNT and should be read carefully before investing. The information in the preliminary prospectus supplement and the accompanying prospectus, and in this announcement is not complete and may be changed.</w:t>
      </w:r>
    </w:p>
    <w:p>
      <w:pPr>
        <w:spacing w:after="0" w:line="171" w:lineRule="exact"/>
        <w:rPr>
          <w:sz w:val="20"/>
          <w:szCs w:val="20"/>
          <w:color w:val="auto"/>
        </w:rPr>
      </w:pPr>
    </w:p>
    <w:p>
      <w:pPr>
        <w:ind w:left="4" w:right="80"/>
        <w:spacing w:after="0" w:line="286" w:lineRule="auto"/>
        <w:rPr>
          <w:sz w:val="20"/>
          <w:szCs w:val="20"/>
          <w:color w:val="auto"/>
        </w:rPr>
      </w:pPr>
      <w:r>
        <w:rPr>
          <w:rFonts w:ascii="Arial" w:cs="Arial" w:eastAsia="Arial" w:hAnsi="Arial"/>
          <w:sz w:val="17"/>
          <w:szCs w:val="17"/>
          <w:color w:val="auto"/>
        </w:rPr>
        <w:t>The preliminary prospectus supplement, the accompanying prospectus and this announcement do not constitute offers to sell or the solicitation of offers to buy nor will there be any sale of the securities referred to in this announcement in any state or jurisdiction in which such offer, solicitation or sale would be unlawful prior to the registration or qualification under the securities laws of such state or jurisdiction.</w:t>
      </w:r>
    </w:p>
    <w:p>
      <w:pPr>
        <w:spacing w:after="0" w:line="165"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A SHELF REGISTRATION STATEMENT RELATING TO THESE SECURITIES IS ON FILE WITH AND HAS BEEN DECLARED EFFECTIVE BY THE SEC. THE OFFERING MAY BE MADE ONLY BY MEANS OF A PROSPECTUS SUPPLEMENT AND AN ACCOMPANYING PROSPECTUS. YOU MAY GET THESE DOCUMENTS, AS WELL AS THE FINAL PROSPECTUS, PROSPECTUS SUPPLEMENT OR PRICING SUPPLEMENT (WHEN COMPLETED), AS APPLICABLE (SUCH PRELIMINARY AND FINAL DOCUMENTATION TOGETHER THE “OFFERING DOCUMENTATION”) FOR FREE BY SEARCHING THE SEC ONLINE DATABASE AT: WWW.SEC.GOV. ALTERNATIVELY, YOU MAY OBTAIN A COPY OF THE OFFERING DOCUMENTATION FROM RAYMOND JAMES &amp; ASSOCIATES, INC., 880 CARILLON PARKWAY, ST. PETERSBURG, FLORIDA 33716.</w:t>
      </w:r>
    </w:p>
    <w:p>
      <w:pPr>
        <w:spacing w:after="0" w:line="195" w:lineRule="exact"/>
        <w:rPr>
          <w:sz w:val="20"/>
          <w:szCs w:val="20"/>
          <w:color w:val="auto"/>
        </w:rPr>
      </w:pPr>
    </w:p>
    <w:p>
      <w:pPr>
        <w:ind w:left="4" w:right="980"/>
        <w:spacing w:after="0" w:line="286" w:lineRule="auto"/>
        <w:rPr>
          <w:sz w:val="20"/>
          <w:szCs w:val="20"/>
          <w:color w:val="auto"/>
        </w:rPr>
      </w:pPr>
      <w:r>
        <w:rPr>
          <w:rFonts w:ascii="Arial" w:cs="Arial" w:eastAsia="Arial" w:hAnsi="Arial"/>
          <w:sz w:val="17"/>
          <w:szCs w:val="17"/>
          <w:color w:val="auto"/>
        </w:rPr>
        <w:t>ANY DISCLAIMERS OR OTHER NOTICES THAT MAY APPEAR AFTER THIS MESSAGE ARE NOT APPLICABLE TO THIS COMMUNICATION AND SHOULD BE DISREGARDED. SUCH DISCLAIMERS OR OTHER NOTICES WERE AUTOMATICALLY GENERATED AS A RESULT OF THIS COMMUNICATION BEING SENT VIA BLOOMBERG OR OTHER EMAIL SYSTEM.</w:t>
      </w:r>
    </w:p>
    <w:sectPr>
      <w:pgSz w:w="11900" w:h="16838" w:orient="portrait"/>
      <w:cols w:equalWidth="0" w:num="1">
        <w:col w:w="11004"/>
      </w:cols>
      <w:pgMar w:left="436" w:top="274"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2021-04-14T16:28:05Z</dcterms:created>
  <dcterms:modified xsi:type="dcterms:W3CDTF">2021-04-14T16:28:05Z</dcterms:modified>
</cp:coreProperties>
</file>