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August 8, 2018</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13e-4(c) under the Exchange Act (17 CFR 240.13e-4(c))</w:t>
            </w:r>
          </w:p>
        </w:tc>
      </w:tr>
    </w:tbl>
    <w:p>
      <w:pPr>
        <w:spacing w:after="0" w:line="200" w:lineRule="exact"/>
        <w:rPr>
          <w:sz w:val="24"/>
          <w:szCs w:val="24"/>
          <w:color w:val="auto"/>
        </w:rPr>
      </w:pPr>
    </w:p>
    <w:p>
      <w:pPr>
        <w:spacing w:after="0" w:line="21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August 8, 2018, PennantPark Investment Corporation issued a press release announcing its financial results for the third fiscal quarter ended June 30, 2018. A copy of the press release is furnished as Exhibit 99.1 to this report pursuant to Item 2.02 on Form 8-K and Regulation FD.</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9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PennantPark Investment Corporation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460" w:right="9340" w:hanging="452"/>
        <w:spacing w:after="0" w:line="276" w:lineRule="auto"/>
        <w:tabs>
          <w:tab w:leader="none" w:pos="265"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Financial statements: </w:t>
      </w:r>
      <w:r>
        <w:rPr>
          <w:rFonts w:ascii="Arial" w:cs="Arial" w:eastAsia="Arial" w:hAnsi="Arial"/>
          <w:sz w:val="17"/>
          <w:szCs w:val="17"/>
          <w:color w:val="auto"/>
        </w:rPr>
        <w:t>None</w:t>
      </w:r>
    </w:p>
    <w:p>
      <w:pPr>
        <w:ind w:left="460" w:right="8440" w:hanging="452"/>
        <w:spacing w:after="0" w:line="250" w:lineRule="auto"/>
        <w:tabs>
          <w:tab w:leader="none" w:pos="275"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460" w:right="8820" w:hanging="452"/>
        <w:spacing w:after="0" w:line="250" w:lineRule="auto"/>
        <w:tabs>
          <w:tab w:leader="none" w:pos="255"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EE"/>
          </w:rPr>
          <w:t>Press Release of PennantPark Investment Corporation dated August 8,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4900" w:type="dxa"/>
            <w:vAlign w:val="bottom"/>
            <w:gridSpan w:val="3"/>
          </w:tcPr>
          <w:p>
            <w:pPr>
              <w:ind w:left="1960"/>
              <w:spacing w:after="0"/>
              <w:rPr>
                <w:sz w:val="20"/>
                <w:szCs w:val="20"/>
                <w:color w:val="auto"/>
              </w:rPr>
            </w:pPr>
            <w:r>
              <w:rPr>
                <w:rFonts w:ascii="Arial" w:cs="Arial" w:eastAsia="Arial" w:hAnsi="Arial"/>
                <w:sz w:val="18"/>
                <w:szCs w:val="18"/>
                <w:b w:val="1"/>
                <w:bCs w:val="1"/>
                <w:color w:val="auto"/>
                <w:w w:val="91"/>
              </w:rPr>
              <w:t>PennantPark Investment Corporation</w:t>
            </w:r>
          </w:p>
        </w:tc>
      </w:tr>
      <w:tr>
        <w:trPr>
          <w:trHeight w:val="608"/>
        </w:trPr>
        <w:tc>
          <w:tcPr>
            <w:tcW w:w="3500" w:type="dxa"/>
            <w:vAlign w:val="bottom"/>
          </w:tcPr>
          <w:p>
            <w:pPr>
              <w:spacing w:after="0"/>
              <w:rPr>
                <w:sz w:val="20"/>
                <w:szCs w:val="20"/>
                <w:color w:val="auto"/>
              </w:rPr>
            </w:pPr>
            <w:r>
              <w:rPr>
                <w:rFonts w:ascii="Arial" w:cs="Arial" w:eastAsia="Arial" w:hAnsi="Arial"/>
                <w:sz w:val="18"/>
                <w:szCs w:val="18"/>
                <w:color w:val="auto"/>
              </w:rPr>
              <w:t>Date: August 8, 2018</w:t>
            </w:r>
          </w:p>
        </w:tc>
        <w:tc>
          <w:tcPr>
            <w:tcW w:w="4900" w:type="dxa"/>
            <w:vAlign w:val="bottom"/>
            <w:gridSpan w:val="3"/>
          </w:tcPr>
          <w:p>
            <w:pPr>
              <w:ind w:left="1960"/>
              <w:spacing w:after="0"/>
              <w:rPr>
                <w:sz w:val="20"/>
                <w:szCs w:val="20"/>
                <w:color w:val="auto"/>
              </w:rPr>
            </w:pPr>
            <w:r>
              <w:rPr>
                <w:rFonts w:ascii="Arial" w:cs="Arial" w:eastAsia="Arial" w:hAnsi="Arial"/>
                <w:sz w:val="18"/>
                <w:szCs w:val="18"/>
                <w:color w:val="auto"/>
              </w:rPr>
              <w:t>By: /s/ Aviv Efrat</w:t>
            </w:r>
          </w:p>
        </w:tc>
      </w:tr>
      <w:tr>
        <w:trPr>
          <w:trHeight w:val="222"/>
        </w:trPr>
        <w:tc>
          <w:tcPr>
            <w:tcW w:w="35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300" w:type="dxa"/>
            <w:vAlign w:val="bottom"/>
          </w:tcPr>
          <w:p>
            <w:pPr>
              <w:spacing w:after="0"/>
              <w:rPr>
                <w:sz w:val="19"/>
                <w:szCs w:val="19"/>
                <w:color w:val="auto"/>
              </w:rPr>
            </w:pPr>
          </w:p>
        </w:tc>
      </w:tr>
      <w:tr>
        <w:trPr>
          <w:trHeight w:val="230"/>
        </w:trPr>
        <w:tc>
          <w:tcPr>
            <w:tcW w:w="35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w w:val="93"/>
              </w:rPr>
              <w:t>Chief Financial Officer &amp; Treasurer</w:t>
            </w:r>
          </w:p>
        </w:tc>
      </w:tr>
    </w:tbl>
    <w:p>
      <w:pPr>
        <w:sectPr>
          <w:pgSz w:w="11900" w:h="16838" w:orient="portrait"/>
          <w:cols w:equalWidth="0" w:num="1">
            <w:col w:w="10900"/>
          </w:cols>
          <w:pgMar w:left="320" w:top="337" w:right="679" w:bottom="1440" w:gutter="0" w:footer="0" w:header="0"/>
        </w:sectPr>
      </w:pPr>
    </w:p>
    <w:bookmarkStart w:id="3" w:name="page4"/>
    <w:bookmarkEnd w:id="3"/>
    <w:p>
      <w:pPr>
        <w:spacing w:after="0" w:line="169"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291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Investment Corporation Announces Financial Results for the Quarter Ended June 30, 2018</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NEW YORK, Aug. 08, 2018 (GLOBE NEWSWIRE) -- PennantPark Investment Corporation (NASDAQ: PNNT) announced today financial results for the third fiscal quarter ended June 30, 2018.</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Quarter ended June 30, 2018</w:t>
      </w:r>
    </w:p>
    <w:p>
      <w:pPr>
        <w:spacing w:after="0"/>
        <w:rPr>
          <w:sz w:val="20"/>
          <w:szCs w:val="20"/>
          <w:color w:val="auto"/>
        </w:rPr>
      </w:pPr>
      <w:r>
        <w:rPr>
          <w:rFonts w:ascii="Arial" w:cs="Arial" w:eastAsia="Arial" w:hAnsi="Arial"/>
          <w:sz w:val="22"/>
          <w:szCs w:val="22"/>
          <w:color w:val="auto"/>
        </w:rPr>
        <w:t>($ in millions, except per share amounts)</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4280" w:type="dxa"/>
            <w:vAlign w:val="bottom"/>
          </w:tcPr>
          <w:p>
            <w:pPr>
              <w:spacing w:after="0"/>
              <w:rPr>
                <w:sz w:val="20"/>
                <w:szCs w:val="20"/>
                <w:color w:val="auto"/>
              </w:rPr>
            </w:pPr>
            <w:r>
              <w:rPr>
                <w:rFonts w:ascii="Arial" w:cs="Arial" w:eastAsia="Arial" w:hAnsi="Arial"/>
                <w:sz w:val="22"/>
                <w:szCs w:val="22"/>
                <w:color w:val="auto"/>
              </w:rPr>
              <w:t>Assets and Liabilities:</w:t>
            </w:r>
          </w:p>
        </w:tc>
        <w:tc>
          <w:tcPr>
            <w:tcW w:w="42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4280" w:type="dxa"/>
            <w:vAlign w:val="bottom"/>
          </w:tcPr>
          <w:p>
            <w:pPr>
              <w:ind w:left="120"/>
              <w:spacing w:after="0"/>
              <w:rPr>
                <w:sz w:val="20"/>
                <w:szCs w:val="20"/>
                <w:color w:val="auto"/>
              </w:rPr>
            </w:pPr>
            <w:r>
              <w:rPr>
                <w:rFonts w:ascii="Arial" w:cs="Arial" w:eastAsia="Arial" w:hAnsi="Arial"/>
                <w:sz w:val="22"/>
                <w:szCs w:val="22"/>
                <w:color w:val="auto"/>
              </w:rPr>
              <w:t>Investment portfolio</w:t>
            </w:r>
          </w:p>
        </w:tc>
        <w:tc>
          <w:tcPr>
            <w:tcW w:w="420" w:type="dxa"/>
            <w:vAlign w:val="bottom"/>
          </w:tcPr>
          <w:p>
            <w:pPr>
              <w:jc w:val="right"/>
              <w:spacing w:after="0"/>
              <w:rPr>
                <w:sz w:val="20"/>
                <w:szCs w:val="20"/>
                <w:color w:val="auto"/>
              </w:rPr>
            </w:pPr>
            <w:r>
              <w:rPr>
                <w:rFonts w:ascii="Arial" w:cs="Arial" w:eastAsia="Arial" w:hAnsi="Arial"/>
                <w:sz w:val="22"/>
                <w:szCs w:val="22"/>
                <w:color w:val="auto"/>
              </w:rPr>
              <w:t>$</w:t>
            </w:r>
          </w:p>
        </w:tc>
        <w:tc>
          <w:tcPr>
            <w:tcW w:w="880" w:type="dxa"/>
            <w:vAlign w:val="bottom"/>
          </w:tcPr>
          <w:p>
            <w:pPr>
              <w:jc w:val="right"/>
              <w:ind w:right="72"/>
              <w:spacing w:after="0"/>
              <w:rPr>
                <w:sz w:val="20"/>
                <w:szCs w:val="20"/>
                <w:color w:val="auto"/>
              </w:rPr>
            </w:pPr>
            <w:r>
              <w:rPr>
                <w:rFonts w:ascii="Arial" w:cs="Arial" w:eastAsia="Arial" w:hAnsi="Arial"/>
                <w:sz w:val="22"/>
                <w:szCs w:val="22"/>
                <w:color w:val="auto"/>
                <w:w w:val="92"/>
              </w:rPr>
              <w:t>1,024.7</w:t>
            </w:r>
          </w:p>
        </w:tc>
      </w:tr>
      <w:tr>
        <w:trPr>
          <w:trHeight w:val="270"/>
        </w:trPr>
        <w:tc>
          <w:tcPr>
            <w:tcW w:w="4280" w:type="dxa"/>
            <w:vAlign w:val="bottom"/>
          </w:tcPr>
          <w:p>
            <w:pPr>
              <w:ind w:left="120"/>
              <w:spacing w:after="0"/>
              <w:rPr>
                <w:sz w:val="20"/>
                <w:szCs w:val="20"/>
                <w:color w:val="auto"/>
              </w:rPr>
            </w:pPr>
            <w:r>
              <w:rPr>
                <w:rFonts w:ascii="Arial" w:cs="Arial" w:eastAsia="Arial" w:hAnsi="Arial"/>
                <w:sz w:val="22"/>
                <w:szCs w:val="22"/>
                <w:color w:val="auto"/>
              </w:rPr>
              <w:t>Net assets</w:t>
            </w:r>
          </w:p>
        </w:tc>
        <w:tc>
          <w:tcPr>
            <w:tcW w:w="420" w:type="dxa"/>
            <w:vAlign w:val="bottom"/>
          </w:tcPr>
          <w:p>
            <w:pPr>
              <w:jc w:val="right"/>
              <w:spacing w:after="0"/>
              <w:rPr>
                <w:sz w:val="20"/>
                <w:szCs w:val="20"/>
                <w:color w:val="auto"/>
              </w:rPr>
            </w:pPr>
            <w:r>
              <w:rPr>
                <w:rFonts w:ascii="Arial" w:cs="Arial" w:eastAsia="Arial" w:hAnsi="Arial"/>
                <w:sz w:val="22"/>
                <w:szCs w:val="22"/>
                <w:color w:val="auto"/>
              </w:rPr>
              <w:t>$</w:t>
            </w:r>
          </w:p>
        </w:tc>
        <w:tc>
          <w:tcPr>
            <w:tcW w:w="880" w:type="dxa"/>
            <w:vAlign w:val="bottom"/>
          </w:tcPr>
          <w:p>
            <w:pPr>
              <w:jc w:val="right"/>
              <w:ind w:right="72"/>
              <w:spacing w:after="0"/>
              <w:rPr>
                <w:sz w:val="20"/>
                <w:szCs w:val="20"/>
                <w:color w:val="auto"/>
              </w:rPr>
            </w:pPr>
            <w:r>
              <w:rPr>
                <w:rFonts w:ascii="Arial" w:cs="Arial" w:eastAsia="Arial" w:hAnsi="Arial"/>
                <w:sz w:val="22"/>
                <w:szCs w:val="22"/>
                <w:color w:val="auto"/>
              </w:rPr>
              <w:t>636.1</w:t>
            </w:r>
          </w:p>
        </w:tc>
      </w:tr>
      <w:tr>
        <w:trPr>
          <w:trHeight w:val="274"/>
        </w:trPr>
        <w:tc>
          <w:tcPr>
            <w:tcW w:w="4280" w:type="dxa"/>
            <w:vAlign w:val="bottom"/>
          </w:tcPr>
          <w:p>
            <w:pPr>
              <w:ind w:left="120"/>
              <w:spacing w:after="0"/>
              <w:rPr>
                <w:sz w:val="20"/>
                <w:szCs w:val="20"/>
                <w:color w:val="auto"/>
              </w:rPr>
            </w:pPr>
            <w:r>
              <w:rPr>
                <w:rFonts w:ascii="Arial" w:cs="Arial" w:eastAsia="Arial" w:hAnsi="Arial"/>
                <w:sz w:val="22"/>
                <w:szCs w:val="22"/>
                <w:color w:val="auto"/>
              </w:rPr>
              <w:t>Net asset value per share</w:t>
            </w:r>
          </w:p>
        </w:tc>
        <w:tc>
          <w:tcPr>
            <w:tcW w:w="420" w:type="dxa"/>
            <w:vAlign w:val="bottom"/>
          </w:tcPr>
          <w:p>
            <w:pPr>
              <w:jc w:val="right"/>
              <w:spacing w:after="0"/>
              <w:rPr>
                <w:sz w:val="20"/>
                <w:szCs w:val="20"/>
                <w:color w:val="auto"/>
              </w:rPr>
            </w:pPr>
            <w:r>
              <w:rPr>
                <w:rFonts w:ascii="Arial" w:cs="Arial" w:eastAsia="Arial" w:hAnsi="Arial"/>
                <w:sz w:val="22"/>
                <w:szCs w:val="22"/>
                <w:color w:val="auto"/>
              </w:rPr>
              <w:t>$</w:t>
            </w:r>
          </w:p>
        </w:tc>
        <w:tc>
          <w:tcPr>
            <w:tcW w:w="880" w:type="dxa"/>
            <w:vAlign w:val="bottom"/>
          </w:tcPr>
          <w:p>
            <w:pPr>
              <w:jc w:val="right"/>
              <w:ind w:right="72"/>
              <w:spacing w:after="0"/>
              <w:rPr>
                <w:sz w:val="20"/>
                <w:szCs w:val="20"/>
                <w:color w:val="auto"/>
              </w:rPr>
            </w:pPr>
            <w:r>
              <w:rPr>
                <w:rFonts w:ascii="Arial" w:cs="Arial" w:eastAsia="Arial" w:hAnsi="Arial"/>
                <w:sz w:val="22"/>
                <w:szCs w:val="22"/>
                <w:color w:val="auto"/>
              </w:rPr>
              <w:t>9.09</w:t>
            </w:r>
          </w:p>
        </w:tc>
      </w:tr>
      <w:tr>
        <w:trPr>
          <w:trHeight w:val="536"/>
        </w:trPr>
        <w:tc>
          <w:tcPr>
            <w:tcW w:w="4280" w:type="dxa"/>
            <w:vAlign w:val="bottom"/>
          </w:tcPr>
          <w:p>
            <w:pPr>
              <w:ind w:left="120"/>
              <w:spacing w:after="0"/>
              <w:rPr>
                <w:sz w:val="20"/>
                <w:szCs w:val="20"/>
                <w:color w:val="auto"/>
              </w:rPr>
            </w:pPr>
            <w:r>
              <w:rPr>
                <w:rFonts w:ascii="Arial" w:cs="Arial" w:eastAsia="Arial" w:hAnsi="Arial"/>
                <w:sz w:val="22"/>
                <w:szCs w:val="22"/>
                <w:color w:val="auto"/>
              </w:rPr>
              <w:t>Credit Facility</w:t>
            </w:r>
          </w:p>
        </w:tc>
        <w:tc>
          <w:tcPr>
            <w:tcW w:w="420" w:type="dxa"/>
            <w:vAlign w:val="bottom"/>
          </w:tcPr>
          <w:p>
            <w:pPr>
              <w:jc w:val="right"/>
              <w:spacing w:after="0"/>
              <w:rPr>
                <w:sz w:val="20"/>
                <w:szCs w:val="20"/>
                <w:color w:val="auto"/>
              </w:rPr>
            </w:pPr>
            <w:r>
              <w:rPr>
                <w:rFonts w:ascii="Arial" w:cs="Arial" w:eastAsia="Arial" w:hAnsi="Arial"/>
                <w:sz w:val="22"/>
                <w:szCs w:val="22"/>
                <w:color w:val="auto"/>
              </w:rPr>
              <w:t>$</w:t>
            </w:r>
          </w:p>
        </w:tc>
        <w:tc>
          <w:tcPr>
            <w:tcW w:w="880" w:type="dxa"/>
            <w:vAlign w:val="bottom"/>
          </w:tcPr>
          <w:p>
            <w:pPr>
              <w:jc w:val="right"/>
              <w:ind w:right="72"/>
              <w:spacing w:after="0"/>
              <w:rPr>
                <w:sz w:val="20"/>
                <w:szCs w:val="20"/>
                <w:color w:val="auto"/>
              </w:rPr>
            </w:pPr>
            <w:r>
              <w:rPr>
                <w:rFonts w:ascii="Arial" w:cs="Arial" w:eastAsia="Arial" w:hAnsi="Arial"/>
                <w:sz w:val="22"/>
                <w:szCs w:val="22"/>
                <w:color w:val="auto"/>
              </w:rPr>
              <w:t>39.3</w:t>
            </w:r>
          </w:p>
        </w:tc>
      </w:tr>
      <w:tr>
        <w:trPr>
          <w:trHeight w:val="270"/>
        </w:trPr>
        <w:tc>
          <w:tcPr>
            <w:tcW w:w="4280" w:type="dxa"/>
            <w:vAlign w:val="bottom"/>
          </w:tcPr>
          <w:p>
            <w:pPr>
              <w:ind w:left="120"/>
              <w:spacing w:after="0"/>
              <w:rPr>
                <w:sz w:val="20"/>
                <w:szCs w:val="20"/>
                <w:color w:val="auto"/>
              </w:rPr>
            </w:pPr>
            <w:r>
              <w:rPr>
                <w:rFonts w:ascii="Arial" w:cs="Arial" w:eastAsia="Arial" w:hAnsi="Arial"/>
                <w:sz w:val="22"/>
                <w:szCs w:val="22"/>
                <w:color w:val="auto"/>
              </w:rPr>
              <w:t>2019 Notes</w:t>
            </w:r>
          </w:p>
        </w:tc>
        <w:tc>
          <w:tcPr>
            <w:tcW w:w="420" w:type="dxa"/>
            <w:vAlign w:val="bottom"/>
          </w:tcPr>
          <w:p>
            <w:pPr>
              <w:jc w:val="right"/>
              <w:spacing w:after="0"/>
              <w:rPr>
                <w:sz w:val="20"/>
                <w:szCs w:val="20"/>
                <w:color w:val="auto"/>
              </w:rPr>
            </w:pPr>
            <w:r>
              <w:rPr>
                <w:rFonts w:ascii="Arial" w:cs="Arial" w:eastAsia="Arial" w:hAnsi="Arial"/>
                <w:sz w:val="22"/>
                <w:szCs w:val="22"/>
                <w:color w:val="auto"/>
              </w:rPr>
              <w:t>$</w:t>
            </w:r>
          </w:p>
        </w:tc>
        <w:tc>
          <w:tcPr>
            <w:tcW w:w="880" w:type="dxa"/>
            <w:vAlign w:val="bottom"/>
          </w:tcPr>
          <w:p>
            <w:pPr>
              <w:jc w:val="right"/>
              <w:ind w:right="72"/>
              <w:spacing w:after="0"/>
              <w:rPr>
                <w:sz w:val="20"/>
                <w:szCs w:val="20"/>
                <w:color w:val="auto"/>
              </w:rPr>
            </w:pPr>
            <w:r>
              <w:rPr>
                <w:rFonts w:ascii="Arial" w:cs="Arial" w:eastAsia="Arial" w:hAnsi="Arial"/>
                <w:sz w:val="22"/>
                <w:szCs w:val="22"/>
                <w:color w:val="auto"/>
              </w:rPr>
              <w:t>251.4</w:t>
            </w:r>
          </w:p>
        </w:tc>
      </w:tr>
      <w:tr>
        <w:trPr>
          <w:trHeight w:val="274"/>
        </w:trPr>
        <w:tc>
          <w:tcPr>
            <w:tcW w:w="4280" w:type="dxa"/>
            <w:vAlign w:val="bottom"/>
          </w:tcPr>
          <w:p>
            <w:pPr>
              <w:ind w:left="120"/>
              <w:spacing w:after="0"/>
              <w:rPr>
                <w:sz w:val="20"/>
                <w:szCs w:val="20"/>
                <w:color w:val="auto"/>
              </w:rPr>
            </w:pPr>
            <w:r>
              <w:rPr>
                <w:rFonts w:ascii="Arial" w:cs="Arial" w:eastAsia="Arial" w:hAnsi="Arial"/>
                <w:sz w:val="22"/>
                <w:szCs w:val="22"/>
                <w:color w:val="auto"/>
              </w:rPr>
              <w:t>SBA Debentures</w:t>
            </w:r>
          </w:p>
        </w:tc>
        <w:tc>
          <w:tcPr>
            <w:tcW w:w="420" w:type="dxa"/>
            <w:vAlign w:val="bottom"/>
          </w:tcPr>
          <w:p>
            <w:pPr>
              <w:jc w:val="right"/>
              <w:spacing w:after="0"/>
              <w:rPr>
                <w:sz w:val="20"/>
                <w:szCs w:val="20"/>
                <w:color w:val="auto"/>
              </w:rPr>
            </w:pPr>
            <w:r>
              <w:rPr>
                <w:rFonts w:ascii="Arial" w:cs="Arial" w:eastAsia="Arial" w:hAnsi="Arial"/>
                <w:sz w:val="22"/>
                <w:szCs w:val="22"/>
                <w:color w:val="auto"/>
              </w:rPr>
              <w:t>$</w:t>
            </w:r>
          </w:p>
        </w:tc>
        <w:tc>
          <w:tcPr>
            <w:tcW w:w="880" w:type="dxa"/>
            <w:vAlign w:val="bottom"/>
          </w:tcPr>
          <w:p>
            <w:pPr>
              <w:jc w:val="right"/>
              <w:ind w:right="72"/>
              <w:spacing w:after="0"/>
              <w:rPr>
                <w:sz w:val="20"/>
                <w:szCs w:val="20"/>
                <w:color w:val="auto"/>
              </w:rPr>
            </w:pPr>
            <w:r>
              <w:rPr>
                <w:rFonts w:ascii="Arial" w:cs="Arial" w:eastAsia="Arial" w:hAnsi="Arial"/>
                <w:sz w:val="22"/>
                <w:szCs w:val="22"/>
                <w:color w:val="auto"/>
              </w:rPr>
              <w:t>175.2</w:t>
            </w:r>
          </w:p>
        </w:tc>
      </w:tr>
      <w:tr>
        <w:trPr>
          <w:trHeight w:val="540"/>
        </w:trPr>
        <w:tc>
          <w:tcPr>
            <w:tcW w:w="4280" w:type="dxa"/>
            <w:vAlign w:val="bottom"/>
          </w:tcPr>
          <w:p>
            <w:pPr>
              <w:ind w:left="120"/>
              <w:spacing w:after="0"/>
              <w:rPr>
                <w:sz w:val="20"/>
                <w:szCs w:val="20"/>
                <w:color w:val="auto"/>
              </w:rPr>
            </w:pPr>
            <w:r>
              <w:rPr>
                <w:rFonts w:ascii="Arial" w:cs="Arial" w:eastAsia="Arial" w:hAnsi="Arial"/>
                <w:sz w:val="22"/>
                <w:szCs w:val="22"/>
                <w:color w:val="auto"/>
              </w:rPr>
              <w:t>Yield on debt investments at quarter-end</w:t>
            </w: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11.4%</w:t>
            </w:r>
          </w:p>
        </w:tc>
      </w:tr>
      <w:tr>
        <w:trPr>
          <w:trHeight w:val="536"/>
        </w:trPr>
        <w:tc>
          <w:tcPr>
            <w:tcW w:w="4280" w:type="dxa"/>
            <w:vAlign w:val="bottom"/>
          </w:tcPr>
          <w:p>
            <w:pPr>
              <w:spacing w:after="0"/>
              <w:rPr>
                <w:sz w:val="20"/>
                <w:szCs w:val="20"/>
                <w:color w:val="auto"/>
              </w:rPr>
            </w:pPr>
            <w:r>
              <w:rPr>
                <w:rFonts w:ascii="Arial" w:cs="Arial" w:eastAsia="Arial" w:hAnsi="Arial"/>
                <w:sz w:val="22"/>
                <w:szCs w:val="22"/>
                <w:color w:val="auto"/>
              </w:rPr>
              <w:t>Operating Results:</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0"/>
        </w:trPr>
        <w:tc>
          <w:tcPr>
            <w:tcW w:w="4280" w:type="dxa"/>
            <w:vAlign w:val="bottom"/>
          </w:tcPr>
          <w:p>
            <w:pPr>
              <w:ind w:left="120"/>
              <w:spacing w:after="0"/>
              <w:rPr>
                <w:sz w:val="20"/>
                <w:szCs w:val="20"/>
                <w:color w:val="auto"/>
              </w:rPr>
            </w:pPr>
            <w:r>
              <w:rPr>
                <w:rFonts w:ascii="Arial" w:cs="Arial" w:eastAsia="Arial" w:hAnsi="Arial"/>
                <w:sz w:val="22"/>
                <w:szCs w:val="22"/>
                <w:color w:val="auto"/>
              </w:rPr>
              <w:t>Net investment income</w:t>
            </w:r>
          </w:p>
        </w:tc>
        <w:tc>
          <w:tcPr>
            <w:tcW w:w="420" w:type="dxa"/>
            <w:vAlign w:val="bottom"/>
          </w:tcPr>
          <w:p>
            <w:pPr>
              <w:jc w:val="right"/>
              <w:spacing w:after="0"/>
              <w:rPr>
                <w:sz w:val="20"/>
                <w:szCs w:val="20"/>
                <w:color w:val="auto"/>
              </w:rPr>
            </w:pPr>
            <w:r>
              <w:rPr>
                <w:rFonts w:ascii="Arial" w:cs="Arial" w:eastAsia="Arial" w:hAnsi="Arial"/>
                <w:sz w:val="22"/>
                <w:szCs w:val="22"/>
                <w:color w:val="auto"/>
              </w:rPr>
              <w:t>$</w:t>
            </w:r>
          </w:p>
        </w:tc>
        <w:tc>
          <w:tcPr>
            <w:tcW w:w="880" w:type="dxa"/>
            <w:vAlign w:val="bottom"/>
          </w:tcPr>
          <w:p>
            <w:pPr>
              <w:jc w:val="right"/>
              <w:ind w:right="72"/>
              <w:spacing w:after="0"/>
              <w:rPr>
                <w:sz w:val="20"/>
                <w:szCs w:val="20"/>
                <w:color w:val="auto"/>
              </w:rPr>
            </w:pPr>
            <w:r>
              <w:rPr>
                <w:rFonts w:ascii="Arial" w:cs="Arial" w:eastAsia="Arial" w:hAnsi="Arial"/>
                <w:sz w:val="22"/>
                <w:szCs w:val="22"/>
                <w:color w:val="auto"/>
              </w:rPr>
              <w:t>11.8</w:t>
            </w:r>
          </w:p>
        </w:tc>
      </w:tr>
      <w:tr>
        <w:trPr>
          <w:trHeight w:val="270"/>
        </w:trPr>
        <w:tc>
          <w:tcPr>
            <w:tcW w:w="4280" w:type="dxa"/>
            <w:vAlign w:val="bottom"/>
          </w:tcPr>
          <w:p>
            <w:pPr>
              <w:ind w:left="120"/>
              <w:spacing w:after="0"/>
              <w:rPr>
                <w:sz w:val="20"/>
                <w:szCs w:val="20"/>
                <w:color w:val="auto"/>
              </w:rPr>
            </w:pPr>
            <w:r>
              <w:rPr>
                <w:rFonts w:ascii="Arial" w:cs="Arial" w:eastAsia="Arial" w:hAnsi="Arial"/>
                <w:sz w:val="22"/>
                <w:szCs w:val="22"/>
                <w:color w:val="auto"/>
              </w:rPr>
              <w:t>Net investment income per share</w:t>
            </w:r>
          </w:p>
        </w:tc>
        <w:tc>
          <w:tcPr>
            <w:tcW w:w="420" w:type="dxa"/>
            <w:vAlign w:val="bottom"/>
          </w:tcPr>
          <w:p>
            <w:pPr>
              <w:jc w:val="right"/>
              <w:spacing w:after="0"/>
              <w:rPr>
                <w:sz w:val="20"/>
                <w:szCs w:val="20"/>
                <w:color w:val="auto"/>
              </w:rPr>
            </w:pPr>
            <w:r>
              <w:rPr>
                <w:rFonts w:ascii="Arial" w:cs="Arial" w:eastAsia="Arial" w:hAnsi="Arial"/>
                <w:sz w:val="22"/>
                <w:szCs w:val="22"/>
                <w:color w:val="auto"/>
              </w:rPr>
              <w:t>$</w:t>
            </w:r>
          </w:p>
        </w:tc>
        <w:tc>
          <w:tcPr>
            <w:tcW w:w="880" w:type="dxa"/>
            <w:vAlign w:val="bottom"/>
          </w:tcPr>
          <w:p>
            <w:pPr>
              <w:jc w:val="right"/>
              <w:ind w:right="72"/>
              <w:spacing w:after="0"/>
              <w:rPr>
                <w:sz w:val="20"/>
                <w:szCs w:val="20"/>
                <w:color w:val="auto"/>
              </w:rPr>
            </w:pPr>
            <w:r>
              <w:rPr>
                <w:rFonts w:ascii="Arial" w:cs="Arial" w:eastAsia="Arial" w:hAnsi="Arial"/>
                <w:sz w:val="22"/>
                <w:szCs w:val="22"/>
                <w:color w:val="auto"/>
              </w:rPr>
              <w:t>0.17</w:t>
            </w:r>
          </w:p>
        </w:tc>
      </w:tr>
      <w:tr>
        <w:trPr>
          <w:trHeight w:val="274"/>
        </w:trPr>
        <w:tc>
          <w:tcPr>
            <w:tcW w:w="4280" w:type="dxa"/>
            <w:vAlign w:val="bottom"/>
          </w:tcPr>
          <w:p>
            <w:pPr>
              <w:ind w:left="120"/>
              <w:spacing w:after="0"/>
              <w:rPr>
                <w:sz w:val="20"/>
                <w:szCs w:val="20"/>
                <w:color w:val="auto"/>
              </w:rPr>
            </w:pPr>
            <w:r>
              <w:rPr>
                <w:rFonts w:ascii="Arial" w:cs="Arial" w:eastAsia="Arial" w:hAnsi="Arial"/>
                <w:sz w:val="22"/>
                <w:szCs w:val="22"/>
                <w:color w:val="auto"/>
              </w:rPr>
              <w:t>Distributions declared per share</w:t>
            </w:r>
          </w:p>
        </w:tc>
        <w:tc>
          <w:tcPr>
            <w:tcW w:w="420" w:type="dxa"/>
            <w:vAlign w:val="bottom"/>
          </w:tcPr>
          <w:p>
            <w:pPr>
              <w:jc w:val="right"/>
              <w:spacing w:after="0"/>
              <w:rPr>
                <w:sz w:val="20"/>
                <w:szCs w:val="20"/>
                <w:color w:val="auto"/>
              </w:rPr>
            </w:pPr>
            <w:r>
              <w:rPr>
                <w:rFonts w:ascii="Arial" w:cs="Arial" w:eastAsia="Arial" w:hAnsi="Arial"/>
                <w:sz w:val="22"/>
                <w:szCs w:val="22"/>
                <w:color w:val="auto"/>
              </w:rPr>
              <w:t>$</w:t>
            </w:r>
          </w:p>
        </w:tc>
        <w:tc>
          <w:tcPr>
            <w:tcW w:w="880" w:type="dxa"/>
            <w:vAlign w:val="bottom"/>
          </w:tcPr>
          <w:p>
            <w:pPr>
              <w:jc w:val="right"/>
              <w:ind w:right="72"/>
              <w:spacing w:after="0"/>
              <w:rPr>
                <w:sz w:val="20"/>
                <w:szCs w:val="20"/>
                <w:color w:val="auto"/>
              </w:rPr>
            </w:pPr>
            <w:r>
              <w:rPr>
                <w:rFonts w:ascii="Arial" w:cs="Arial" w:eastAsia="Arial" w:hAnsi="Arial"/>
                <w:sz w:val="22"/>
                <w:szCs w:val="22"/>
                <w:color w:val="auto"/>
              </w:rPr>
              <w:t>0.18</w:t>
            </w:r>
          </w:p>
        </w:tc>
      </w:tr>
      <w:tr>
        <w:trPr>
          <w:trHeight w:val="536"/>
        </w:trPr>
        <w:tc>
          <w:tcPr>
            <w:tcW w:w="4280" w:type="dxa"/>
            <w:vAlign w:val="bottom"/>
          </w:tcPr>
          <w:p>
            <w:pPr>
              <w:spacing w:after="0"/>
              <w:rPr>
                <w:sz w:val="20"/>
                <w:szCs w:val="20"/>
                <w:color w:val="auto"/>
              </w:rPr>
            </w:pPr>
            <w:r>
              <w:rPr>
                <w:rFonts w:ascii="Arial" w:cs="Arial" w:eastAsia="Arial" w:hAnsi="Arial"/>
                <w:sz w:val="22"/>
                <w:szCs w:val="22"/>
                <w:color w:val="auto"/>
              </w:rPr>
              <w:t>Portfolio Activity:</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0"/>
        </w:trPr>
        <w:tc>
          <w:tcPr>
            <w:tcW w:w="4280" w:type="dxa"/>
            <w:vAlign w:val="bottom"/>
          </w:tcPr>
          <w:p>
            <w:pPr>
              <w:ind w:left="120"/>
              <w:spacing w:after="0"/>
              <w:rPr>
                <w:sz w:val="20"/>
                <w:szCs w:val="20"/>
                <w:color w:val="auto"/>
              </w:rPr>
            </w:pPr>
            <w:r>
              <w:rPr>
                <w:rFonts w:ascii="Arial" w:cs="Arial" w:eastAsia="Arial" w:hAnsi="Arial"/>
                <w:sz w:val="22"/>
                <w:szCs w:val="22"/>
                <w:color w:val="auto"/>
              </w:rPr>
              <w:t>Purchases of investments</w:t>
            </w:r>
          </w:p>
        </w:tc>
        <w:tc>
          <w:tcPr>
            <w:tcW w:w="420" w:type="dxa"/>
            <w:vAlign w:val="bottom"/>
          </w:tcPr>
          <w:p>
            <w:pPr>
              <w:jc w:val="right"/>
              <w:spacing w:after="0"/>
              <w:rPr>
                <w:sz w:val="20"/>
                <w:szCs w:val="20"/>
                <w:color w:val="auto"/>
              </w:rPr>
            </w:pPr>
            <w:r>
              <w:rPr>
                <w:rFonts w:ascii="Arial" w:cs="Arial" w:eastAsia="Arial" w:hAnsi="Arial"/>
                <w:sz w:val="22"/>
                <w:szCs w:val="22"/>
                <w:color w:val="auto"/>
              </w:rPr>
              <w:t>$</w:t>
            </w:r>
          </w:p>
        </w:tc>
        <w:tc>
          <w:tcPr>
            <w:tcW w:w="880" w:type="dxa"/>
            <w:vAlign w:val="bottom"/>
          </w:tcPr>
          <w:p>
            <w:pPr>
              <w:jc w:val="right"/>
              <w:ind w:right="72"/>
              <w:spacing w:after="0"/>
              <w:rPr>
                <w:sz w:val="20"/>
                <w:szCs w:val="20"/>
                <w:color w:val="auto"/>
              </w:rPr>
            </w:pPr>
            <w:r>
              <w:rPr>
                <w:rFonts w:ascii="Arial" w:cs="Arial" w:eastAsia="Arial" w:hAnsi="Arial"/>
                <w:sz w:val="22"/>
                <w:szCs w:val="22"/>
                <w:color w:val="auto"/>
              </w:rPr>
              <w:t>187.9</w:t>
            </w:r>
          </w:p>
        </w:tc>
      </w:tr>
      <w:tr>
        <w:trPr>
          <w:trHeight w:val="274"/>
        </w:trPr>
        <w:tc>
          <w:tcPr>
            <w:tcW w:w="4280" w:type="dxa"/>
            <w:vAlign w:val="bottom"/>
          </w:tcPr>
          <w:p>
            <w:pPr>
              <w:ind w:left="120"/>
              <w:spacing w:after="0"/>
              <w:rPr>
                <w:sz w:val="20"/>
                <w:szCs w:val="20"/>
                <w:color w:val="auto"/>
              </w:rPr>
            </w:pPr>
            <w:r>
              <w:rPr>
                <w:rFonts w:ascii="Arial" w:cs="Arial" w:eastAsia="Arial" w:hAnsi="Arial"/>
                <w:sz w:val="22"/>
                <w:szCs w:val="22"/>
                <w:color w:val="auto"/>
              </w:rPr>
              <w:t>Sales and repayments of investments</w:t>
            </w:r>
          </w:p>
        </w:tc>
        <w:tc>
          <w:tcPr>
            <w:tcW w:w="420" w:type="dxa"/>
            <w:vAlign w:val="bottom"/>
          </w:tcPr>
          <w:p>
            <w:pPr>
              <w:jc w:val="right"/>
              <w:spacing w:after="0"/>
              <w:rPr>
                <w:sz w:val="20"/>
                <w:szCs w:val="20"/>
                <w:color w:val="auto"/>
              </w:rPr>
            </w:pPr>
            <w:r>
              <w:rPr>
                <w:rFonts w:ascii="Arial" w:cs="Arial" w:eastAsia="Arial" w:hAnsi="Arial"/>
                <w:sz w:val="22"/>
                <w:szCs w:val="22"/>
                <w:color w:val="auto"/>
              </w:rPr>
              <w:t>$</w:t>
            </w:r>
          </w:p>
        </w:tc>
        <w:tc>
          <w:tcPr>
            <w:tcW w:w="880" w:type="dxa"/>
            <w:vAlign w:val="bottom"/>
          </w:tcPr>
          <w:p>
            <w:pPr>
              <w:jc w:val="right"/>
              <w:ind w:right="72"/>
              <w:spacing w:after="0"/>
              <w:rPr>
                <w:sz w:val="20"/>
                <w:szCs w:val="20"/>
                <w:color w:val="auto"/>
              </w:rPr>
            </w:pPr>
            <w:r>
              <w:rPr>
                <w:rFonts w:ascii="Arial" w:cs="Arial" w:eastAsia="Arial" w:hAnsi="Arial"/>
                <w:sz w:val="22"/>
                <w:szCs w:val="22"/>
                <w:color w:val="auto"/>
              </w:rPr>
              <w:t>117.7</w:t>
            </w:r>
          </w:p>
        </w:tc>
      </w:tr>
      <w:tr>
        <w:trPr>
          <w:trHeight w:val="536"/>
        </w:trPr>
        <w:tc>
          <w:tcPr>
            <w:tcW w:w="4280" w:type="dxa"/>
            <w:vAlign w:val="bottom"/>
          </w:tcPr>
          <w:p>
            <w:pPr>
              <w:ind w:left="120"/>
              <w:spacing w:after="0"/>
              <w:rPr>
                <w:sz w:val="20"/>
                <w:szCs w:val="20"/>
                <w:color w:val="auto"/>
              </w:rPr>
            </w:pPr>
            <w:r>
              <w:rPr>
                <w:rFonts w:ascii="Arial" w:cs="Arial" w:eastAsia="Arial" w:hAnsi="Arial"/>
                <w:sz w:val="22"/>
                <w:szCs w:val="22"/>
                <w:color w:val="auto"/>
                <w:w w:val="95"/>
              </w:rPr>
              <w:t>Number of new portfolio companies invested</w:t>
            </w:r>
          </w:p>
        </w:tc>
        <w:tc>
          <w:tcPr>
            <w:tcW w:w="420" w:type="dxa"/>
            <w:vAlign w:val="bottom"/>
          </w:tcPr>
          <w:p>
            <w:pPr>
              <w:spacing w:after="0"/>
              <w:rPr>
                <w:sz w:val="24"/>
                <w:szCs w:val="24"/>
                <w:color w:val="auto"/>
              </w:rPr>
            </w:pPr>
          </w:p>
        </w:tc>
        <w:tc>
          <w:tcPr>
            <w:tcW w:w="880" w:type="dxa"/>
            <w:vAlign w:val="bottom"/>
          </w:tcPr>
          <w:p>
            <w:pPr>
              <w:jc w:val="right"/>
              <w:ind w:right="72"/>
              <w:spacing w:after="0"/>
              <w:rPr>
                <w:sz w:val="20"/>
                <w:szCs w:val="20"/>
                <w:color w:val="auto"/>
              </w:rPr>
            </w:pPr>
            <w:r>
              <w:rPr>
                <w:rFonts w:ascii="Arial" w:cs="Arial" w:eastAsia="Arial" w:hAnsi="Arial"/>
                <w:sz w:val="22"/>
                <w:szCs w:val="22"/>
                <w:color w:val="auto"/>
              </w:rPr>
              <w:t>5</w:t>
            </w:r>
          </w:p>
        </w:tc>
      </w:tr>
      <w:tr>
        <w:trPr>
          <w:trHeight w:val="243"/>
        </w:trPr>
        <w:tc>
          <w:tcPr>
            <w:tcW w:w="4280" w:type="dxa"/>
            <w:vAlign w:val="bottom"/>
          </w:tcPr>
          <w:p>
            <w:pPr>
              <w:ind w:left="120"/>
              <w:spacing w:after="0" w:line="243" w:lineRule="exact"/>
              <w:rPr>
                <w:sz w:val="20"/>
                <w:szCs w:val="20"/>
                <w:color w:val="auto"/>
              </w:rPr>
            </w:pPr>
            <w:r>
              <w:rPr>
                <w:rFonts w:ascii="Arial" w:cs="Arial" w:eastAsia="Arial" w:hAnsi="Arial"/>
                <w:sz w:val="22"/>
                <w:szCs w:val="22"/>
                <w:color w:val="auto"/>
              </w:rPr>
              <w:t>Number of existing portfolio companies</w:t>
            </w:r>
          </w:p>
        </w:tc>
        <w:tc>
          <w:tcPr>
            <w:tcW w:w="4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0"/>
        </w:trPr>
        <w:tc>
          <w:tcPr>
            <w:tcW w:w="4280" w:type="dxa"/>
            <w:vAlign w:val="bottom"/>
          </w:tcPr>
          <w:p>
            <w:pPr>
              <w:ind w:left="120"/>
              <w:spacing w:after="0"/>
              <w:rPr>
                <w:sz w:val="20"/>
                <w:szCs w:val="20"/>
                <w:color w:val="auto"/>
              </w:rPr>
            </w:pPr>
            <w:r>
              <w:rPr>
                <w:rFonts w:ascii="Arial" w:cs="Arial" w:eastAsia="Arial" w:hAnsi="Arial"/>
                <w:sz w:val="22"/>
                <w:szCs w:val="22"/>
                <w:color w:val="auto"/>
              </w:rPr>
              <w:t>invested</w:t>
            </w:r>
          </w:p>
        </w:tc>
        <w:tc>
          <w:tcPr>
            <w:tcW w:w="42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Arial" w:cs="Arial" w:eastAsia="Arial" w:hAnsi="Arial"/>
                <w:sz w:val="22"/>
                <w:szCs w:val="22"/>
                <w:color w:val="auto"/>
              </w:rPr>
              <w:t>12</w:t>
            </w:r>
          </w:p>
        </w:tc>
      </w:tr>
      <w:tr>
        <w:trPr>
          <w:trHeight w:val="274"/>
        </w:trPr>
        <w:tc>
          <w:tcPr>
            <w:tcW w:w="4280" w:type="dxa"/>
            <w:vAlign w:val="bottom"/>
          </w:tcPr>
          <w:p>
            <w:pPr>
              <w:ind w:left="120"/>
              <w:spacing w:after="0"/>
              <w:rPr>
                <w:sz w:val="20"/>
                <w:szCs w:val="20"/>
                <w:color w:val="auto"/>
              </w:rPr>
            </w:pPr>
            <w:r>
              <w:rPr>
                <w:rFonts w:ascii="Arial" w:cs="Arial" w:eastAsia="Arial" w:hAnsi="Arial"/>
                <w:sz w:val="22"/>
                <w:szCs w:val="22"/>
                <w:color w:val="auto"/>
              </w:rPr>
              <w:t>Number of ending portfolio companies</w:t>
            </w:r>
          </w:p>
        </w:tc>
        <w:tc>
          <w:tcPr>
            <w:tcW w:w="42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Arial" w:cs="Arial" w:eastAsia="Arial" w:hAnsi="Arial"/>
                <w:sz w:val="22"/>
                <w:szCs w:val="22"/>
                <w:color w:val="auto"/>
              </w:rPr>
              <w:t>51</w:t>
            </w:r>
          </w:p>
        </w:tc>
      </w:tr>
    </w:tbl>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10:00 A.M. ET ON AUGUST 9, 2018</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PennantPark Investment Corporation (“we,” “our,” “us” or “Company”) will host a conference call at 10:00 a.m. (Eastern Time) on Thursday, August 9, 2018 to discuss its financial results. All interested parties are welcome to participate. You can access the conference call by dialing toll-free (800) 458-4121 approximately 5-10 minutes prior to the call. International callers should dial</w:t>
      </w:r>
    </w:p>
    <w:p>
      <w:pPr>
        <w:spacing w:after="0" w:line="1" w:lineRule="exact"/>
        <w:rPr>
          <w:sz w:val="20"/>
          <w:szCs w:val="20"/>
          <w:color w:val="auto"/>
        </w:rPr>
      </w:pPr>
    </w:p>
    <w:p>
      <w:pPr>
        <w:jc w:val="both"/>
        <w:ind w:firstLine="8"/>
        <w:spacing w:after="0" w:line="234" w:lineRule="auto"/>
        <w:tabs>
          <w:tab w:leader="none" w:pos="572" w:val="left"/>
        </w:tabs>
        <w:numPr>
          <w:ilvl w:val="0"/>
          <w:numId w:val="2"/>
        </w:numPr>
        <w:rPr>
          <w:rFonts w:ascii="Arial" w:cs="Arial" w:eastAsia="Arial" w:hAnsi="Arial"/>
          <w:sz w:val="22"/>
          <w:szCs w:val="22"/>
          <w:color w:val="auto"/>
        </w:rPr>
      </w:pPr>
      <w:r>
        <w:rPr>
          <w:rFonts w:ascii="Arial" w:cs="Arial" w:eastAsia="Arial" w:hAnsi="Arial"/>
          <w:sz w:val="22"/>
          <w:szCs w:val="22"/>
          <w:color w:val="auto"/>
        </w:rPr>
        <w:t>794-2093. All callers should reference PennantPark Investment Corporation. An archived replay of the call will be available through August 23, 2018 by calling toll-free (888) 203-1112. International callers please dial (719) 457-0820. For all phone replays, please reference conference ID #3268937.</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“We are pleased with the progress we are making on several fronts. Adding people to our platform has resulted in a significantly enhanced deal flow which puts us in a position to be both more active and selective. Our activity level in the quarter ended June 30, 2018, along with the increase in LIBOR, has resulted in a more senior secured portfolio with a current run rate net investment income which covers our dividend,” said Arthur H. Penn, Chairman and CEO. “We believe that with a generally stable underlying portfolio we should be able to provide investors with an attractive dividend stream along with potential upside as our equity investments are monetized.”</w:t>
      </w:r>
    </w:p>
    <w:p>
      <w:pPr>
        <w:spacing w:after="0" w:line="188"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As of June 30, 2018, our portfolio totaled $1,024.7 million and consisted of $442.5 million of first lien secured debt, $391.5 million of second lien secured debt, $33.8 million of subordinated debt and $156.9 million of preferred and common equity. Our debt portfolio consisted of 91% variable-rate investments and 9% fixed-rate investments. As of June 30, 2018, we had no portfolio companies on non-accrual. Overall, the portfolio had net unrealized depreciation of $106.6 million as of June 30, 2018. Our overall portfolio consisted of 51 companies with an average investment size of $20.1 million, had a weighted average yield on interest bearing debt investments of 11.4% and was invested 43% in first lien secured debt, 38% in second lien secured debt, 3% in subordinated debt and 16% in preferred and common equity.</w:t>
      </w:r>
    </w:p>
    <w:p>
      <w:pPr>
        <w:spacing w:after="0" w:line="184"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As of September 30, 2017, our portfolio totaled $1,153.6 million and consisted of $466.1 million of first lien secured debt, $399.5 million of second lien secured debt, $120.7 million of subordinated debt and $167.3 million of preferred and common</w:t>
      </w:r>
    </w:p>
    <w:p>
      <w:pPr>
        <w:sectPr>
          <w:pgSz w:w="11900" w:h="17008" w:orient="portrait"/>
          <w:cols w:equalWidth="0" w:num="1">
            <w:col w:w="11240"/>
          </w:cols>
          <w:pgMar w:left="320" w:top="112" w:right="339" w:bottom="0" w:gutter="0" w:footer="0" w:header="0"/>
        </w:sectPr>
      </w:pPr>
    </w:p>
    <w:bookmarkStart w:id="4" w:name="page5"/>
    <w:bookmarkEnd w:id="4"/>
    <w:p>
      <w:pPr>
        <w:jc w:val="both"/>
        <w:spacing w:after="0" w:line="248" w:lineRule="auto"/>
        <w:rPr>
          <w:sz w:val="20"/>
          <w:szCs w:val="20"/>
          <w:color w:val="auto"/>
        </w:rPr>
      </w:pPr>
      <w:r>
        <w:rPr>
          <w:rFonts w:ascii="Arial" w:cs="Arial" w:eastAsia="Arial" w:hAnsi="Arial"/>
          <w:sz w:val="21"/>
          <w:szCs w:val="21"/>
          <w:color w:val="auto"/>
        </w:rPr>
        <w:t>equity. Our debt portfolio consisted of 82% variable-rate investments (including 13% where London Interbank Offered Rate, or LIBOR was below the floor) and 18% fixed-rate investments. As of September 30, 2017, we had no portfolio companies on non-accrual. Overall, the portfolio had net unrealized depreciation of $56.4 million as of September 30, 2017. Our overall portfolio consisted of 55 companies with an average investment size of $21.0 million, had a weighted average yield on interest bearing debt investments of 11.5% and was invested 40% in first lien secured debt, 35% in second lien secured debt, 10% in subordinated debt and 15% in preferred and common equity.</w:t>
      </w:r>
    </w:p>
    <w:p>
      <w:pPr>
        <w:spacing w:after="0" w:line="177"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For the three months ended June 30, 2018, we invested $187.9 million in five new and 12 existing portfolio companies with a weighted average yield on debt investments of 10.5%. Sales and repayments of investments for the three months ended June 30, 2018 totaled $117.7 million. For the nine months ended June 30, 2018, we invested $423.3 million in 13 new and 25 existing portfolio companies with a weighted average yield on debt investments of 10.2%. Sales and repayments of investments for the nine months ended June 30, 2018 totaled $556.4 million.</w:t>
      </w:r>
    </w:p>
    <w:p>
      <w:pPr>
        <w:spacing w:after="0" w:line="178"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For the three months ended June 30, 2017, we invested $89.1 million in two new and six existing portfolio companies with a weighted average yield on debt investments of 10.6%. Sales and repayments of investments for the three months ended June 30, 2017 totaled $199.1 million. For the nine months ended June 30, 2017, we invested $378.8 million in 14 new and 20 existing portfolio companies with a weighted average yield on debt investments of 10.8%. Sales and repayments of investments for the nine months ended June 30, 2017 totaled $465.4 million.</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Set forth below are the results of operations for the three and nine months ended June 30, 2018 and 2017.</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pacing w:after="0" w:line="21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Investment income for the three and nine months ended June 30, 2018 was $24.8 million and $80.7 million, respectively, and was attributable to $11.4 million and $36.7 million from first lien secured debt, $12.2 million and $36.4 million from second lien secured debt and $1.2 million and $7.6 million from subordinated debt, preferred and common equity, respectively. This compares to investment income for the three and nine months ended June 30, 2017, which was $31.1 million and $96.7 million, respectively, and was attributable to $14.0 million and $42.3 million from first lien secured debt, $12.0 million and $37.7 million from second lien secured debt and $5.1 million and $16.7 million from subordinated debt, preferred and common equity, respectively. The decrease in investment income compared to the same periods in the prior year was primarily due to a reduction of our portfolio at cost.</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Net expenses for the three and nine months ended June 30, 2018 totaled $13.0 million and $41.3 million, respectively. Base management fee for the same periods totaled $3.8 million and $12.5 million (after a base management fee waiver of $0.9 million), incentive fee totaled $2.5 million and $8.0 million (after an incentive fee waiver of $0.5 million), debt related interest and expenses totaled $5.6 million and $17.4 million and general and administrative expenses totaled $1.1 million and $3.4 million, respectively. This compares to net expenses for the three and nine months ended June 30, 2017, which totaled $18.6 million and $53.0 million, respectively. Base management fee for the same periods totaled $4.9 million (after a base management fee waiver of $0.9 million) and $15.4 million (after a base management fee waiver of $3.0 million), incentive fee totaled $1.2 million (after an incentive fee waiver of $0.2 million) and $7.0 million (after an incentive fee waiver of $1.3 million), debt related interest and expenses totaled $10.6 million (including $3.9 million in amendment costs on the multi-currency, senior secured revolving credit facility, as amended and restated, or the Credit Facility) and $24.5 million (including $3.9 million in amendment costs on the Credit Facility), general and administrative expenses totaled $1.6 million and $4.8 million and provision for taxes totaled $0.4 million and $1.3 million, respectively. The decrease in expenses compared to the same periods in the prior year was primarily due to a decrease in debt related expenses and base management fees, which were partially offset by an increase in incentive fees.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Net investment income totaled $11.8 million and $39.4 million, or $0.17 and $0.55 per share, for the three and nine months ended June 30, 2018, respectively. Net investment income totaled $12.5 million and $43.7 million, or $0.18 and $0.61 per share, for the three and nine months ended June 30, 2017, respectively. The decrease in net investment income per share compared to the same periods in the prior year was primarily due to a lower yielding portfolio partially offset by a decrease in debt related expenses and base management fees.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Sales and repayments of investments for the three and nine months ended June 30, 2018 totaled $117.7 million and $556.4 million, respectively, and net realized gains totaled $17.4 million and $43.0 million, respectively. Sales and repayments of investments for the three and nine months ended June 30, 2017 totaled $199.1 million and $465.4 million, respectively, and net realized gains (losses) totaled $10.1 million and $(30.8) million, respectively. The change in realized gains/losses was primarily due to changes in the market conditions of our investments and the values at which they were realized.</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Credit Facility and Notes</w:t>
      </w:r>
    </w:p>
    <w:p>
      <w:pPr>
        <w:sectPr>
          <w:pgSz w:w="11900" w:h="16838" w:orient="portrait"/>
          <w:cols w:equalWidth="0" w:num="1">
            <w:col w:w="11240"/>
          </w:cols>
          <w:pgMar w:left="320" w:top="118" w:right="339" w:bottom="0" w:gutter="0" w:footer="0" w:header="0"/>
        </w:sectPr>
      </w:pPr>
    </w:p>
    <w:bookmarkStart w:id="5" w:name="page6"/>
    <w:bookmarkEnd w:id="5"/>
    <w:p>
      <w:pPr>
        <w:jc w:val="both"/>
        <w:spacing w:after="0" w:line="234" w:lineRule="auto"/>
        <w:rPr>
          <w:sz w:val="20"/>
          <w:szCs w:val="20"/>
          <w:color w:val="auto"/>
        </w:rPr>
      </w:pPr>
      <w:r>
        <w:rPr>
          <w:rFonts w:ascii="Arial" w:cs="Arial" w:eastAsia="Arial" w:hAnsi="Arial"/>
          <w:sz w:val="22"/>
          <w:szCs w:val="22"/>
          <w:color w:val="auto"/>
        </w:rPr>
        <w:t>For the three and nine months ended June 30, 2018, we reported net change in unrealized depreciation on investments of $13.9 million and $50.2 million, respectively. For the three and nine months ended June 30, 2017, we reported net change in unrealized (depreciation) appreciation on investments of $(1.7) million and $43.8 million, respectively. As of June 30, 2018 and September 30, 2017, our net unrealized depreciation on investments totaled $106.6 million and $56.4 million, respectively. The net change in unrealized depreciation on our investments was driven primarily by changes in the capital market conditions, the financial performance of certain portfolio companies and the reversal of unrealized appreciation/depreciation of investments that were realized.</w:t>
      </w:r>
    </w:p>
    <w:p>
      <w:pPr>
        <w:spacing w:after="0" w:line="191"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For the three and nine months ended June 30, 2018, our Credit Facility and our 4.50% notes due 2019, or 2019 Notes, had a net change in unrealized depreciation of $1.6 million and $3.1 million, respectively. For the three and nine months ended June 30, 2017, our Credit Facility, the 2019 Notes and our 6.25% notes due 2025, or 2025 Notes, had a net change in unrealized appreciation of $2.1 million and $2.4 million, respectively. As of June 30, 2018 and September 30, 2017, our net unrealized depreciation (appreciation) on the Credit Facility and the 2019 Notes totaled $0.8 million and $(2.3) million, respectively. The net change in unrealized depreciation compared to the same periods in the prior year was primarily due to changes in the capital markets.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Change in Net Assets Resulting From Operations</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Net change in net assets resulting from operations totaled $16.9 million and $35.2 million, or $0.24 and $0.50 per share, for the three and nine months ended June 30, 2018, respectively. This compares to a net change in net assets resulting from operations of $18.8 million and $54.3 million, or $0.26 and $0.77 per share, for the three and nine months ended June 30, 2017, respectively. The decrease in the net change in net assets from operations compared to the same periods in the prior year was primarily due to a lower yielding portfolio and depreciation of our investments.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annualized weighted average cost of debt for the nine months ended June 30, 2018 and 2017, inclusive of the fee on the undrawn commitment and amendment costs on the Credit Facility, amortized upfront fees on Small Business Administration, or SBA, debentures and debt issuance costs, was 4.59% and 4.99%, respectively.</w:t>
      </w:r>
    </w:p>
    <w:p>
      <w:pPr>
        <w:spacing w:after="0" w:line="18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As of June 30, 2018 and September 30, 2017, we had $41.5 million and $79.4 million, respectively, in outstanding borrowings under the Credit Facility. The Credit Facility had a weighted average interest rate of 2.94% and 2.42%, respectively, exclusive of the fee on undrawn commitments of 0.375%, as of June 30, 2018 and September 30, 2017. As of June 30, 2018 and September 30, 2017, we had $403.5 million and $365.6 million of unused borrowing capacity under our Credit Facility, respectively, subject to the regulatory restrictions.</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22"/>
          <w:szCs w:val="22"/>
          <w:color w:val="auto"/>
        </w:rPr>
        <w:t>As of June 30, 2018 and September 30, 2017, we had $250.0 million in aggregate principal amount of 2019 Notes outstanding with a fixed interest rate of 4.50% per year. As of June 30, 2018 and September 30, 2017, we had $180.0 million and $199.0 million in SBA debentures outstanding, respectively.</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As of June 30, 2018 and September 30, 2017, we had cash and cash equivalents of $107.1 million and $38.2 million, at fair value, respectively, available for investing and general corporate purposes. We believe our liquidity and capital resources are sufficient to take advantage of market opportunities.</w:t>
      </w:r>
    </w:p>
    <w:p>
      <w:pPr>
        <w:spacing w:after="0" w:line="18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Our operating activities provided cash of $173.7 million for the nine months ended June 30, 2018, and our financing activities used cash of $104.7 million for the same period. Our operating activities provided cash from sales and repayments on our investments and our financing activities used cash primarily to pay distributions to stockholders and net repayments under the Credit Facility and SBA debentures.</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22"/>
          <w:szCs w:val="22"/>
          <w:color w:val="auto"/>
        </w:rPr>
        <w:t>Our operating activities provided cash of $92.2 million for the nine months ended June 30, 2017, and our financing activities used cash of $65.2 million for the same period. Our operating activities provided cash from sales and repayments on our investments and our financing activities used cash primarily to redeem our 2025 Notes.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REPURCHASE PROGRAM</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On May 9, 2018, we announced a share repurchase program which allows us to repurchase up to $30 million of our outstanding common stock in the open market at prices below our net asset value as reported in our then most recently published consolidated financial statements. The shares may be purchased from time to time at prevailing market prices through open market transactions, including block transactions. Unless extended by our board of directors, the program, which may be implemented at the discretion of management, will expire on the earlier of May 9, 2019 and the repurchase of $30 million of common stock. During both the three and nine months ended June 30, 2018, we repurchased 1.1 million shares of common stock in open market transactions for an aggregate cost (including transaction costs) of $7.8 million. During both the three and nine months ended June 30, 2017, we did not make any repurchases of shares of our common stock.</w:t>
      </w:r>
    </w:p>
    <w:p>
      <w:pPr>
        <w:sectPr>
          <w:pgSz w:w="11900" w:h="16838" w:orient="portrait"/>
          <w:cols w:equalWidth="0" w:num="1">
            <w:col w:w="11240"/>
          </w:cols>
          <w:pgMar w:left="320" w:top="118" w:right="339" w:bottom="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DISTRIBUTIONS</w:t>
      </w:r>
    </w:p>
    <w:p>
      <w:pPr>
        <w:spacing w:after="0" w:line="21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During the three and nine months ended June 30, 2018, we declared distributions of $0.18 and $0.54 per share, respectively, for total distributions of $12.6 million and $38.2 million, respectively. For the same periods in the prior year, we declared distributions of $0.18 and $0.64 per share, respectively, for total distributions of $12.8 million and $45.5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Securities and Exchange Commission, or the SEC.</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Company makes available on its website its report on Form 10-Q filed with the SEC and stockholders may find the report on our website at www.pennantpark.com.</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INVESTMENT CORPORATION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ASSETS AND LIABILITIES</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7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3"/>
          </w:tcPr>
          <w:p>
            <w:pPr>
              <w:jc w:val="right"/>
              <w:ind w:right="200"/>
              <w:spacing w:after="0"/>
              <w:rPr>
                <w:sz w:val="20"/>
                <w:szCs w:val="20"/>
                <w:color w:val="auto"/>
              </w:rPr>
            </w:pPr>
            <w:r>
              <w:rPr>
                <w:rFonts w:ascii="Arial" w:cs="Arial" w:eastAsia="Arial" w:hAnsi="Arial"/>
                <w:sz w:val="22"/>
                <w:szCs w:val="22"/>
                <w:b w:val="1"/>
                <w:bCs w:val="1"/>
                <w:color w:val="auto"/>
                <w:w w:val="93"/>
              </w:rPr>
              <w:t>September 30,</w:t>
            </w:r>
          </w:p>
        </w:tc>
      </w:tr>
      <w:tr>
        <w:trPr>
          <w:trHeight w:val="270"/>
        </w:trPr>
        <w:tc>
          <w:tcPr>
            <w:tcW w:w="7980" w:type="dxa"/>
            <w:vAlign w:val="bottom"/>
          </w:tcPr>
          <w:p>
            <w:pPr>
              <w:spacing w:after="0"/>
              <w:rPr>
                <w:sz w:val="23"/>
                <w:szCs w:val="23"/>
                <w:color w:val="auto"/>
              </w:rPr>
            </w:pPr>
          </w:p>
        </w:tc>
        <w:tc>
          <w:tcPr>
            <w:tcW w:w="1600" w:type="dxa"/>
            <w:vAlign w:val="bottom"/>
            <w:gridSpan w:val="3"/>
          </w:tcPr>
          <w:p>
            <w:pPr>
              <w:jc w:val="right"/>
              <w:ind w:right="280"/>
              <w:spacing w:after="0"/>
              <w:rPr>
                <w:sz w:val="20"/>
                <w:szCs w:val="20"/>
                <w:color w:val="auto"/>
              </w:rPr>
            </w:pPr>
            <w:r>
              <w:rPr>
                <w:rFonts w:ascii="Arial" w:cs="Arial" w:eastAsia="Arial" w:hAnsi="Arial"/>
                <w:sz w:val="22"/>
                <w:szCs w:val="22"/>
                <w:b w:val="1"/>
                <w:bCs w:val="1"/>
                <w:color w:val="auto"/>
                <w:w w:val="90"/>
              </w:rPr>
              <w:t>June 30, 2018</w:t>
            </w:r>
          </w:p>
        </w:tc>
        <w:tc>
          <w:tcPr>
            <w:tcW w:w="200" w:type="dxa"/>
            <w:vAlign w:val="bottom"/>
          </w:tcPr>
          <w:p>
            <w:pPr>
              <w:spacing w:after="0"/>
              <w:rPr>
                <w:sz w:val="23"/>
                <w:szCs w:val="23"/>
                <w:color w:val="auto"/>
              </w:rPr>
            </w:pPr>
          </w:p>
        </w:tc>
        <w:tc>
          <w:tcPr>
            <w:tcW w:w="1340" w:type="dxa"/>
            <w:vAlign w:val="bottom"/>
          </w:tcPr>
          <w:p>
            <w:pPr>
              <w:jc w:val="right"/>
              <w:ind w:right="452"/>
              <w:spacing w:after="0"/>
              <w:rPr>
                <w:sz w:val="20"/>
                <w:szCs w:val="20"/>
                <w:color w:val="auto"/>
              </w:rPr>
            </w:pPr>
            <w:r>
              <w:rPr>
                <w:rFonts w:ascii="Arial" w:cs="Arial" w:eastAsia="Arial" w:hAnsi="Arial"/>
                <w:sz w:val="22"/>
                <w:szCs w:val="22"/>
                <w:b w:val="1"/>
                <w:bCs w:val="1"/>
                <w:color w:val="auto"/>
              </w:rPr>
              <w:t>2017</w:t>
            </w:r>
          </w:p>
        </w:tc>
        <w:tc>
          <w:tcPr>
            <w:tcW w:w="80" w:type="dxa"/>
            <w:vAlign w:val="bottom"/>
          </w:tcPr>
          <w:p>
            <w:pPr>
              <w:spacing w:after="0"/>
              <w:rPr>
                <w:sz w:val="23"/>
                <w:szCs w:val="23"/>
                <w:color w:val="auto"/>
              </w:rPr>
            </w:pPr>
          </w:p>
        </w:tc>
      </w:tr>
      <w:tr>
        <w:trPr>
          <w:trHeight w:val="280"/>
        </w:trPr>
        <w:tc>
          <w:tcPr>
            <w:tcW w:w="7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22"/>
                <w:szCs w:val="22"/>
                <w:b w:val="1"/>
                <w:bCs w:val="1"/>
                <w:color w:val="auto"/>
                <w:w w:val="90"/>
              </w:rPr>
              <w:t>(unaudited)</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9"/>
        </w:trPr>
        <w:tc>
          <w:tcPr>
            <w:tcW w:w="7980" w:type="dxa"/>
            <w:vAlign w:val="bottom"/>
          </w:tcPr>
          <w:p>
            <w:pPr>
              <w:spacing w:after="0"/>
              <w:rPr>
                <w:sz w:val="20"/>
                <w:szCs w:val="20"/>
                <w:color w:val="auto"/>
              </w:rPr>
            </w:pPr>
            <w:r>
              <w:rPr>
                <w:rFonts w:ascii="Arial" w:cs="Arial" w:eastAsia="Arial" w:hAnsi="Arial"/>
                <w:sz w:val="22"/>
                <w:szCs w:val="22"/>
                <w:b w:val="1"/>
                <w:bCs w:val="1"/>
                <w:color w:val="auto"/>
              </w:rPr>
              <w:t>Assets</w:t>
            </w:r>
          </w:p>
        </w:tc>
        <w:tc>
          <w:tcPr>
            <w:tcW w:w="14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r>
      <w:tr>
        <w:trPr>
          <w:trHeight w:val="270"/>
        </w:trPr>
        <w:tc>
          <w:tcPr>
            <w:tcW w:w="7980" w:type="dxa"/>
            <w:vAlign w:val="bottom"/>
          </w:tcPr>
          <w:p>
            <w:pPr>
              <w:spacing w:after="0"/>
              <w:rPr>
                <w:sz w:val="20"/>
                <w:szCs w:val="20"/>
                <w:color w:val="auto"/>
              </w:rPr>
            </w:pPr>
            <w:r>
              <w:rPr>
                <w:rFonts w:ascii="Arial" w:cs="Arial" w:eastAsia="Arial" w:hAnsi="Arial"/>
                <w:sz w:val="22"/>
                <w:szCs w:val="22"/>
                <w:color w:val="auto"/>
              </w:rPr>
              <w:t>Investments at fair value</w:t>
            </w:r>
          </w:p>
        </w:tc>
        <w:tc>
          <w:tcPr>
            <w:tcW w:w="1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43"/>
        </w:trPr>
        <w:tc>
          <w:tcPr>
            <w:tcW w:w="7980" w:type="dxa"/>
            <w:vAlign w:val="bottom"/>
          </w:tcPr>
          <w:p>
            <w:pPr>
              <w:ind w:left="260"/>
              <w:spacing w:after="0" w:line="243" w:lineRule="exact"/>
              <w:rPr>
                <w:sz w:val="20"/>
                <w:szCs w:val="20"/>
                <w:color w:val="auto"/>
              </w:rPr>
            </w:pPr>
            <w:r>
              <w:rPr>
                <w:rFonts w:ascii="Arial" w:cs="Arial" w:eastAsia="Arial" w:hAnsi="Arial"/>
                <w:sz w:val="22"/>
                <w:szCs w:val="22"/>
                <w:color w:val="auto"/>
                <w:w w:val="95"/>
              </w:rPr>
              <w:t>Non-controlled, non-affiliated investments (cost—$790,789,351 and $824,106,322,</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0"/>
        </w:trPr>
        <w:tc>
          <w:tcPr>
            <w:tcW w:w="7980" w:type="dxa"/>
            <w:vAlign w:val="bottom"/>
          </w:tcPr>
          <w:p>
            <w:pPr>
              <w:ind w:left="260"/>
              <w:spacing w:after="0"/>
              <w:rPr>
                <w:sz w:val="20"/>
                <w:szCs w:val="20"/>
                <w:color w:val="auto"/>
              </w:rPr>
            </w:pPr>
            <w:r>
              <w:rPr>
                <w:rFonts w:ascii="Arial" w:cs="Arial" w:eastAsia="Arial" w:hAnsi="Arial"/>
                <w:sz w:val="22"/>
                <w:szCs w:val="22"/>
                <w:color w:val="auto"/>
              </w:rPr>
              <w:t>respectively)</w:t>
            </w: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260" w:type="dxa"/>
            <w:vAlign w:val="bottom"/>
          </w:tcPr>
          <w:p>
            <w:pPr>
              <w:jc w:val="right"/>
              <w:spacing w:after="0"/>
              <w:rPr>
                <w:sz w:val="20"/>
                <w:szCs w:val="20"/>
                <w:color w:val="auto"/>
              </w:rPr>
            </w:pPr>
            <w:r>
              <w:rPr>
                <w:rFonts w:ascii="Arial" w:cs="Arial" w:eastAsia="Arial" w:hAnsi="Arial"/>
                <w:sz w:val="22"/>
                <w:szCs w:val="22"/>
                <w:color w:val="auto"/>
              </w:rPr>
              <w:t>800,681,196</w:t>
            </w:r>
          </w:p>
        </w:tc>
        <w:tc>
          <w:tcPr>
            <w:tcW w:w="2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340" w:type="dxa"/>
            <w:vAlign w:val="bottom"/>
          </w:tcPr>
          <w:p>
            <w:pPr>
              <w:jc w:val="right"/>
              <w:spacing w:after="0"/>
              <w:rPr>
                <w:sz w:val="20"/>
                <w:szCs w:val="20"/>
                <w:color w:val="auto"/>
              </w:rPr>
            </w:pPr>
            <w:r>
              <w:rPr>
                <w:rFonts w:ascii="Arial" w:cs="Arial" w:eastAsia="Arial" w:hAnsi="Arial"/>
                <w:sz w:val="22"/>
                <w:szCs w:val="22"/>
                <w:color w:val="auto"/>
              </w:rPr>
              <w:t>849,351,548</w:t>
            </w:r>
          </w:p>
        </w:tc>
        <w:tc>
          <w:tcPr>
            <w:tcW w:w="80" w:type="dxa"/>
            <w:vAlign w:val="bottom"/>
          </w:tcPr>
          <w:p>
            <w:pPr>
              <w:spacing w:after="0"/>
              <w:rPr>
                <w:sz w:val="23"/>
                <w:szCs w:val="23"/>
                <w:color w:val="auto"/>
              </w:rPr>
            </w:pPr>
          </w:p>
        </w:tc>
      </w:tr>
      <w:tr>
        <w:trPr>
          <w:trHeight w:val="243"/>
        </w:trPr>
        <w:tc>
          <w:tcPr>
            <w:tcW w:w="7980" w:type="dxa"/>
            <w:vAlign w:val="bottom"/>
          </w:tcPr>
          <w:p>
            <w:pPr>
              <w:ind w:left="260"/>
              <w:spacing w:after="0" w:line="243" w:lineRule="exact"/>
              <w:rPr>
                <w:sz w:val="20"/>
                <w:szCs w:val="20"/>
                <w:color w:val="auto"/>
              </w:rPr>
            </w:pPr>
            <w:r>
              <w:rPr>
                <w:rFonts w:ascii="Arial" w:cs="Arial" w:eastAsia="Arial" w:hAnsi="Arial"/>
                <w:sz w:val="22"/>
                <w:szCs w:val="22"/>
                <w:color w:val="auto"/>
              </w:rPr>
              <w:t>Non-controlled, affiliated investments (cost—$91,509,529 and $185,799,943,</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0"/>
        </w:trPr>
        <w:tc>
          <w:tcPr>
            <w:tcW w:w="7980" w:type="dxa"/>
            <w:vAlign w:val="bottom"/>
          </w:tcPr>
          <w:p>
            <w:pPr>
              <w:ind w:left="260"/>
              <w:spacing w:after="0"/>
              <w:rPr>
                <w:sz w:val="20"/>
                <w:szCs w:val="20"/>
                <w:color w:val="auto"/>
              </w:rPr>
            </w:pPr>
            <w:r>
              <w:rPr>
                <w:rFonts w:ascii="Arial" w:cs="Arial" w:eastAsia="Arial" w:hAnsi="Arial"/>
                <w:sz w:val="22"/>
                <w:szCs w:val="22"/>
                <w:color w:val="auto"/>
              </w:rPr>
              <w:t>respectively)</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75,815,977</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189,674,977</w:t>
            </w:r>
          </w:p>
        </w:tc>
        <w:tc>
          <w:tcPr>
            <w:tcW w:w="80" w:type="dxa"/>
            <w:vAlign w:val="bottom"/>
          </w:tcPr>
          <w:p>
            <w:pPr>
              <w:spacing w:after="0"/>
              <w:rPr>
                <w:sz w:val="23"/>
                <w:szCs w:val="23"/>
                <w:color w:val="auto"/>
              </w:rPr>
            </w:pPr>
          </w:p>
        </w:tc>
      </w:tr>
      <w:tr>
        <w:trPr>
          <w:trHeight w:val="274"/>
        </w:trPr>
        <w:tc>
          <w:tcPr>
            <w:tcW w:w="7980" w:type="dxa"/>
            <w:vAlign w:val="bottom"/>
          </w:tcPr>
          <w:p>
            <w:pPr>
              <w:ind w:left="260"/>
              <w:spacing w:after="0"/>
              <w:rPr>
                <w:sz w:val="20"/>
                <w:szCs w:val="20"/>
                <w:color w:val="auto"/>
              </w:rPr>
            </w:pPr>
            <w:r>
              <w:rPr>
                <w:rFonts w:ascii="Arial" w:cs="Arial" w:eastAsia="Arial" w:hAnsi="Arial"/>
                <w:sz w:val="22"/>
                <w:szCs w:val="22"/>
                <w:color w:val="auto"/>
                <w:w w:val="90"/>
              </w:rPr>
              <w:t>Controlled, affiliated investments (cost—$249,001,007 and $200,120,407, respectively)</w:t>
            </w:r>
          </w:p>
        </w:tc>
        <w:tc>
          <w:tcPr>
            <w:tcW w:w="1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148,247,663</w:t>
            </w:r>
          </w:p>
        </w:tc>
        <w:tc>
          <w:tcPr>
            <w:tcW w:w="2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114,550,983</w:t>
            </w:r>
          </w:p>
        </w:tc>
        <w:tc>
          <w:tcPr>
            <w:tcW w:w="80" w:type="dxa"/>
            <w:vAlign w:val="bottom"/>
          </w:tcPr>
          <w:p>
            <w:pPr>
              <w:spacing w:after="0"/>
              <w:rPr>
                <w:sz w:val="23"/>
                <w:szCs w:val="23"/>
                <w:color w:val="auto"/>
              </w:rPr>
            </w:pPr>
          </w:p>
        </w:tc>
      </w:tr>
      <w:tr>
        <w:trPr>
          <w:trHeight w:val="259"/>
        </w:trPr>
        <w:tc>
          <w:tcPr>
            <w:tcW w:w="7980" w:type="dxa"/>
            <w:vAlign w:val="bottom"/>
          </w:tcPr>
          <w:p>
            <w:pPr>
              <w:ind w:left="260"/>
              <w:spacing w:after="0"/>
              <w:rPr>
                <w:sz w:val="20"/>
                <w:szCs w:val="20"/>
                <w:color w:val="auto"/>
              </w:rPr>
            </w:pPr>
            <w:r>
              <w:rPr>
                <w:rFonts w:ascii="Arial" w:cs="Arial" w:eastAsia="Arial" w:hAnsi="Arial"/>
                <w:sz w:val="22"/>
                <w:szCs w:val="22"/>
                <w:color w:val="auto"/>
              </w:rPr>
              <w:t>Total of investments (cost—$1,131,299,887 and $1,210,026,672, respectively)</w:t>
            </w:r>
          </w:p>
        </w:tc>
        <w:tc>
          <w:tcPr>
            <w:tcW w:w="1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w w:val="88"/>
              </w:rPr>
              <w:t>1,024,744,836</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w w:val="92"/>
              </w:rPr>
              <w:t>1,153,577,508</w:t>
            </w:r>
          </w:p>
        </w:tc>
        <w:tc>
          <w:tcPr>
            <w:tcW w:w="80" w:type="dxa"/>
            <w:vAlign w:val="bottom"/>
          </w:tcPr>
          <w:p>
            <w:pPr>
              <w:spacing w:after="0"/>
              <w:rPr>
                <w:sz w:val="22"/>
                <w:szCs w:val="22"/>
                <w:color w:val="auto"/>
              </w:rPr>
            </w:pPr>
          </w:p>
        </w:tc>
      </w:tr>
      <w:tr>
        <w:trPr>
          <w:trHeight w:val="270"/>
        </w:trPr>
        <w:tc>
          <w:tcPr>
            <w:tcW w:w="7980" w:type="dxa"/>
            <w:vAlign w:val="bottom"/>
          </w:tcPr>
          <w:p>
            <w:pPr>
              <w:spacing w:after="0"/>
              <w:rPr>
                <w:sz w:val="20"/>
                <w:szCs w:val="20"/>
                <w:color w:val="auto"/>
              </w:rPr>
            </w:pPr>
            <w:r>
              <w:rPr>
                <w:rFonts w:ascii="Arial" w:cs="Arial" w:eastAsia="Arial" w:hAnsi="Arial"/>
                <w:sz w:val="22"/>
                <w:szCs w:val="22"/>
                <w:color w:val="auto"/>
              </w:rPr>
              <w:t>Cash and cash equivalents (cost—$107,125,512 and $38,182,373, respectively)</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107,091,091</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38,202,068</w:t>
            </w:r>
          </w:p>
        </w:tc>
        <w:tc>
          <w:tcPr>
            <w:tcW w:w="80" w:type="dxa"/>
            <w:vAlign w:val="bottom"/>
          </w:tcPr>
          <w:p>
            <w:pPr>
              <w:spacing w:after="0"/>
              <w:rPr>
                <w:sz w:val="23"/>
                <w:szCs w:val="23"/>
                <w:color w:val="auto"/>
              </w:rPr>
            </w:pPr>
          </w:p>
        </w:tc>
      </w:tr>
      <w:tr>
        <w:trPr>
          <w:trHeight w:val="270"/>
        </w:trPr>
        <w:tc>
          <w:tcPr>
            <w:tcW w:w="7980" w:type="dxa"/>
            <w:vAlign w:val="bottom"/>
          </w:tcPr>
          <w:p>
            <w:pPr>
              <w:spacing w:after="0"/>
              <w:rPr>
                <w:sz w:val="20"/>
                <w:szCs w:val="20"/>
                <w:color w:val="auto"/>
              </w:rPr>
            </w:pPr>
            <w:r>
              <w:rPr>
                <w:rFonts w:ascii="Arial" w:cs="Arial" w:eastAsia="Arial" w:hAnsi="Arial"/>
                <w:sz w:val="22"/>
                <w:szCs w:val="22"/>
                <w:color w:val="auto"/>
              </w:rPr>
              <w:t>Interest receivable</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7,967,079</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5,906,976</w:t>
            </w:r>
          </w:p>
        </w:tc>
        <w:tc>
          <w:tcPr>
            <w:tcW w:w="80" w:type="dxa"/>
            <w:vAlign w:val="bottom"/>
          </w:tcPr>
          <w:p>
            <w:pPr>
              <w:spacing w:after="0"/>
              <w:rPr>
                <w:sz w:val="23"/>
                <w:szCs w:val="23"/>
                <w:color w:val="auto"/>
              </w:rPr>
            </w:pPr>
          </w:p>
        </w:tc>
      </w:tr>
      <w:tr>
        <w:trPr>
          <w:trHeight w:val="274"/>
        </w:trPr>
        <w:tc>
          <w:tcPr>
            <w:tcW w:w="7980" w:type="dxa"/>
            <w:vAlign w:val="bottom"/>
          </w:tcPr>
          <w:p>
            <w:pPr>
              <w:spacing w:after="0"/>
              <w:rPr>
                <w:sz w:val="20"/>
                <w:szCs w:val="20"/>
                <w:color w:val="auto"/>
              </w:rPr>
            </w:pPr>
            <w:r>
              <w:rPr>
                <w:rFonts w:ascii="Arial" w:cs="Arial" w:eastAsia="Arial" w:hAnsi="Arial"/>
                <w:sz w:val="22"/>
                <w:szCs w:val="22"/>
                <w:color w:val="auto"/>
              </w:rPr>
              <w:t>Prepaid expenses and other assets</w:t>
            </w:r>
          </w:p>
        </w:tc>
        <w:tc>
          <w:tcPr>
            <w:tcW w:w="1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1,578,759</w:t>
            </w:r>
          </w:p>
        </w:tc>
        <w:tc>
          <w:tcPr>
            <w:tcW w:w="2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4,509,289</w:t>
            </w:r>
          </w:p>
        </w:tc>
        <w:tc>
          <w:tcPr>
            <w:tcW w:w="80" w:type="dxa"/>
            <w:vAlign w:val="bottom"/>
          </w:tcPr>
          <w:p>
            <w:pPr>
              <w:spacing w:after="0"/>
              <w:rPr>
                <w:sz w:val="23"/>
                <w:szCs w:val="23"/>
                <w:color w:val="auto"/>
              </w:rPr>
            </w:pPr>
          </w:p>
        </w:tc>
      </w:tr>
      <w:tr>
        <w:trPr>
          <w:trHeight w:val="267"/>
        </w:trPr>
        <w:tc>
          <w:tcPr>
            <w:tcW w:w="7980" w:type="dxa"/>
            <w:vAlign w:val="bottom"/>
          </w:tcPr>
          <w:p>
            <w:pPr>
              <w:ind w:left="400"/>
              <w:spacing w:after="0"/>
              <w:rPr>
                <w:sz w:val="20"/>
                <w:szCs w:val="20"/>
                <w:color w:val="auto"/>
              </w:rPr>
            </w:pPr>
            <w:r>
              <w:rPr>
                <w:rFonts w:ascii="Arial" w:cs="Arial" w:eastAsia="Arial" w:hAnsi="Arial"/>
                <w:sz w:val="22"/>
                <w:szCs w:val="22"/>
                <w:b w:val="1"/>
                <w:bCs w:val="1"/>
                <w:color w:val="auto"/>
              </w:rPr>
              <w:t>Total assets</w:t>
            </w:r>
          </w:p>
        </w:tc>
        <w:tc>
          <w:tcPr>
            <w:tcW w:w="1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8"/>
              </w:rPr>
              <w:t>1,141,381,765</w:t>
            </w:r>
          </w:p>
        </w:tc>
        <w:tc>
          <w:tcPr>
            <w:tcW w:w="2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2"/>
              </w:rPr>
              <w:t>1,202,195,841</w:t>
            </w:r>
          </w:p>
        </w:tc>
        <w:tc>
          <w:tcPr>
            <w:tcW w:w="80" w:type="dxa"/>
            <w:vAlign w:val="bottom"/>
          </w:tcPr>
          <w:p>
            <w:pPr>
              <w:spacing w:after="0"/>
              <w:rPr>
                <w:sz w:val="23"/>
                <w:szCs w:val="23"/>
                <w:color w:val="auto"/>
              </w:rPr>
            </w:pPr>
          </w:p>
        </w:tc>
      </w:tr>
      <w:tr>
        <w:trPr>
          <w:trHeight w:val="256"/>
        </w:trPr>
        <w:tc>
          <w:tcPr>
            <w:tcW w:w="7980" w:type="dxa"/>
            <w:vAlign w:val="bottom"/>
          </w:tcPr>
          <w:p>
            <w:pPr>
              <w:spacing w:after="0"/>
              <w:rPr>
                <w:sz w:val="20"/>
                <w:szCs w:val="20"/>
                <w:color w:val="auto"/>
              </w:rPr>
            </w:pPr>
            <w:r>
              <w:rPr>
                <w:rFonts w:ascii="Arial" w:cs="Arial" w:eastAsia="Arial" w:hAnsi="Arial"/>
                <w:sz w:val="22"/>
                <w:szCs w:val="22"/>
                <w:b w:val="1"/>
                <w:bCs w:val="1"/>
                <w:color w:val="auto"/>
              </w:rPr>
              <w:t>Liabilities</w:t>
            </w: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70"/>
        </w:trPr>
        <w:tc>
          <w:tcPr>
            <w:tcW w:w="7980" w:type="dxa"/>
            <w:vAlign w:val="bottom"/>
          </w:tcPr>
          <w:p>
            <w:pPr>
              <w:spacing w:after="0"/>
              <w:rPr>
                <w:sz w:val="20"/>
                <w:szCs w:val="20"/>
                <w:color w:val="auto"/>
              </w:rPr>
            </w:pPr>
            <w:r>
              <w:rPr>
                <w:rFonts w:ascii="Arial" w:cs="Arial" w:eastAsia="Arial" w:hAnsi="Arial"/>
                <w:sz w:val="22"/>
                <w:szCs w:val="22"/>
                <w:color w:val="auto"/>
              </w:rPr>
              <w:t>Distributions payable</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12,597,854</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12,790,950</w:t>
            </w:r>
          </w:p>
        </w:tc>
        <w:tc>
          <w:tcPr>
            <w:tcW w:w="80" w:type="dxa"/>
            <w:vAlign w:val="bottom"/>
          </w:tcPr>
          <w:p>
            <w:pPr>
              <w:spacing w:after="0"/>
              <w:rPr>
                <w:sz w:val="23"/>
                <w:szCs w:val="23"/>
                <w:color w:val="auto"/>
              </w:rPr>
            </w:pPr>
          </w:p>
        </w:tc>
      </w:tr>
      <w:tr>
        <w:trPr>
          <w:trHeight w:val="270"/>
        </w:trPr>
        <w:tc>
          <w:tcPr>
            <w:tcW w:w="7980" w:type="dxa"/>
            <w:vAlign w:val="bottom"/>
          </w:tcPr>
          <w:p>
            <w:pPr>
              <w:spacing w:after="0"/>
              <w:rPr>
                <w:sz w:val="20"/>
                <w:szCs w:val="20"/>
                <w:color w:val="auto"/>
              </w:rPr>
            </w:pPr>
            <w:r>
              <w:rPr>
                <w:rFonts w:ascii="Arial" w:cs="Arial" w:eastAsia="Arial" w:hAnsi="Arial"/>
                <w:sz w:val="22"/>
                <w:szCs w:val="22"/>
                <w:color w:val="auto"/>
              </w:rPr>
              <w:t>Payable for investments purchased</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14,700,000</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1,014,000</w:t>
            </w:r>
          </w:p>
        </w:tc>
        <w:tc>
          <w:tcPr>
            <w:tcW w:w="80" w:type="dxa"/>
            <w:vAlign w:val="bottom"/>
          </w:tcPr>
          <w:p>
            <w:pPr>
              <w:spacing w:after="0"/>
              <w:rPr>
                <w:sz w:val="23"/>
                <w:szCs w:val="23"/>
                <w:color w:val="auto"/>
              </w:rPr>
            </w:pPr>
          </w:p>
        </w:tc>
      </w:tr>
      <w:tr>
        <w:trPr>
          <w:trHeight w:val="270"/>
        </w:trPr>
        <w:tc>
          <w:tcPr>
            <w:tcW w:w="7980" w:type="dxa"/>
            <w:vAlign w:val="bottom"/>
          </w:tcPr>
          <w:p>
            <w:pPr>
              <w:spacing w:after="0"/>
              <w:rPr>
                <w:sz w:val="20"/>
                <w:szCs w:val="20"/>
                <w:color w:val="auto"/>
              </w:rPr>
            </w:pPr>
            <w:r>
              <w:rPr>
                <w:rFonts w:ascii="Arial" w:cs="Arial" w:eastAsia="Arial" w:hAnsi="Arial"/>
                <w:sz w:val="22"/>
                <w:szCs w:val="22"/>
                <w:color w:val="auto"/>
              </w:rPr>
              <w:t>Credit Facility payable (cost—$41,520,000 and $79,392,900, respectively)</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39,310,563</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76,037,341</w:t>
            </w:r>
          </w:p>
        </w:tc>
        <w:tc>
          <w:tcPr>
            <w:tcW w:w="80" w:type="dxa"/>
            <w:vAlign w:val="bottom"/>
          </w:tcPr>
          <w:p>
            <w:pPr>
              <w:spacing w:after="0"/>
              <w:rPr>
                <w:sz w:val="23"/>
                <w:szCs w:val="23"/>
                <w:color w:val="auto"/>
              </w:rPr>
            </w:pPr>
          </w:p>
        </w:tc>
      </w:tr>
      <w:tr>
        <w:trPr>
          <w:trHeight w:val="270"/>
        </w:trPr>
        <w:tc>
          <w:tcPr>
            <w:tcW w:w="7980" w:type="dxa"/>
            <w:vAlign w:val="bottom"/>
          </w:tcPr>
          <w:p>
            <w:pPr>
              <w:spacing w:after="0"/>
              <w:rPr>
                <w:sz w:val="20"/>
                <w:szCs w:val="20"/>
                <w:color w:val="auto"/>
              </w:rPr>
            </w:pPr>
            <w:r>
              <w:rPr>
                <w:rFonts w:ascii="Arial" w:cs="Arial" w:eastAsia="Arial" w:hAnsi="Arial"/>
                <w:sz w:val="22"/>
                <w:szCs w:val="22"/>
                <w:color w:val="auto"/>
              </w:rPr>
              <w:t>2019 Notes payable (par—$250,000,000)</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251,432,500</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255,665,000</w:t>
            </w:r>
          </w:p>
        </w:tc>
        <w:tc>
          <w:tcPr>
            <w:tcW w:w="80" w:type="dxa"/>
            <w:vAlign w:val="bottom"/>
          </w:tcPr>
          <w:p>
            <w:pPr>
              <w:spacing w:after="0"/>
              <w:rPr>
                <w:sz w:val="23"/>
                <w:szCs w:val="23"/>
                <w:color w:val="auto"/>
              </w:rPr>
            </w:pPr>
          </w:p>
        </w:tc>
      </w:tr>
      <w:tr>
        <w:trPr>
          <w:trHeight w:val="270"/>
        </w:trPr>
        <w:tc>
          <w:tcPr>
            <w:tcW w:w="7980" w:type="dxa"/>
            <w:vAlign w:val="bottom"/>
          </w:tcPr>
          <w:p>
            <w:pPr>
              <w:spacing w:after="0"/>
              <w:rPr>
                <w:sz w:val="20"/>
                <w:szCs w:val="20"/>
                <w:color w:val="auto"/>
              </w:rPr>
            </w:pPr>
            <w:r>
              <w:rPr>
                <w:rFonts w:ascii="Arial" w:cs="Arial" w:eastAsia="Arial" w:hAnsi="Arial"/>
                <w:sz w:val="22"/>
                <w:szCs w:val="22"/>
                <w:color w:val="auto"/>
                <w:w w:val="98"/>
              </w:rPr>
              <w:t>SBA debentures payable, net (par—$180,000,000 and $199,000,000, respectively)</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175,240,289</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194,364,653</w:t>
            </w:r>
          </w:p>
        </w:tc>
        <w:tc>
          <w:tcPr>
            <w:tcW w:w="80" w:type="dxa"/>
            <w:vAlign w:val="bottom"/>
          </w:tcPr>
          <w:p>
            <w:pPr>
              <w:spacing w:after="0"/>
              <w:rPr>
                <w:sz w:val="23"/>
                <w:szCs w:val="23"/>
                <w:color w:val="auto"/>
              </w:rPr>
            </w:pPr>
          </w:p>
        </w:tc>
      </w:tr>
      <w:tr>
        <w:trPr>
          <w:trHeight w:val="270"/>
        </w:trPr>
        <w:tc>
          <w:tcPr>
            <w:tcW w:w="7980" w:type="dxa"/>
            <w:vAlign w:val="bottom"/>
          </w:tcPr>
          <w:p>
            <w:pPr>
              <w:spacing w:after="0"/>
              <w:rPr>
                <w:sz w:val="20"/>
                <w:szCs w:val="20"/>
                <w:color w:val="auto"/>
              </w:rPr>
            </w:pPr>
            <w:r>
              <w:rPr>
                <w:rFonts w:ascii="Arial" w:cs="Arial" w:eastAsia="Arial" w:hAnsi="Arial"/>
                <w:sz w:val="22"/>
                <w:szCs w:val="22"/>
                <w:color w:val="auto"/>
              </w:rPr>
              <w:t>Base management fee payable, net</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3,772,670</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4,845,237</w:t>
            </w:r>
          </w:p>
        </w:tc>
        <w:tc>
          <w:tcPr>
            <w:tcW w:w="80" w:type="dxa"/>
            <w:vAlign w:val="bottom"/>
          </w:tcPr>
          <w:p>
            <w:pPr>
              <w:spacing w:after="0"/>
              <w:rPr>
                <w:sz w:val="23"/>
                <w:szCs w:val="23"/>
                <w:color w:val="auto"/>
              </w:rPr>
            </w:pPr>
          </w:p>
        </w:tc>
      </w:tr>
      <w:tr>
        <w:trPr>
          <w:trHeight w:val="270"/>
        </w:trPr>
        <w:tc>
          <w:tcPr>
            <w:tcW w:w="7980" w:type="dxa"/>
            <w:vAlign w:val="bottom"/>
          </w:tcPr>
          <w:p>
            <w:pPr>
              <w:spacing w:after="0"/>
              <w:rPr>
                <w:sz w:val="20"/>
                <w:szCs w:val="20"/>
                <w:color w:val="auto"/>
              </w:rPr>
            </w:pPr>
            <w:r>
              <w:rPr>
                <w:rFonts w:ascii="Arial" w:cs="Arial" w:eastAsia="Arial" w:hAnsi="Arial"/>
                <w:sz w:val="22"/>
                <w:szCs w:val="22"/>
                <w:color w:val="auto"/>
              </w:rPr>
              <w:t>Performance-based incentive fee payable, net</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2,497,843</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2,270,008</w:t>
            </w:r>
          </w:p>
        </w:tc>
        <w:tc>
          <w:tcPr>
            <w:tcW w:w="80" w:type="dxa"/>
            <w:vAlign w:val="bottom"/>
          </w:tcPr>
          <w:p>
            <w:pPr>
              <w:spacing w:after="0"/>
              <w:rPr>
                <w:sz w:val="23"/>
                <w:szCs w:val="23"/>
                <w:color w:val="auto"/>
              </w:rPr>
            </w:pPr>
          </w:p>
        </w:tc>
      </w:tr>
      <w:tr>
        <w:trPr>
          <w:trHeight w:val="270"/>
        </w:trPr>
        <w:tc>
          <w:tcPr>
            <w:tcW w:w="7980" w:type="dxa"/>
            <w:vAlign w:val="bottom"/>
          </w:tcPr>
          <w:p>
            <w:pPr>
              <w:spacing w:after="0"/>
              <w:rPr>
                <w:sz w:val="20"/>
                <w:szCs w:val="20"/>
                <w:color w:val="auto"/>
              </w:rPr>
            </w:pPr>
            <w:r>
              <w:rPr>
                <w:rFonts w:ascii="Arial" w:cs="Arial" w:eastAsia="Arial" w:hAnsi="Arial"/>
                <w:sz w:val="22"/>
                <w:szCs w:val="22"/>
                <w:color w:val="auto"/>
              </w:rPr>
              <w:t>Interest payable on debt</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5,001,613</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6,876,756</w:t>
            </w:r>
          </w:p>
        </w:tc>
        <w:tc>
          <w:tcPr>
            <w:tcW w:w="80" w:type="dxa"/>
            <w:vAlign w:val="bottom"/>
          </w:tcPr>
          <w:p>
            <w:pPr>
              <w:spacing w:after="0"/>
              <w:rPr>
                <w:sz w:val="23"/>
                <w:szCs w:val="23"/>
                <w:color w:val="auto"/>
              </w:rPr>
            </w:pPr>
          </w:p>
        </w:tc>
      </w:tr>
      <w:tr>
        <w:trPr>
          <w:trHeight w:val="274"/>
        </w:trPr>
        <w:tc>
          <w:tcPr>
            <w:tcW w:w="7980" w:type="dxa"/>
            <w:vAlign w:val="bottom"/>
          </w:tcPr>
          <w:p>
            <w:pPr>
              <w:spacing w:after="0"/>
              <w:rPr>
                <w:sz w:val="20"/>
                <w:szCs w:val="20"/>
                <w:color w:val="auto"/>
              </w:rPr>
            </w:pPr>
            <w:r>
              <w:rPr>
                <w:rFonts w:ascii="Arial" w:cs="Arial" w:eastAsia="Arial" w:hAnsi="Arial"/>
                <w:sz w:val="22"/>
                <w:szCs w:val="22"/>
                <w:color w:val="auto"/>
              </w:rPr>
              <w:t>Accrued other expenses</w:t>
            </w:r>
          </w:p>
        </w:tc>
        <w:tc>
          <w:tcPr>
            <w:tcW w:w="1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735,749</w:t>
            </w:r>
          </w:p>
        </w:tc>
        <w:tc>
          <w:tcPr>
            <w:tcW w:w="2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1,523,425</w:t>
            </w:r>
          </w:p>
        </w:tc>
        <w:tc>
          <w:tcPr>
            <w:tcW w:w="80" w:type="dxa"/>
            <w:vAlign w:val="bottom"/>
          </w:tcPr>
          <w:p>
            <w:pPr>
              <w:spacing w:after="0"/>
              <w:rPr>
                <w:sz w:val="23"/>
                <w:szCs w:val="23"/>
                <w:color w:val="auto"/>
              </w:rPr>
            </w:pPr>
          </w:p>
        </w:tc>
      </w:tr>
      <w:tr>
        <w:trPr>
          <w:trHeight w:val="267"/>
        </w:trPr>
        <w:tc>
          <w:tcPr>
            <w:tcW w:w="7980" w:type="dxa"/>
            <w:vAlign w:val="bottom"/>
          </w:tcPr>
          <w:p>
            <w:pPr>
              <w:ind w:left="400"/>
              <w:spacing w:after="0"/>
              <w:rPr>
                <w:sz w:val="20"/>
                <w:szCs w:val="20"/>
                <w:color w:val="auto"/>
              </w:rPr>
            </w:pPr>
            <w:r>
              <w:rPr>
                <w:rFonts w:ascii="Arial" w:cs="Arial" w:eastAsia="Arial" w:hAnsi="Arial"/>
                <w:sz w:val="22"/>
                <w:szCs w:val="22"/>
                <w:b w:val="1"/>
                <w:bCs w:val="1"/>
                <w:color w:val="auto"/>
              </w:rPr>
              <w:t>Total liabilities</w:t>
            </w:r>
          </w:p>
        </w:tc>
        <w:tc>
          <w:tcPr>
            <w:tcW w:w="1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505,289,081</w:t>
            </w:r>
          </w:p>
        </w:tc>
        <w:tc>
          <w:tcPr>
            <w:tcW w:w="2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555,387,370</w:t>
            </w:r>
          </w:p>
        </w:tc>
        <w:tc>
          <w:tcPr>
            <w:tcW w:w="80" w:type="dxa"/>
            <w:vAlign w:val="bottom"/>
          </w:tcPr>
          <w:p>
            <w:pPr>
              <w:spacing w:after="0"/>
              <w:rPr>
                <w:sz w:val="23"/>
                <w:szCs w:val="23"/>
                <w:color w:val="auto"/>
              </w:rPr>
            </w:pPr>
          </w:p>
        </w:tc>
      </w:tr>
      <w:tr>
        <w:trPr>
          <w:trHeight w:val="250"/>
        </w:trPr>
        <w:tc>
          <w:tcPr>
            <w:tcW w:w="7980" w:type="dxa"/>
            <w:vAlign w:val="bottom"/>
          </w:tcPr>
          <w:p>
            <w:pPr>
              <w:spacing w:after="0" w:line="249" w:lineRule="exact"/>
              <w:rPr>
                <w:sz w:val="20"/>
                <w:szCs w:val="20"/>
                <w:color w:val="auto"/>
              </w:rPr>
            </w:pPr>
            <w:r>
              <w:rPr>
                <w:rFonts w:ascii="Arial" w:cs="Arial" w:eastAsia="Arial" w:hAnsi="Arial"/>
                <w:sz w:val="22"/>
                <w:szCs w:val="22"/>
                <w:color w:val="auto"/>
              </w:rPr>
              <w:t>Commitments and contingencies</w:t>
            </w:r>
          </w:p>
        </w:tc>
        <w:tc>
          <w:tcPr>
            <w:tcW w:w="140" w:type="dxa"/>
            <w:vAlign w:val="bottom"/>
          </w:tcPr>
          <w:p>
            <w:pPr>
              <w:spacing w:after="0"/>
              <w:rPr>
                <w:sz w:val="21"/>
                <w:szCs w:val="21"/>
                <w:color w:val="auto"/>
              </w:rPr>
            </w:pPr>
          </w:p>
        </w:tc>
        <w:tc>
          <w:tcPr>
            <w:tcW w:w="1260" w:type="dxa"/>
            <w:vAlign w:val="bottom"/>
          </w:tcPr>
          <w:p>
            <w:pPr>
              <w:jc w:val="right"/>
              <w:spacing w:after="0" w:line="249" w:lineRule="exact"/>
              <w:rPr>
                <w:sz w:val="20"/>
                <w:szCs w:val="20"/>
                <w:color w:val="auto"/>
              </w:rPr>
            </w:pPr>
            <w:r>
              <w:rPr>
                <w:rFonts w:ascii="Arial" w:cs="Arial" w:eastAsia="Arial" w:hAnsi="Arial"/>
                <w:sz w:val="22"/>
                <w:szCs w:val="22"/>
                <w:color w:val="auto"/>
              </w:rPr>
              <w:t>—</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line="249" w:lineRule="exact"/>
              <w:rPr>
                <w:sz w:val="20"/>
                <w:szCs w:val="20"/>
                <w:color w:val="auto"/>
              </w:rPr>
            </w:pPr>
            <w:r>
              <w:rPr>
                <w:rFonts w:ascii="Arial" w:cs="Arial" w:eastAsia="Arial" w:hAnsi="Arial"/>
                <w:sz w:val="22"/>
                <w:szCs w:val="22"/>
                <w:color w:val="auto"/>
              </w:rPr>
              <w:t>—</w:t>
            </w:r>
          </w:p>
        </w:tc>
        <w:tc>
          <w:tcPr>
            <w:tcW w:w="80" w:type="dxa"/>
            <w:vAlign w:val="bottom"/>
          </w:tcPr>
          <w:p>
            <w:pPr>
              <w:spacing w:after="0"/>
              <w:rPr>
                <w:sz w:val="21"/>
                <w:szCs w:val="21"/>
                <w:color w:val="auto"/>
              </w:rPr>
            </w:pPr>
          </w:p>
        </w:tc>
      </w:tr>
      <w:tr>
        <w:trPr>
          <w:trHeight w:val="276"/>
        </w:trPr>
        <w:tc>
          <w:tcPr>
            <w:tcW w:w="7980" w:type="dxa"/>
            <w:vAlign w:val="bottom"/>
          </w:tcPr>
          <w:p>
            <w:pPr>
              <w:spacing w:after="0"/>
              <w:rPr>
                <w:sz w:val="20"/>
                <w:szCs w:val="20"/>
                <w:color w:val="auto"/>
              </w:rPr>
            </w:pPr>
            <w:r>
              <w:rPr>
                <w:rFonts w:ascii="Arial" w:cs="Arial" w:eastAsia="Arial" w:hAnsi="Arial"/>
                <w:sz w:val="22"/>
                <w:szCs w:val="22"/>
                <w:b w:val="1"/>
                <w:bCs w:val="1"/>
                <w:color w:val="auto"/>
              </w:rPr>
              <w:t>Net assets</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3"/>
        </w:trPr>
        <w:tc>
          <w:tcPr>
            <w:tcW w:w="7980" w:type="dxa"/>
            <w:vAlign w:val="bottom"/>
          </w:tcPr>
          <w:p>
            <w:pPr>
              <w:spacing w:after="0" w:line="243" w:lineRule="exact"/>
              <w:rPr>
                <w:sz w:val="20"/>
                <w:szCs w:val="20"/>
                <w:color w:val="auto"/>
              </w:rPr>
            </w:pPr>
            <w:r>
              <w:rPr>
                <w:rFonts w:ascii="Arial" w:cs="Arial" w:eastAsia="Arial" w:hAnsi="Arial"/>
                <w:sz w:val="22"/>
                <w:szCs w:val="22"/>
                <w:color w:val="auto"/>
                <w:w w:val="91"/>
              </w:rPr>
              <w:t>Common stock, 69,988,077 and 71,060,836 shares issued and outstanding, respectively.</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0"/>
        </w:trPr>
        <w:tc>
          <w:tcPr>
            <w:tcW w:w="7980" w:type="dxa"/>
            <w:vAlign w:val="bottom"/>
          </w:tcPr>
          <w:p>
            <w:pPr>
              <w:ind w:left="100"/>
              <w:spacing w:after="0"/>
              <w:rPr>
                <w:sz w:val="20"/>
                <w:szCs w:val="20"/>
                <w:color w:val="auto"/>
              </w:rPr>
            </w:pPr>
            <w:r>
              <w:rPr>
                <w:rFonts w:ascii="Arial" w:cs="Arial" w:eastAsia="Arial" w:hAnsi="Arial"/>
                <w:sz w:val="22"/>
                <w:szCs w:val="22"/>
                <w:color w:val="auto"/>
              </w:rPr>
              <w:t>Par value $0.001 per share and 100,000,000 shares authorized</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69,988</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71,061</w:t>
            </w:r>
          </w:p>
        </w:tc>
        <w:tc>
          <w:tcPr>
            <w:tcW w:w="80" w:type="dxa"/>
            <w:vAlign w:val="bottom"/>
          </w:tcPr>
          <w:p>
            <w:pPr>
              <w:spacing w:after="0"/>
              <w:rPr>
                <w:sz w:val="23"/>
                <w:szCs w:val="23"/>
                <w:color w:val="auto"/>
              </w:rPr>
            </w:pPr>
          </w:p>
        </w:tc>
      </w:tr>
      <w:tr>
        <w:trPr>
          <w:trHeight w:val="270"/>
        </w:trPr>
        <w:tc>
          <w:tcPr>
            <w:tcW w:w="7980" w:type="dxa"/>
            <w:vAlign w:val="bottom"/>
          </w:tcPr>
          <w:p>
            <w:pPr>
              <w:spacing w:after="0"/>
              <w:rPr>
                <w:sz w:val="20"/>
                <w:szCs w:val="20"/>
                <w:color w:val="auto"/>
              </w:rPr>
            </w:pPr>
            <w:r>
              <w:rPr>
                <w:rFonts w:ascii="Arial" w:cs="Arial" w:eastAsia="Arial" w:hAnsi="Arial"/>
                <w:sz w:val="22"/>
                <w:szCs w:val="22"/>
                <w:color w:val="auto"/>
              </w:rPr>
              <w:t>Paid-in capital in excess of par value</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810,962,271</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818,737,784</w:t>
            </w:r>
          </w:p>
        </w:tc>
        <w:tc>
          <w:tcPr>
            <w:tcW w:w="80" w:type="dxa"/>
            <w:vAlign w:val="bottom"/>
          </w:tcPr>
          <w:p>
            <w:pPr>
              <w:spacing w:after="0"/>
              <w:rPr>
                <w:sz w:val="23"/>
                <w:szCs w:val="23"/>
                <w:color w:val="auto"/>
              </w:rPr>
            </w:pPr>
          </w:p>
        </w:tc>
      </w:tr>
      <w:tr>
        <w:trPr>
          <w:trHeight w:val="270"/>
        </w:trPr>
        <w:tc>
          <w:tcPr>
            <w:tcW w:w="7980" w:type="dxa"/>
            <w:vAlign w:val="bottom"/>
          </w:tcPr>
          <w:p>
            <w:pPr>
              <w:spacing w:after="0"/>
              <w:rPr>
                <w:sz w:val="20"/>
                <w:szCs w:val="20"/>
                <w:color w:val="auto"/>
              </w:rPr>
            </w:pPr>
            <w:r>
              <w:rPr>
                <w:rFonts w:ascii="Arial" w:cs="Arial" w:eastAsia="Arial" w:hAnsi="Arial"/>
                <w:sz w:val="22"/>
                <w:szCs w:val="22"/>
                <w:color w:val="auto"/>
              </w:rPr>
              <w:t>Undistributed net investment income</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4,512,842</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3,333,195</w:t>
            </w:r>
          </w:p>
        </w:tc>
        <w:tc>
          <w:tcPr>
            <w:tcW w:w="80" w:type="dxa"/>
            <w:vAlign w:val="bottom"/>
          </w:tcPr>
          <w:p>
            <w:pPr>
              <w:spacing w:after="0"/>
              <w:rPr>
                <w:sz w:val="23"/>
                <w:szCs w:val="23"/>
                <w:color w:val="auto"/>
              </w:rPr>
            </w:pPr>
          </w:p>
        </w:tc>
      </w:tr>
      <w:tr>
        <w:trPr>
          <w:trHeight w:val="270"/>
        </w:trPr>
        <w:tc>
          <w:tcPr>
            <w:tcW w:w="7980" w:type="dxa"/>
            <w:vAlign w:val="bottom"/>
          </w:tcPr>
          <w:p>
            <w:pPr>
              <w:spacing w:after="0"/>
              <w:rPr>
                <w:sz w:val="20"/>
                <w:szCs w:val="20"/>
                <w:color w:val="auto"/>
              </w:rPr>
            </w:pPr>
            <w:r>
              <w:rPr>
                <w:rFonts w:ascii="Arial" w:cs="Arial" w:eastAsia="Arial" w:hAnsi="Arial"/>
                <w:sz w:val="22"/>
                <w:szCs w:val="22"/>
                <w:color w:val="auto"/>
              </w:rPr>
              <w:t>Accumulated net realized loss on investments</w:t>
            </w:r>
          </w:p>
        </w:tc>
        <w:tc>
          <w:tcPr>
            <w:tcW w:w="140" w:type="dxa"/>
            <w:vAlign w:val="bottom"/>
          </w:tcPr>
          <w:p>
            <w:pPr>
              <w:spacing w:after="0"/>
              <w:rPr>
                <w:sz w:val="23"/>
                <w:szCs w:val="23"/>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22"/>
                <w:szCs w:val="22"/>
                <w:color w:val="auto"/>
              </w:rPr>
              <w:t>(73,643,974)</w:t>
            </w:r>
          </w:p>
        </w:tc>
        <w:tc>
          <w:tcPr>
            <w:tcW w:w="200" w:type="dxa"/>
            <w:vAlign w:val="bottom"/>
          </w:tcPr>
          <w:p>
            <w:pPr>
              <w:spacing w:after="0"/>
              <w:rPr>
                <w:sz w:val="23"/>
                <w:szCs w:val="23"/>
                <w:color w:val="auto"/>
              </w:rPr>
            </w:pPr>
          </w:p>
        </w:tc>
        <w:tc>
          <w:tcPr>
            <w:tcW w:w="1420" w:type="dxa"/>
            <w:vAlign w:val="bottom"/>
            <w:gridSpan w:val="2"/>
          </w:tcPr>
          <w:p>
            <w:pPr>
              <w:jc w:val="right"/>
              <w:spacing w:after="0"/>
              <w:rPr>
                <w:sz w:val="20"/>
                <w:szCs w:val="20"/>
                <w:color w:val="auto"/>
              </w:rPr>
            </w:pPr>
            <w:r>
              <w:rPr>
                <w:rFonts w:ascii="Arial" w:cs="Arial" w:eastAsia="Arial" w:hAnsi="Arial"/>
                <w:sz w:val="22"/>
                <w:szCs w:val="22"/>
                <w:color w:val="auto"/>
              </w:rPr>
              <w:t>(116,598,355)</w:t>
            </w:r>
          </w:p>
        </w:tc>
      </w:tr>
      <w:tr>
        <w:trPr>
          <w:trHeight w:val="270"/>
        </w:trPr>
        <w:tc>
          <w:tcPr>
            <w:tcW w:w="7980" w:type="dxa"/>
            <w:vAlign w:val="bottom"/>
          </w:tcPr>
          <w:p>
            <w:pPr>
              <w:spacing w:after="0"/>
              <w:rPr>
                <w:sz w:val="20"/>
                <w:szCs w:val="20"/>
                <w:color w:val="auto"/>
              </w:rPr>
            </w:pPr>
            <w:r>
              <w:rPr>
                <w:rFonts w:ascii="Arial" w:cs="Arial" w:eastAsia="Arial" w:hAnsi="Arial"/>
                <w:sz w:val="22"/>
                <w:szCs w:val="22"/>
                <w:color w:val="auto"/>
              </w:rPr>
              <w:t>Net unrealized depreciation on investments</w:t>
            </w:r>
          </w:p>
        </w:tc>
        <w:tc>
          <w:tcPr>
            <w:tcW w:w="140" w:type="dxa"/>
            <w:vAlign w:val="bottom"/>
          </w:tcPr>
          <w:p>
            <w:pPr>
              <w:spacing w:after="0"/>
              <w:rPr>
                <w:sz w:val="23"/>
                <w:szCs w:val="23"/>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22"/>
                <w:szCs w:val="22"/>
                <w:color w:val="auto"/>
                <w:w w:val="96"/>
              </w:rPr>
              <w:t>(106,585,380)</w:t>
            </w:r>
          </w:p>
        </w:tc>
        <w:tc>
          <w:tcPr>
            <w:tcW w:w="200" w:type="dxa"/>
            <w:vAlign w:val="bottom"/>
          </w:tcPr>
          <w:p>
            <w:pPr>
              <w:spacing w:after="0"/>
              <w:rPr>
                <w:sz w:val="23"/>
                <w:szCs w:val="23"/>
                <w:color w:val="auto"/>
              </w:rPr>
            </w:pPr>
          </w:p>
        </w:tc>
        <w:tc>
          <w:tcPr>
            <w:tcW w:w="1420" w:type="dxa"/>
            <w:vAlign w:val="bottom"/>
            <w:gridSpan w:val="2"/>
          </w:tcPr>
          <w:p>
            <w:pPr>
              <w:jc w:val="right"/>
              <w:spacing w:after="0"/>
              <w:rPr>
                <w:sz w:val="20"/>
                <w:szCs w:val="20"/>
                <w:color w:val="auto"/>
              </w:rPr>
            </w:pPr>
            <w:r>
              <w:rPr>
                <w:rFonts w:ascii="Arial" w:cs="Arial" w:eastAsia="Arial" w:hAnsi="Arial"/>
                <w:sz w:val="22"/>
                <w:szCs w:val="22"/>
                <w:color w:val="auto"/>
              </w:rPr>
              <w:t>(56,425,773)</w:t>
            </w:r>
          </w:p>
        </w:tc>
      </w:tr>
      <w:tr>
        <w:trPr>
          <w:trHeight w:val="274"/>
        </w:trPr>
        <w:tc>
          <w:tcPr>
            <w:tcW w:w="7980" w:type="dxa"/>
            <w:vAlign w:val="bottom"/>
          </w:tcPr>
          <w:p>
            <w:pPr>
              <w:spacing w:after="0"/>
              <w:rPr>
                <w:sz w:val="20"/>
                <w:szCs w:val="20"/>
                <w:color w:val="auto"/>
              </w:rPr>
            </w:pPr>
            <w:r>
              <w:rPr>
                <w:rFonts w:ascii="Arial" w:cs="Arial" w:eastAsia="Arial" w:hAnsi="Arial"/>
                <w:sz w:val="22"/>
                <w:szCs w:val="22"/>
                <w:color w:val="auto"/>
              </w:rPr>
              <w:t>Net unrealized depreciation (appreciation) on debt</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776,937</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gridSpan w:val="2"/>
          </w:tcPr>
          <w:p>
            <w:pPr>
              <w:jc w:val="right"/>
              <w:spacing w:after="0"/>
              <w:rPr>
                <w:sz w:val="20"/>
                <w:szCs w:val="20"/>
                <w:color w:val="auto"/>
              </w:rPr>
            </w:pPr>
            <w:r>
              <w:rPr>
                <w:rFonts w:ascii="Arial" w:cs="Arial" w:eastAsia="Arial" w:hAnsi="Arial"/>
                <w:sz w:val="22"/>
                <w:szCs w:val="22"/>
                <w:color w:val="auto"/>
              </w:rPr>
              <w:t>(2,309,441)</w:t>
            </w:r>
          </w:p>
        </w:tc>
      </w:tr>
      <w:tr>
        <w:trPr>
          <w:trHeight w:val="267"/>
        </w:trPr>
        <w:tc>
          <w:tcPr>
            <w:tcW w:w="7980" w:type="dxa"/>
            <w:vAlign w:val="bottom"/>
          </w:tcPr>
          <w:p>
            <w:pPr>
              <w:ind w:left="400"/>
              <w:spacing w:after="0"/>
              <w:rPr>
                <w:sz w:val="20"/>
                <w:szCs w:val="20"/>
                <w:color w:val="auto"/>
              </w:rPr>
            </w:pPr>
            <w:r>
              <w:rPr>
                <w:rFonts w:ascii="Arial" w:cs="Arial" w:eastAsia="Arial" w:hAnsi="Arial"/>
                <w:sz w:val="22"/>
                <w:szCs w:val="22"/>
                <w:b w:val="1"/>
                <w:bCs w:val="1"/>
                <w:color w:val="auto"/>
              </w:rPr>
              <w:t>Total net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636,092,684</w:t>
            </w:r>
          </w:p>
        </w:tc>
        <w:tc>
          <w:tcPr>
            <w:tcW w:w="200" w:type="dxa"/>
            <w:vAlign w:val="bottom"/>
          </w:tcPr>
          <w:p>
            <w:pPr>
              <w:spacing w:after="0"/>
              <w:rPr>
                <w:sz w:val="23"/>
                <w:szCs w:val="23"/>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646,808,471</w:t>
            </w:r>
          </w:p>
        </w:tc>
        <w:tc>
          <w:tcPr>
            <w:tcW w:w="80" w:type="dxa"/>
            <w:vAlign w:val="bottom"/>
          </w:tcPr>
          <w:p>
            <w:pPr>
              <w:spacing w:after="0"/>
              <w:rPr>
                <w:sz w:val="23"/>
                <w:szCs w:val="23"/>
                <w:color w:val="auto"/>
              </w:rPr>
            </w:pPr>
          </w:p>
        </w:tc>
      </w:tr>
      <w:tr>
        <w:trPr>
          <w:trHeight w:val="263"/>
        </w:trPr>
        <w:tc>
          <w:tcPr>
            <w:tcW w:w="7980" w:type="dxa"/>
            <w:vAlign w:val="bottom"/>
          </w:tcPr>
          <w:p>
            <w:pPr>
              <w:ind w:left="400"/>
              <w:spacing w:after="0"/>
              <w:rPr>
                <w:sz w:val="20"/>
                <w:szCs w:val="20"/>
                <w:color w:val="auto"/>
              </w:rPr>
            </w:pPr>
            <w:r>
              <w:rPr>
                <w:rFonts w:ascii="Arial" w:cs="Arial" w:eastAsia="Arial" w:hAnsi="Arial"/>
                <w:sz w:val="22"/>
                <w:szCs w:val="22"/>
                <w:b w:val="1"/>
                <w:bCs w:val="1"/>
                <w:color w:val="auto"/>
              </w:rPr>
              <w:t>Total liabilities and net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u w:val="single" w:color="auto"/>
                <w:color w:val="auto"/>
                <w:w w:val="8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8"/>
              </w:rPr>
              <w:t>1,141,381,765</w:t>
            </w:r>
          </w:p>
        </w:tc>
        <w:tc>
          <w:tcPr>
            <w:tcW w:w="2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2"/>
              </w:rPr>
              <w:t>1,202,195,841</w:t>
            </w:r>
          </w:p>
        </w:tc>
        <w:tc>
          <w:tcPr>
            <w:tcW w:w="80" w:type="dxa"/>
            <w:vAlign w:val="bottom"/>
          </w:tcPr>
          <w:p>
            <w:pPr>
              <w:spacing w:after="0"/>
              <w:rPr>
                <w:sz w:val="22"/>
                <w:szCs w:val="22"/>
                <w:color w:val="auto"/>
              </w:rPr>
            </w:pPr>
          </w:p>
        </w:tc>
      </w:tr>
      <w:tr>
        <w:trPr>
          <w:trHeight w:val="21"/>
        </w:trPr>
        <w:tc>
          <w:tcPr>
            <w:tcW w:w="7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4"/>
        </w:trPr>
        <w:tc>
          <w:tcPr>
            <w:tcW w:w="7980" w:type="dxa"/>
            <w:vAlign w:val="bottom"/>
          </w:tcPr>
          <w:p>
            <w:pPr>
              <w:spacing w:after="0"/>
              <w:rPr>
                <w:sz w:val="20"/>
                <w:szCs w:val="20"/>
                <w:color w:val="auto"/>
              </w:rPr>
            </w:pPr>
            <w:r>
              <w:rPr>
                <w:rFonts w:ascii="Arial" w:cs="Arial" w:eastAsia="Arial" w:hAnsi="Arial"/>
                <w:sz w:val="22"/>
                <w:szCs w:val="22"/>
                <w:b w:val="1"/>
                <w:bCs w:val="1"/>
                <w:color w:val="auto"/>
              </w:rPr>
              <w:t>Net asset value per share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9.09</w:t>
            </w:r>
          </w:p>
        </w:tc>
        <w:tc>
          <w:tcPr>
            <w:tcW w:w="2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9.10</w:t>
            </w:r>
          </w:p>
        </w:tc>
        <w:tc>
          <w:tcPr>
            <w:tcW w:w="80" w:type="dxa"/>
            <w:vAlign w:val="bottom"/>
          </w:tcPr>
          <w:p>
            <w:pPr>
              <w:spacing w:after="0"/>
              <w:rPr>
                <w:sz w:val="22"/>
                <w:szCs w:val="22"/>
                <w:color w:val="auto"/>
              </w:rPr>
            </w:pPr>
          </w:p>
        </w:tc>
      </w:tr>
      <w:tr>
        <w:trPr>
          <w:trHeight w:val="20"/>
        </w:trPr>
        <w:tc>
          <w:tcPr>
            <w:tcW w:w="7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ectPr>
          <w:pgSz w:w="11900" w:h="16838" w:orient="portrait"/>
          <w:cols w:equalWidth="0" w:num="1">
            <w:col w:w="11240"/>
          </w:cols>
          <w:pgMar w:left="320" w:top="111" w:right="339" w:bottom="825" w:gutter="0" w:footer="0" w:header="0"/>
        </w:sectPr>
      </w:pPr>
    </w:p>
    <w:bookmarkStart w:id="7" w:name="page8"/>
    <w:bookmarkEnd w:id="7"/>
    <w:p>
      <w:pPr>
        <w:spacing w:after="0" w:line="38" w:lineRule="exact"/>
        <w:rPr>
          <w:sz w:val="20"/>
          <w:szCs w:val="20"/>
          <w:color w:val="auto"/>
        </w:rPr>
      </w:pPr>
    </w:p>
    <w:p>
      <w:pPr>
        <w:jc w:val="center"/>
        <w:spacing w:after="0" w:line="243" w:lineRule="auto"/>
        <w:rPr>
          <w:sz w:val="20"/>
          <w:szCs w:val="20"/>
          <w:color w:val="auto"/>
        </w:rPr>
      </w:pPr>
      <w:r>
        <w:rPr>
          <w:rFonts w:ascii="Arial" w:cs="Arial" w:eastAsia="Arial" w:hAnsi="Arial"/>
          <w:sz w:val="22"/>
          <w:szCs w:val="22"/>
          <w:b w:val="1"/>
          <w:bCs w:val="1"/>
          <w:color w:val="auto"/>
        </w:rPr>
        <w:t>PENNANTPARK INVESTMENT CORPORATION AND SUBSIDIARIES CONSOLIDATED STATEMENTS OF OPERATIONS (Unaudited)</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5760" w:type="dxa"/>
            <w:vAlign w:val="bottom"/>
          </w:tcPr>
          <w:p>
            <w:pPr>
              <w:spacing w:after="0"/>
              <w:rPr>
                <w:sz w:val="21"/>
                <w:szCs w:val="21"/>
                <w:color w:val="auto"/>
              </w:rPr>
            </w:pPr>
          </w:p>
        </w:tc>
        <w:tc>
          <w:tcPr>
            <w:tcW w:w="2740" w:type="dxa"/>
            <w:vAlign w:val="bottom"/>
            <w:gridSpan w:val="7"/>
          </w:tcPr>
          <w:p>
            <w:pPr>
              <w:ind w:left="40"/>
              <w:spacing w:after="0"/>
              <w:rPr>
                <w:sz w:val="20"/>
                <w:szCs w:val="20"/>
                <w:color w:val="auto"/>
              </w:rPr>
            </w:pPr>
            <w:r>
              <w:rPr>
                <w:rFonts w:ascii="Arial" w:cs="Arial" w:eastAsia="Arial" w:hAnsi="Arial"/>
                <w:sz w:val="22"/>
                <w:szCs w:val="22"/>
                <w:b w:val="1"/>
                <w:bCs w:val="1"/>
                <w:color w:val="auto"/>
                <w:w w:val="97"/>
              </w:rPr>
              <w:t>Three Months Ended June</w:t>
            </w:r>
          </w:p>
        </w:tc>
        <w:tc>
          <w:tcPr>
            <w:tcW w:w="120" w:type="dxa"/>
            <w:vAlign w:val="bottom"/>
          </w:tcPr>
          <w:p>
            <w:pPr>
              <w:spacing w:after="0"/>
              <w:rPr>
                <w:sz w:val="21"/>
                <w:szCs w:val="21"/>
                <w:color w:val="auto"/>
              </w:rPr>
            </w:pPr>
          </w:p>
        </w:tc>
        <w:tc>
          <w:tcPr>
            <w:tcW w:w="2580" w:type="dxa"/>
            <w:vAlign w:val="bottom"/>
            <w:gridSpan w:val="5"/>
          </w:tcPr>
          <w:p>
            <w:pPr>
              <w:jc w:val="right"/>
              <w:ind w:right="112"/>
              <w:spacing w:after="0"/>
              <w:rPr>
                <w:sz w:val="20"/>
                <w:szCs w:val="20"/>
                <w:color w:val="auto"/>
              </w:rPr>
            </w:pPr>
            <w:r>
              <w:rPr>
                <w:rFonts w:ascii="Arial" w:cs="Arial" w:eastAsia="Arial" w:hAnsi="Arial"/>
                <w:sz w:val="22"/>
                <w:szCs w:val="22"/>
                <w:b w:val="1"/>
                <w:bCs w:val="1"/>
                <w:color w:val="auto"/>
                <w:w w:val="89"/>
              </w:rPr>
              <w:t>Nine Months Ended June</w:t>
            </w:r>
          </w:p>
        </w:tc>
        <w:tc>
          <w:tcPr>
            <w:tcW w:w="0" w:type="dxa"/>
            <w:vAlign w:val="bottom"/>
          </w:tcPr>
          <w:p>
            <w:pPr>
              <w:spacing w:after="0"/>
              <w:rPr>
                <w:sz w:val="1"/>
                <w:szCs w:val="1"/>
                <w:color w:val="auto"/>
              </w:rPr>
            </w:pPr>
          </w:p>
        </w:tc>
      </w:tr>
      <w:tr>
        <w:trPr>
          <w:trHeight w:val="282"/>
        </w:trPr>
        <w:tc>
          <w:tcPr>
            <w:tcW w:w="57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22"/>
                <w:szCs w:val="22"/>
                <w:b w:val="1"/>
                <w:bCs w:val="1"/>
                <w:color w:val="auto"/>
              </w:rPr>
              <w:t>30,</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22"/>
                <w:szCs w:val="22"/>
                <w:b w:val="1"/>
                <w:bCs w:val="1"/>
                <w:color w:val="auto"/>
              </w:rPr>
              <w:t>30,</w:t>
            </w:r>
          </w:p>
        </w:tc>
        <w:tc>
          <w:tcPr>
            <w:tcW w:w="10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7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2018</w:t>
            </w:r>
          </w:p>
        </w:tc>
        <w:tc>
          <w:tcPr>
            <w:tcW w:w="18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2017</w:t>
            </w:r>
          </w:p>
        </w:tc>
        <w:tc>
          <w:tcPr>
            <w:tcW w:w="2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72"/>
              <w:spacing w:after="0"/>
              <w:rPr>
                <w:sz w:val="20"/>
                <w:szCs w:val="20"/>
                <w:color w:val="auto"/>
              </w:rPr>
            </w:pPr>
            <w:r>
              <w:rPr>
                <w:rFonts w:ascii="Arial" w:cs="Arial" w:eastAsia="Arial" w:hAnsi="Arial"/>
                <w:sz w:val="22"/>
                <w:szCs w:val="22"/>
                <w:b w:val="1"/>
                <w:bCs w:val="1"/>
                <w:color w:val="auto"/>
              </w:rPr>
              <w:t>2018</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2017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5760" w:type="dxa"/>
            <w:vAlign w:val="bottom"/>
          </w:tcPr>
          <w:p>
            <w:pPr>
              <w:spacing w:after="0"/>
              <w:rPr>
                <w:sz w:val="20"/>
                <w:szCs w:val="20"/>
                <w:color w:val="auto"/>
              </w:rPr>
            </w:pPr>
            <w:r>
              <w:rPr>
                <w:rFonts w:ascii="Arial" w:cs="Arial" w:eastAsia="Arial" w:hAnsi="Arial"/>
                <w:sz w:val="22"/>
                <w:szCs w:val="22"/>
                <w:b w:val="1"/>
                <w:bCs w:val="1"/>
                <w:color w:val="auto"/>
              </w:rPr>
              <w:t>Investment income:</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760" w:type="dxa"/>
            <w:vAlign w:val="bottom"/>
          </w:tcPr>
          <w:p>
            <w:pPr>
              <w:spacing w:after="0"/>
              <w:rPr>
                <w:sz w:val="20"/>
                <w:szCs w:val="20"/>
                <w:color w:val="auto"/>
              </w:rPr>
            </w:pPr>
            <w:r>
              <w:rPr>
                <w:rFonts w:ascii="Arial" w:cs="Arial" w:eastAsia="Arial" w:hAnsi="Arial"/>
                <w:sz w:val="22"/>
                <w:szCs w:val="22"/>
                <w:color w:val="auto"/>
              </w:rPr>
              <w:t>From non-controlled, non-affiliated investments:</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260"/>
              <w:spacing w:after="0"/>
              <w:rPr>
                <w:sz w:val="20"/>
                <w:szCs w:val="20"/>
                <w:color w:val="auto"/>
              </w:rPr>
            </w:pPr>
            <w:r>
              <w:rPr>
                <w:rFonts w:ascii="Arial" w:cs="Arial" w:eastAsia="Arial" w:hAnsi="Arial"/>
                <w:sz w:val="22"/>
                <w:szCs w:val="22"/>
                <w:color w:val="auto"/>
              </w:rPr>
              <w:t>Interest</w:t>
            </w:r>
          </w:p>
        </w:tc>
        <w:tc>
          <w:tcPr>
            <w:tcW w:w="140" w:type="dxa"/>
            <w:vAlign w:val="bottom"/>
          </w:tcPr>
          <w:p>
            <w:pPr>
              <w:ind w:left="20"/>
              <w:spacing w:after="0"/>
              <w:rPr>
                <w:sz w:val="20"/>
                <w:szCs w:val="20"/>
                <w:color w:val="auto"/>
              </w:rPr>
            </w:pPr>
            <w:r>
              <w:rPr>
                <w:rFonts w:ascii="Arial" w:cs="Arial" w:eastAsia="Arial" w:hAnsi="Arial"/>
                <w:sz w:val="22"/>
                <w:szCs w:val="22"/>
                <w:color w:val="auto"/>
                <w:w w:val="81"/>
              </w:rPr>
              <w:t>$</w:t>
            </w:r>
          </w:p>
        </w:tc>
        <w:tc>
          <w:tcPr>
            <w:tcW w:w="1080" w:type="dxa"/>
            <w:vAlign w:val="bottom"/>
          </w:tcPr>
          <w:p>
            <w:pPr>
              <w:jc w:val="right"/>
              <w:spacing w:after="0"/>
              <w:rPr>
                <w:sz w:val="20"/>
                <w:szCs w:val="20"/>
                <w:color w:val="auto"/>
              </w:rPr>
            </w:pPr>
            <w:r>
              <w:rPr>
                <w:rFonts w:ascii="Arial" w:cs="Arial" w:eastAsia="Arial" w:hAnsi="Arial"/>
                <w:sz w:val="22"/>
                <w:szCs w:val="22"/>
                <w:color w:val="auto"/>
                <w:w w:val="94"/>
              </w:rPr>
              <w:t>19,491,552</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000" w:type="dxa"/>
            <w:vAlign w:val="bottom"/>
          </w:tcPr>
          <w:p>
            <w:pPr>
              <w:jc w:val="right"/>
              <w:spacing w:after="0"/>
              <w:rPr>
                <w:sz w:val="20"/>
                <w:szCs w:val="20"/>
                <w:color w:val="auto"/>
              </w:rPr>
            </w:pPr>
            <w:r>
              <w:rPr>
                <w:rFonts w:ascii="Arial" w:cs="Arial" w:eastAsia="Arial" w:hAnsi="Arial"/>
                <w:sz w:val="22"/>
                <w:szCs w:val="22"/>
                <w:color w:val="auto"/>
                <w:w w:val="88"/>
              </w:rPr>
              <w:t>20,154,976</w:t>
            </w:r>
          </w:p>
        </w:tc>
        <w:tc>
          <w:tcPr>
            <w:tcW w:w="2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tcPr>
          <w:p>
            <w:pPr>
              <w:jc w:val="right"/>
              <w:spacing w:after="0"/>
              <w:rPr>
                <w:sz w:val="20"/>
                <w:szCs w:val="20"/>
                <w:color w:val="auto"/>
              </w:rPr>
            </w:pPr>
            <w:r>
              <w:rPr>
                <w:rFonts w:ascii="Arial" w:cs="Arial" w:eastAsia="Arial" w:hAnsi="Arial"/>
                <w:sz w:val="22"/>
                <w:szCs w:val="22"/>
                <w:color w:val="auto"/>
                <w:w w:val="96"/>
              </w:rPr>
              <w:t>60,608,891</w:t>
            </w:r>
          </w:p>
        </w:tc>
        <w:tc>
          <w:tcPr>
            <w:tcW w:w="2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tcPr>
          <w:p>
            <w:pPr>
              <w:jc w:val="right"/>
              <w:spacing w:after="0"/>
              <w:rPr>
                <w:sz w:val="20"/>
                <w:szCs w:val="20"/>
                <w:color w:val="auto"/>
              </w:rPr>
            </w:pPr>
            <w:r>
              <w:rPr>
                <w:rFonts w:ascii="Arial" w:cs="Arial" w:eastAsia="Arial" w:hAnsi="Arial"/>
                <w:sz w:val="22"/>
                <w:szCs w:val="22"/>
                <w:color w:val="auto"/>
                <w:w w:val="94"/>
              </w:rPr>
              <w:t>64,687,668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260"/>
              <w:spacing w:after="0"/>
              <w:rPr>
                <w:sz w:val="20"/>
                <w:szCs w:val="20"/>
                <w:color w:val="auto"/>
              </w:rPr>
            </w:pPr>
            <w:r>
              <w:rPr>
                <w:rFonts w:ascii="Arial" w:cs="Arial" w:eastAsia="Arial" w:hAnsi="Arial"/>
                <w:sz w:val="22"/>
                <w:szCs w:val="22"/>
                <w:color w:val="auto"/>
              </w:rPr>
              <w:t>Payment in kind</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1,585,945</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1,211,753</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4,545,929</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2,641,506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260"/>
              <w:spacing w:after="0"/>
              <w:rPr>
                <w:sz w:val="20"/>
                <w:szCs w:val="20"/>
                <w:color w:val="auto"/>
              </w:rPr>
            </w:pPr>
            <w:r>
              <w:rPr>
                <w:rFonts w:ascii="Arial" w:cs="Arial" w:eastAsia="Arial" w:hAnsi="Arial"/>
                <w:sz w:val="22"/>
                <w:szCs w:val="22"/>
                <w:color w:val="auto"/>
              </w:rPr>
              <w:t>Other income</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1,494,072</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946,587</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5,567,138</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4,614,740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spacing w:after="0"/>
              <w:rPr>
                <w:sz w:val="20"/>
                <w:szCs w:val="20"/>
                <w:color w:val="auto"/>
              </w:rPr>
            </w:pPr>
            <w:r>
              <w:rPr>
                <w:rFonts w:ascii="Arial" w:cs="Arial" w:eastAsia="Arial" w:hAnsi="Arial"/>
                <w:sz w:val="22"/>
                <w:szCs w:val="22"/>
                <w:color w:val="auto"/>
              </w:rPr>
              <w:t>From non-controlled, affiliated investments:</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260"/>
              <w:spacing w:after="0"/>
              <w:rPr>
                <w:sz w:val="20"/>
                <w:szCs w:val="20"/>
                <w:color w:val="auto"/>
              </w:rPr>
            </w:pPr>
            <w:r>
              <w:rPr>
                <w:rFonts w:ascii="Arial" w:cs="Arial" w:eastAsia="Arial" w:hAnsi="Arial"/>
                <w:sz w:val="22"/>
                <w:szCs w:val="22"/>
                <w:color w:val="auto"/>
              </w:rPr>
              <w:t>Interest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253,191</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2,415,807</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2,845,090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8,197,246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260"/>
              <w:spacing w:after="0"/>
              <w:rPr>
                <w:sz w:val="20"/>
                <w:szCs w:val="20"/>
                <w:color w:val="auto"/>
              </w:rPr>
            </w:pPr>
            <w:r>
              <w:rPr>
                <w:rFonts w:ascii="Arial" w:cs="Arial" w:eastAsia="Arial" w:hAnsi="Arial"/>
                <w:sz w:val="22"/>
                <w:szCs w:val="22"/>
                <w:color w:val="auto"/>
              </w:rPr>
              <w:t>Payment in kind</w:t>
            </w:r>
          </w:p>
        </w:tc>
        <w:tc>
          <w:tcPr>
            <w:tcW w:w="140" w:type="dxa"/>
            <w:vAlign w:val="bottom"/>
          </w:tcPr>
          <w:p>
            <w:pPr>
              <w:spacing w:after="0"/>
              <w:rPr>
                <w:sz w:val="23"/>
                <w:szCs w:val="23"/>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1,334,809</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1,807,655</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4,219,437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260"/>
              <w:spacing w:after="0"/>
              <w:rPr>
                <w:sz w:val="20"/>
                <w:szCs w:val="20"/>
                <w:color w:val="auto"/>
              </w:rPr>
            </w:pPr>
            <w:r>
              <w:rPr>
                <w:rFonts w:ascii="Arial" w:cs="Arial" w:eastAsia="Arial" w:hAnsi="Arial"/>
                <w:sz w:val="22"/>
                <w:szCs w:val="22"/>
                <w:color w:val="auto"/>
              </w:rPr>
              <w:t>Other income</w:t>
            </w:r>
          </w:p>
        </w:tc>
        <w:tc>
          <w:tcPr>
            <w:tcW w:w="140" w:type="dxa"/>
            <w:vAlign w:val="bottom"/>
          </w:tcPr>
          <w:p>
            <w:pPr>
              <w:spacing w:after="0"/>
              <w:rPr>
                <w:sz w:val="23"/>
                <w:szCs w:val="23"/>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1,587,435</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1,609,935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spacing w:after="0"/>
              <w:rPr>
                <w:sz w:val="20"/>
                <w:szCs w:val="20"/>
                <w:color w:val="auto"/>
              </w:rPr>
            </w:pPr>
            <w:r>
              <w:rPr>
                <w:rFonts w:ascii="Arial" w:cs="Arial" w:eastAsia="Arial" w:hAnsi="Arial"/>
                <w:sz w:val="22"/>
                <w:szCs w:val="22"/>
                <w:color w:val="auto"/>
              </w:rPr>
              <w:t>From controlled, affiliated investments:</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260"/>
              <w:spacing w:after="0"/>
              <w:rPr>
                <w:sz w:val="20"/>
                <w:szCs w:val="20"/>
                <w:color w:val="auto"/>
              </w:rPr>
            </w:pPr>
            <w:r>
              <w:rPr>
                <w:rFonts w:ascii="Arial" w:cs="Arial" w:eastAsia="Arial" w:hAnsi="Arial"/>
                <w:sz w:val="22"/>
                <w:szCs w:val="22"/>
                <w:color w:val="auto"/>
              </w:rPr>
              <w:t>Interest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1,480,768</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208,432</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2,931,462</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598,976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760" w:type="dxa"/>
            <w:vAlign w:val="bottom"/>
          </w:tcPr>
          <w:p>
            <w:pPr>
              <w:ind w:left="260"/>
              <w:spacing w:after="0"/>
              <w:rPr>
                <w:sz w:val="20"/>
                <w:szCs w:val="20"/>
                <w:color w:val="auto"/>
              </w:rPr>
            </w:pPr>
            <w:r>
              <w:rPr>
                <w:rFonts w:ascii="Arial" w:cs="Arial" w:eastAsia="Arial" w:hAnsi="Arial"/>
                <w:sz w:val="22"/>
                <w:szCs w:val="22"/>
                <w:color w:val="auto"/>
              </w:rPr>
              <w:t>Payment in kind</w:t>
            </w: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453,974</w:t>
            </w:r>
          </w:p>
        </w:tc>
        <w:tc>
          <w:tcPr>
            <w:tcW w:w="18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3,224,520</w:t>
            </w:r>
          </w:p>
        </w:tc>
        <w:tc>
          <w:tcPr>
            <w:tcW w:w="2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2,347,371</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4"/>
              </w:rPr>
              <w:t>10,098,714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5760" w:type="dxa"/>
            <w:vAlign w:val="bottom"/>
          </w:tcPr>
          <w:p>
            <w:pPr>
              <w:ind w:left="260"/>
              <w:spacing w:after="0"/>
              <w:rPr>
                <w:sz w:val="20"/>
                <w:szCs w:val="20"/>
                <w:color w:val="auto"/>
              </w:rPr>
            </w:pPr>
            <w:r>
              <w:rPr>
                <w:rFonts w:ascii="Arial" w:cs="Arial" w:eastAsia="Arial" w:hAnsi="Arial"/>
                <w:sz w:val="22"/>
                <w:szCs w:val="22"/>
                <w:b w:val="1"/>
                <w:bCs w:val="1"/>
                <w:color w:val="auto"/>
              </w:rPr>
              <w:t>Total investment income</w:t>
            </w: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4"/>
              </w:rPr>
              <w:t>24,759,502</w:t>
            </w:r>
          </w:p>
        </w:tc>
        <w:tc>
          <w:tcPr>
            <w:tcW w:w="18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8"/>
              </w:rPr>
              <w:t>31,084,319</w:t>
            </w:r>
          </w:p>
        </w:tc>
        <w:tc>
          <w:tcPr>
            <w:tcW w:w="2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6"/>
              </w:rPr>
              <w:t>80,653,536</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4"/>
              </w:rPr>
              <w:t>96,668,222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5760" w:type="dxa"/>
            <w:vAlign w:val="bottom"/>
          </w:tcPr>
          <w:p>
            <w:pPr>
              <w:spacing w:after="0"/>
              <w:rPr>
                <w:sz w:val="20"/>
                <w:szCs w:val="20"/>
                <w:color w:val="auto"/>
              </w:rPr>
            </w:pPr>
            <w:r>
              <w:rPr>
                <w:rFonts w:ascii="Arial" w:cs="Arial" w:eastAsia="Arial" w:hAnsi="Arial"/>
                <w:sz w:val="22"/>
                <w:szCs w:val="22"/>
                <w:b w:val="1"/>
                <w:bCs w:val="1"/>
                <w:color w:val="auto"/>
              </w:rPr>
              <w:t>Expenses:</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260"/>
              <w:spacing w:after="0"/>
              <w:rPr>
                <w:sz w:val="20"/>
                <w:szCs w:val="20"/>
                <w:color w:val="auto"/>
              </w:rPr>
            </w:pPr>
            <w:r>
              <w:rPr>
                <w:rFonts w:ascii="Arial" w:cs="Arial" w:eastAsia="Arial" w:hAnsi="Arial"/>
                <w:sz w:val="22"/>
                <w:szCs w:val="22"/>
                <w:color w:val="auto"/>
              </w:rPr>
              <w:t>Base management fee</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3,772,669</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5,842,601</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w w:val="96"/>
              </w:rPr>
              <w:t>13,381,545</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w w:val="94"/>
              </w:rPr>
              <w:t>18,449,890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260"/>
              <w:spacing w:after="0"/>
              <w:rPr>
                <w:sz w:val="20"/>
                <w:szCs w:val="20"/>
                <w:color w:val="auto"/>
              </w:rPr>
            </w:pPr>
            <w:r>
              <w:rPr>
                <w:rFonts w:ascii="Arial" w:cs="Arial" w:eastAsia="Arial" w:hAnsi="Arial"/>
                <w:sz w:val="22"/>
                <w:szCs w:val="22"/>
                <w:color w:val="auto"/>
              </w:rPr>
              <w:t>Performance-based incentive fee</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2,497,843</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1,358,165</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8,528,663</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8,375,564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260"/>
              <w:spacing w:after="0"/>
              <w:rPr>
                <w:sz w:val="20"/>
                <w:szCs w:val="20"/>
                <w:color w:val="auto"/>
              </w:rPr>
            </w:pPr>
            <w:r>
              <w:rPr>
                <w:rFonts w:ascii="Arial" w:cs="Arial" w:eastAsia="Arial" w:hAnsi="Arial"/>
                <w:sz w:val="22"/>
                <w:szCs w:val="22"/>
                <w:color w:val="auto"/>
              </w:rPr>
              <w:t>Interest and expenses on debt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5,565,240</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6,723,980</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w w:val="96"/>
              </w:rPr>
              <w:t>17,363,511</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w w:val="94"/>
              </w:rPr>
              <w:t>20,638,611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260"/>
              <w:spacing w:after="0"/>
              <w:rPr>
                <w:sz w:val="20"/>
                <w:szCs w:val="20"/>
                <w:color w:val="auto"/>
              </w:rPr>
            </w:pPr>
            <w:r>
              <w:rPr>
                <w:rFonts w:ascii="Arial" w:cs="Arial" w:eastAsia="Arial" w:hAnsi="Arial"/>
                <w:sz w:val="22"/>
                <w:szCs w:val="22"/>
                <w:color w:val="auto"/>
              </w:rPr>
              <w:t>Administrative services expenses</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521,625</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894,000</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1,564,875</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2,682,000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760" w:type="dxa"/>
            <w:vAlign w:val="bottom"/>
          </w:tcPr>
          <w:p>
            <w:pPr>
              <w:ind w:left="260"/>
              <w:spacing w:after="0"/>
              <w:rPr>
                <w:sz w:val="20"/>
                <w:szCs w:val="20"/>
                <w:color w:val="auto"/>
              </w:rPr>
            </w:pPr>
            <w:r>
              <w:rPr>
                <w:rFonts w:ascii="Arial" w:cs="Arial" w:eastAsia="Arial" w:hAnsi="Arial"/>
                <w:sz w:val="22"/>
                <w:szCs w:val="22"/>
                <w:color w:val="auto"/>
              </w:rPr>
              <w:t>Other general and administrative expenses</w:t>
            </w: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626,213</w:t>
            </w:r>
          </w:p>
        </w:tc>
        <w:tc>
          <w:tcPr>
            <w:tcW w:w="18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665,653</w:t>
            </w:r>
          </w:p>
        </w:tc>
        <w:tc>
          <w:tcPr>
            <w:tcW w:w="2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1,882,793</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2,002,643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5760" w:type="dxa"/>
            <w:vAlign w:val="bottom"/>
          </w:tcPr>
          <w:p>
            <w:pPr>
              <w:ind w:left="260"/>
              <w:spacing w:after="0" w:line="212" w:lineRule="exact"/>
              <w:rPr>
                <w:sz w:val="20"/>
                <w:szCs w:val="20"/>
                <w:color w:val="auto"/>
              </w:rPr>
            </w:pPr>
            <w:r>
              <w:rPr>
                <w:rFonts w:ascii="Arial" w:cs="Arial" w:eastAsia="Arial" w:hAnsi="Arial"/>
                <w:sz w:val="22"/>
                <w:szCs w:val="22"/>
                <w:b w:val="1"/>
                <w:bCs w:val="1"/>
                <w:color w:val="auto"/>
                <w:w w:val="91"/>
              </w:rPr>
              <w:t>Expenses before Management Fees waiver and provision</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5760" w:type="dxa"/>
            <w:vAlign w:val="bottom"/>
          </w:tcPr>
          <w:p>
            <w:pPr>
              <w:ind w:left="260"/>
              <w:spacing w:after="0"/>
              <w:rPr>
                <w:sz w:val="20"/>
                <w:szCs w:val="20"/>
                <w:color w:val="auto"/>
              </w:rPr>
            </w:pPr>
            <w:r>
              <w:rPr>
                <w:rFonts w:ascii="Arial" w:cs="Arial" w:eastAsia="Arial" w:hAnsi="Arial"/>
                <w:sz w:val="22"/>
                <w:szCs w:val="22"/>
                <w:b w:val="1"/>
                <w:bCs w:val="1"/>
                <w:color w:val="auto"/>
              </w:rPr>
              <w:t>for taxes</w:t>
            </w: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4"/>
              </w:rPr>
              <w:t>12,983,590</w:t>
            </w:r>
          </w:p>
        </w:tc>
        <w:tc>
          <w:tcPr>
            <w:tcW w:w="1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8"/>
              </w:rPr>
              <w:t>15,484,399</w:t>
            </w: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6"/>
              </w:rPr>
              <w:t>42,721,387</w:t>
            </w: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4"/>
              </w:rPr>
              <w:t>52,148,708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5760" w:type="dxa"/>
            <w:vAlign w:val="bottom"/>
          </w:tcPr>
          <w:p>
            <w:pPr>
              <w:ind w:left="260"/>
              <w:spacing w:after="0"/>
              <w:rPr>
                <w:sz w:val="20"/>
                <w:szCs w:val="20"/>
                <w:color w:val="auto"/>
              </w:rPr>
            </w:pPr>
            <w:r>
              <w:rPr>
                <w:rFonts w:ascii="Arial" w:cs="Arial" w:eastAsia="Arial" w:hAnsi="Arial"/>
                <w:sz w:val="22"/>
                <w:szCs w:val="22"/>
                <w:color w:val="auto"/>
              </w:rPr>
              <w:t>Management Fees waiver</w:t>
            </w: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w w:val="87"/>
              </w:rPr>
              <w:t>(1,152,123)</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w w:val="94"/>
              </w:rPr>
              <w:t>(1,427,253)</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w w:val="94"/>
              </w:rPr>
              <w:t>(4,292,073)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260"/>
              <w:spacing w:after="0"/>
              <w:rPr>
                <w:sz w:val="20"/>
                <w:szCs w:val="20"/>
                <w:color w:val="auto"/>
              </w:rPr>
            </w:pPr>
            <w:r>
              <w:rPr>
                <w:rFonts w:ascii="Arial" w:cs="Arial" w:eastAsia="Arial" w:hAnsi="Arial"/>
                <w:sz w:val="22"/>
                <w:szCs w:val="22"/>
                <w:color w:val="auto"/>
              </w:rPr>
              <w:t>Provision for taxes</w:t>
            </w:r>
          </w:p>
        </w:tc>
        <w:tc>
          <w:tcPr>
            <w:tcW w:w="140" w:type="dxa"/>
            <w:vAlign w:val="bottom"/>
          </w:tcPr>
          <w:p>
            <w:pPr>
              <w:spacing w:after="0"/>
              <w:rPr>
                <w:sz w:val="23"/>
                <w:szCs w:val="23"/>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425,000</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1,275,000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760" w:type="dxa"/>
            <w:vAlign w:val="bottom"/>
          </w:tcPr>
          <w:p>
            <w:pPr>
              <w:ind w:left="260"/>
              <w:spacing w:after="0"/>
              <w:rPr>
                <w:sz w:val="20"/>
                <w:szCs w:val="20"/>
                <w:color w:val="auto"/>
              </w:rPr>
            </w:pPr>
            <w:r>
              <w:rPr>
                <w:rFonts w:ascii="Arial" w:cs="Arial" w:eastAsia="Arial" w:hAnsi="Arial"/>
                <w:sz w:val="22"/>
                <w:szCs w:val="22"/>
                <w:color w:val="auto"/>
              </w:rPr>
              <w:t>Credit Facility amendment costs</w:t>
            </w:r>
          </w:p>
        </w:tc>
        <w:tc>
          <w:tcPr>
            <w:tcW w:w="140" w:type="dxa"/>
            <w:vAlign w:val="bottom"/>
          </w:tcPr>
          <w:p>
            <w:pPr>
              <w:spacing w:after="0"/>
              <w:rPr>
                <w:sz w:val="23"/>
                <w:szCs w:val="23"/>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3,866,633</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3,866,633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5760" w:type="dxa"/>
            <w:vAlign w:val="bottom"/>
          </w:tcPr>
          <w:p>
            <w:pPr>
              <w:ind w:left="260"/>
              <w:spacing w:after="0"/>
              <w:rPr>
                <w:sz w:val="20"/>
                <w:szCs w:val="20"/>
                <w:color w:val="auto"/>
              </w:rPr>
            </w:pPr>
            <w:r>
              <w:rPr>
                <w:rFonts w:ascii="Arial" w:cs="Arial" w:eastAsia="Arial" w:hAnsi="Arial"/>
                <w:sz w:val="22"/>
                <w:szCs w:val="22"/>
                <w:b w:val="1"/>
                <w:bCs w:val="1"/>
                <w:color w:val="auto"/>
              </w:rPr>
              <w:t>Net expenses</w:t>
            </w:r>
          </w:p>
        </w:tc>
        <w:tc>
          <w:tcPr>
            <w:tcW w:w="14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4"/>
              </w:rPr>
              <w:t>12,983,590</w:t>
            </w:r>
          </w:p>
        </w:tc>
        <w:tc>
          <w:tcPr>
            <w:tcW w:w="180" w:type="dxa"/>
            <w:vAlign w:val="bottom"/>
          </w:tcPr>
          <w:p>
            <w:pPr>
              <w:spacing w:after="0"/>
              <w:rPr>
                <w:sz w:val="23"/>
                <w:szCs w:val="23"/>
                <w:color w:val="auto"/>
              </w:rPr>
            </w:pPr>
          </w:p>
        </w:tc>
        <w:tc>
          <w:tcPr>
            <w:tcW w:w="20" w:type="dxa"/>
            <w:vAlign w:val="bottom"/>
            <w:tcBorders>
              <w:top w:val="single" w:sz="8" w:color="auto"/>
              <w:bottom w:val="single" w:sz="8" w:color="auto"/>
            </w:tcBorders>
          </w:tcPr>
          <w:p>
            <w:pPr>
              <w:spacing w:after="0"/>
              <w:rPr>
                <w:sz w:val="23"/>
                <w:szCs w:val="23"/>
                <w:color w:val="auto"/>
              </w:rPr>
            </w:pPr>
          </w:p>
        </w:tc>
        <w:tc>
          <w:tcPr>
            <w:tcW w:w="12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8"/>
              </w:rPr>
              <w:t>18,623,909</w:t>
            </w:r>
          </w:p>
        </w:tc>
        <w:tc>
          <w:tcPr>
            <w:tcW w:w="200" w:type="dxa"/>
            <w:vAlign w:val="bottom"/>
          </w:tcPr>
          <w:p>
            <w:pPr>
              <w:spacing w:after="0"/>
              <w:rPr>
                <w:sz w:val="23"/>
                <w:szCs w:val="23"/>
                <w:color w:val="auto"/>
              </w:rPr>
            </w:pPr>
          </w:p>
        </w:tc>
        <w:tc>
          <w:tcPr>
            <w:tcW w:w="12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6"/>
              </w:rPr>
              <w:t>41,294,134</w:t>
            </w:r>
          </w:p>
        </w:tc>
        <w:tc>
          <w:tcPr>
            <w:tcW w:w="200" w:type="dxa"/>
            <w:vAlign w:val="bottom"/>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4"/>
              </w:rPr>
              <w:t>52,998,268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760" w:type="dxa"/>
            <w:vAlign w:val="bottom"/>
          </w:tcPr>
          <w:p>
            <w:pPr>
              <w:ind w:left="260"/>
              <w:spacing w:after="0"/>
              <w:rPr>
                <w:sz w:val="20"/>
                <w:szCs w:val="20"/>
                <w:color w:val="auto"/>
              </w:rPr>
            </w:pPr>
            <w:r>
              <w:rPr>
                <w:rFonts w:ascii="Arial" w:cs="Arial" w:eastAsia="Arial" w:hAnsi="Arial"/>
                <w:sz w:val="22"/>
                <w:szCs w:val="22"/>
                <w:b w:val="1"/>
                <w:bCs w:val="1"/>
                <w:color w:val="auto"/>
              </w:rPr>
              <w:t>Net investment income</w:t>
            </w: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4"/>
              </w:rPr>
              <w:t>11,775,912</w:t>
            </w:r>
          </w:p>
        </w:tc>
        <w:tc>
          <w:tcPr>
            <w:tcW w:w="1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8"/>
              </w:rPr>
              <w:t>12,460,410</w:t>
            </w:r>
          </w:p>
        </w:tc>
        <w:tc>
          <w:tcPr>
            <w:tcW w:w="2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6"/>
              </w:rPr>
              <w:t>39,359,402</w:t>
            </w:r>
          </w:p>
        </w:tc>
        <w:tc>
          <w:tcPr>
            <w:tcW w:w="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4"/>
              </w:rPr>
              <w:t>43,669,954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760" w:type="dxa"/>
            <w:vAlign w:val="bottom"/>
          </w:tcPr>
          <w:p>
            <w:pPr>
              <w:spacing w:after="0"/>
              <w:rPr>
                <w:sz w:val="20"/>
                <w:szCs w:val="20"/>
                <w:color w:val="auto"/>
              </w:rPr>
            </w:pPr>
            <w:r>
              <w:rPr>
                <w:rFonts w:ascii="Arial" w:cs="Arial" w:eastAsia="Arial" w:hAnsi="Arial"/>
                <w:sz w:val="22"/>
                <w:szCs w:val="22"/>
                <w:b w:val="1"/>
                <w:bCs w:val="1"/>
                <w:color w:val="auto"/>
                <w:w w:val="89"/>
              </w:rPr>
              <w:t>Realized and unrealized (loss) gain on investments and debt:</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760" w:type="dxa"/>
            <w:vAlign w:val="bottom"/>
          </w:tcPr>
          <w:p>
            <w:pPr>
              <w:spacing w:after="0"/>
              <w:rPr>
                <w:sz w:val="20"/>
                <w:szCs w:val="20"/>
                <w:color w:val="auto"/>
              </w:rPr>
            </w:pPr>
            <w:r>
              <w:rPr>
                <w:rFonts w:ascii="Arial" w:cs="Arial" w:eastAsia="Arial" w:hAnsi="Arial"/>
                <w:sz w:val="22"/>
                <w:szCs w:val="22"/>
                <w:color w:val="auto"/>
              </w:rPr>
              <w:t>Net realized gain (loss) on investments on:</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260"/>
              <w:spacing w:after="0"/>
              <w:rPr>
                <w:sz w:val="20"/>
                <w:szCs w:val="20"/>
                <w:color w:val="auto"/>
              </w:rPr>
            </w:pPr>
            <w:r>
              <w:rPr>
                <w:rFonts w:ascii="Arial" w:cs="Arial" w:eastAsia="Arial" w:hAnsi="Arial"/>
                <w:sz w:val="22"/>
                <w:szCs w:val="22"/>
                <w:color w:val="auto"/>
              </w:rPr>
              <w:t>Non-controlled, non-affiliated investments</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w w:val="94"/>
              </w:rPr>
              <w:t>17,085,362</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w w:val="88"/>
              </w:rPr>
              <w:t>11,693,836</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w w:val="96"/>
              </w:rPr>
              <w:t>31,754,691</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2,746,747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760" w:type="dxa"/>
            <w:vAlign w:val="bottom"/>
          </w:tcPr>
          <w:p>
            <w:pPr>
              <w:ind w:left="260"/>
              <w:spacing w:after="0"/>
              <w:rPr>
                <w:sz w:val="20"/>
                <w:szCs w:val="20"/>
                <w:color w:val="auto"/>
              </w:rPr>
            </w:pPr>
            <w:r>
              <w:rPr>
                <w:rFonts w:ascii="Arial" w:cs="Arial" w:eastAsia="Arial" w:hAnsi="Arial"/>
                <w:sz w:val="22"/>
                <w:szCs w:val="22"/>
                <w:color w:val="auto"/>
              </w:rPr>
              <w:t>Non-controlled and controlled, affiliated investments</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342,086</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22"/>
                <w:szCs w:val="22"/>
                <w:color w:val="auto"/>
                <w:w w:val="89"/>
              </w:rPr>
              <w:t>(1,546,075 )</w:t>
            </w:r>
          </w:p>
        </w:tc>
        <w:tc>
          <w:tcPr>
            <w:tcW w:w="1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w w:val="96"/>
              </w:rPr>
              <w:t>11,199,690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w w:val="87"/>
              </w:rPr>
              <w:t>(33,537,057 )</w:t>
            </w:r>
          </w:p>
        </w:tc>
        <w:tc>
          <w:tcPr>
            <w:tcW w:w="0" w:type="dxa"/>
            <w:vAlign w:val="bottom"/>
          </w:tcPr>
          <w:p>
            <w:pPr>
              <w:spacing w:after="0"/>
              <w:rPr>
                <w:sz w:val="1"/>
                <w:szCs w:val="1"/>
                <w:color w:val="auto"/>
              </w:rPr>
            </w:pPr>
          </w:p>
        </w:tc>
      </w:tr>
      <w:tr>
        <w:trPr>
          <w:trHeight w:val="267"/>
        </w:trPr>
        <w:tc>
          <w:tcPr>
            <w:tcW w:w="5760" w:type="dxa"/>
            <w:vAlign w:val="bottom"/>
          </w:tcPr>
          <w:p>
            <w:pPr>
              <w:ind w:left="260"/>
              <w:spacing w:after="0"/>
              <w:rPr>
                <w:sz w:val="20"/>
                <w:szCs w:val="20"/>
                <w:color w:val="auto"/>
              </w:rPr>
            </w:pPr>
            <w:r>
              <w:rPr>
                <w:rFonts w:ascii="Arial" w:cs="Arial" w:eastAsia="Arial" w:hAnsi="Arial"/>
                <w:sz w:val="22"/>
                <w:szCs w:val="22"/>
                <w:b w:val="1"/>
                <w:bCs w:val="1"/>
                <w:color w:val="auto"/>
              </w:rPr>
              <w:t>Net realized gain (loss) on investments</w:t>
            </w:r>
          </w:p>
        </w:tc>
        <w:tc>
          <w:tcPr>
            <w:tcW w:w="14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4"/>
              </w:rPr>
              <w:t>17,427,448</w:t>
            </w:r>
          </w:p>
        </w:tc>
        <w:tc>
          <w:tcPr>
            <w:tcW w:w="180" w:type="dxa"/>
            <w:vAlign w:val="bottom"/>
          </w:tcPr>
          <w:p>
            <w:pPr>
              <w:spacing w:after="0"/>
              <w:rPr>
                <w:sz w:val="23"/>
                <w:szCs w:val="23"/>
                <w:color w:val="auto"/>
              </w:rPr>
            </w:pPr>
          </w:p>
        </w:tc>
        <w:tc>
          <w:tcPr>
            <w:tcW w:w="20" w:type="dxa"/>
            <w:vAlign w:val="bottom"/>
            <w:tcBorders>
              <w:top w:val="single" w:sz="8" w:color="auto"/>
              <w:bottom w:val="single" w:sz="8" w:color="auto"/>
            </w:tcBorders>
          </w:tcPr>
          <w:p>
            <w:pPr>
              <w:spacing w:after="0"/>
              <w:rPr>
                <w:sz w:val="23"/>
                <w:szCs w:val="23"/>
                <w:color w:val="auto"/>
              </w:rPr>
            </w:pPr>
          </w:p>
        </w:tc>
        <w:tc>
          <w:tcPr>
            <w:tcW w:w="12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8"/>
              </w:rPr>
              <w:t>10,147,761</w:t>
            </w:r>
          </w:p>
        </w:tc>
        <w:tc>
          <w:tcPr>
            <w:tcW w:w="200" w:type="dxa"/>
            <w:vAlign w:val="bottom"/>
          </w:tcPr>
          <w:p>
            <w:pPr>
              <w:spacing w:after="0"/>
              <w:rPr>
                <w:sz w:val="23"/>
                <w:szCs w:val="23"/>
                <w:color w:val="auto"/>
              </w:rPr>
            </w:pPr>
          </w:p>
        </w:tc>
        <w:tc>
          <w:tcPr>
            <w:tcW w:w="12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6"/>
              </w:rPr>
              <w:t>42,954,381</w:t>
            </w:r>
          </w:p>
        </w:tc>
        <w:tc>
          <w:tcPr>
            <w:tcW w:w="200" w:type="dxa"/>
            <w:vAlign w:val="bottom"/>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8"/>
              </w:rPr>
              <w:t>(30,790,310</w:t>
            </w:r>
          </w:p>
        </w:tc>
        <w:tc>
          <w:tcPr>
            <w:tcW w:w="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0" w:type="dxa"/>
            <w:vAlign w:val="bottom"/>
          </w:tcPr>
          <w:p>
            <w:pPr>
              <w:spacing w:after="0"/>
              <w:rPr>
                <w:sz w:val="1"/>
                <w:szCs w:val="1"/>
                <w:color w:val="auto"/>
              </w:rPr>
            </w:pPr>
          </w:p>
        </w:tc>
      </w:tr>
      <w:tr>
        <w:trPr>
          <w:trHeight w:val="256"/>
        </w:trPr>
        <w:tc>
          <w:tcPr>
            <w:tcW w:w="5760" w:type="dxa"/>
            <w:vAlign w:val="bottom"/>
          </w:tcPr>
          <w:p>
            <w:pPr>
              <w:spacing w:after="0"/>
              <w:rPr>
                <w:sz w:val="20"/>
                <w:szCs w:val="20"/>
                <w:color w:val="auto"/>
              </w:rPr>
            </w:pPr>
            <w:r>
              <w:rPr>
                <w:rFonts w:ascii="Arial" w:cs="Arial" w:eastAsia="Arial" w:hAnsi="Arial"/>
                <w:sz w:val="22"/>
                <w:szCs w:val="22"/>
                <w:color w:val="auto"/>
              </w:rPr>
              <w:t>Net change in unrealized (depreciation) appreciation on:</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260"/>
              <w:spacing w:after="0"/>
              <w:rPr>
                <w:sz w:val="20"/>
                <w:szCs w:val="20"/>
                <w:color w:val="auto"/>
              </w:rPr>
            </w:pPr>
            <w:r>
              <w:rPr>
                <w:rFonts w:ascii="Arial" w:cs="Arial" w:eastAsia="Arial" w:hAnsi="Arial"/>
                <w:sz w:val="22"/>
                <w:szCs w:val="22"/>
                <w:color w:val="auto"/>
              </w:rPr>
              <w:t>Non-controlled, non-affiliated investments</w:t>
            </w:r>
          </w:p>
        </w:tc>
        <w:tc>
          <w:tcPr>
            <w:tcW w:w="140" w:type="dxa"/>
            <w:vAlign w:val="bottom"/>
          </w:tcPr>
          <w:p>
            <w:pPr>
              <w:spacing w:after="0"/>
              <w:rPr>
                <w:sz w:val="23"/>
                <w:szCs w:val="23"/>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22"/>
                <w:szCs w:val="22"/>
                <w:color w:val="auto"/>
                <w:w w:val="91"/>
              </w:rPr>
              <w:t>(12,925,765)</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22"/>
                <w:szCs w:val="22"/>
                <w:color w:val="auto"/>
                <w:w w:val="94"/>
              </w:rPr>
              <w:t>(5,731,239)</w:t>
            </w:r>
          </w:p>
        </w:tc>
        <w:tc>
          <w:tcPr>
            <w:tcW w:w="120" w:type="dxa"/>
            <w:vAlign w:val="bottom"/>
          </w:tcPr>
          <w:p>
            <w:pPr>
              <w:spacing w:after="0"/>
              <w:rPr>
                <w:sz w:val="23"/>
                <w:szCs w:val="23"/>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22"/>
                <w:szCs w:val="22"/>
                <w:color w:val="auto"/>
                <w:w w:val="92"/>
              </w:rPr>
              <w:t>(15,407,098)</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7,625,092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260"/>
              <w:spacing w:after="0"/>
              <w:rPr>
                <w:sz w:val="20"/>
                <w:szCs w:val="20"/>
                <w:color w:val="auto"/>
              </w:rPr>
            </w:pPr>
            <w:r>
              <w:rPr>
                <w:rFonts w:ascii="Arial" w:cs="Arial" w:eastAsia="Arial" w:hAnsi="Arial"/>
                <w:sz w:val="22"/>
                <w:szCs w:val="22"/>
                <w:color w:val="auto"/>
              </w:rPr>
              <w:t>Non-controlled and controlled, affiliated investments</w:t>
            </w:r>
          </w:p>
        </w:tc>
        <w:tc>
          <w:tcPr>
            <w:tcW w:w="140" w:type="dxa"/>
            <w:vAlign w:val="bottom"/>
          </w:tcPr>
          <w:p>
            <w:pPr>
              <w:spacing w:after="0"/>
              <w:rPr>
                <w:sz w:val="23"/>
                <w:szCs w:val="23"/>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22"/>
                <w:szCs w:val="22"/>
                <w:color w:val="auto"/>
              </w:rPr>
              <w:t>(927,824)</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4,039,995</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22"/>
                <w:szCs w:val="22"/>
                <w:color w:val="auto"/>
                <w:w w:val="92"/>
              </w:rPr>
              <w:t>(34,752,509)</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w w:val="94"/>
              </w:rPr>
              <w:t>36,206,851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760" w:type="dxa"/>
            <w:vAlign w:val="bottom"/>
          </w:tcPr>
          <w:p>
            <w:pPr>
              <w:ind w:left="260"/>
              <w:spacing w:after="0"/>
              <w:rPr>
                <w:sz w:val="20"/>
                <w:szCs w:val="20"/>
                <w:color w:val="auto"/>
              </w:rPr>
            </w:pPr>
            <w:r>
              <w:rPr>
                <w:rFonts w:ascii="Arial" w:cs="Arial" w:eastAsia="Arial" w:hAnsi="Arial"/>
                <w:sz w:val="22"/>
                <w:szCs w:val="22"/>
                <w:color w:val="auto"/>
              </w:rPr>
              <w:t>Debt depreciation (appreciation)</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1,560,376</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22"/>
                <w:szCs w:val="22"/>
                <w:color w:val="auto"/>
                <w:w w:val="89"/>
              </w:rPr>
              <w:t>(2,137,862 )</w:t>
            </w:r>
          </w:p>
        </w:tc>
        <w:tc>
          <w:tcPr>
            <w:tcW w:w="1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3,086,378</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w w:val="96"/>
              </w:rPr>
              <w:t>(2,423,726 )</w:t>
            </w:r>
          </w:p>
        </w:tc>
        <w:tc>
          <w:tcPr>
            <w:tcW w:w="0" w:type="dxa"/>
            <w:vAlign w:val="bottom"/>
          </w:tcPr>
          <w:p>
            <w:pPr>
              <w:spacing w:after="0"/>
              <w:rPr>
                <w:sz w:val="1"/>
                <w:szCs w:val="1"/>
                <w:color w:val="auto"/>
              </w:rPr>
            </w:pPr>
          </w:p>
        </w:tc>
      </w:tr>
      <w:tr>
        <w:trPr>
          <w:trHeight w:val="213"/>
        </w:trPr>
        <w:tc>
          <w:tcPr>
            <w:tcW w:w="5760" w:type="dxa"/>
            <w:vAlign w:val="bottom"/>
          </w:tcPr>
          <w:p>
            <w:pPr>
              <w:ind w:left="260"/>
              <w:spacing w:after="0" w:line="212" w:lineRule="exact"/>
              <w:rPr>
                <w:sz w:val="20"/>
                <w:szCs w:val="20"/>
                <w:color w:val="auto"/>
              </w:rPr>
            </w:pPr>
            <w:r>
              <w:rPr>
                <w:rFonts w:ascii="Arial" w:cs="Arial" w:eastAsia="Arial" w:hAnsi="Arial"/>
                <w:sz w:val="22"/>
                <w:szCs w:val="22"/>
                <w:b w:val="1"/>
                <w:bCs w:val="1"/>
                <w:color w:val="auto"/>
                <w:w w:val="94"/>
              </w:rPr>
              <w:t>Net change in unrealized (depreciation) appreciation on</w:t>
            </w: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5760" w:type="dxa"/>
            <w:vAlign w:val="bottom"/>
          </w:tcPr>
          <w:p>
            <w:pPr>
              <w:ind w:left="260"/>
              <w:spacing w:after="0"/>
              <w:rPr>
                <w:sz w:val="20"/>
                <w:szCs w:val="20"/>
                <w:color w:val="auto"/>
              </w:rPr>
            </w:pPr>
            <w:r>
              <w:rPr>
                <w:rFonts w:ascii="Arial" w:cs="Arial" w:eastAsia="Arial" w:hAnsi="Arial"/>
                <w:sz w:val="22"/>
                <w:szCs w:val="22"/>
                <w:b w:val="1"/>
                <w:bCs w:val="1"/>
                <w:color w:val="auto"/>
              </w:rPr>
              <w:t>investments and debt</w:t>
            </w:r>
          </w:p>
        </w:tc>
        <w:tc>
          <w:tcPr>
            <w:tcW w:w="140" w:type="dxa"/>
            <w:vAlign w:val="bottom"/>
          </w:tcPr>
          <w:p>
            <w:pPr>
              <w:spacing w:after="0"/>
              <w:rPr>
                <w:sz w:val="24"/>
                <w:szCs w:val="2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22"/>
                <w:szCs w:val="22"/>
                <w:color w:val="auto"/>
                <w:w w:val="87"/>
              </w:rPr>
              <w:t>(12,293,213 )</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22"/>
                <w:szCs w:val="22"/>
                <w:color w:val="auto"/>
                <w:w w:val="89"/>
              </w:rPr>
              <w:t>(3,829,106 )</w:t>
            </w:r>
          </w:p>
        </w:tc>
        <w:tc>
          <w:tcPr>
            <w:tcW w:w="120" w:type="dxa"/>
            <w:vAlign w:val="bottom"/>
          </w:tcPr>
          <w:p>
            <w:pPr>
              <w:spacing w:after="0"/>
              <w:rPr>
                <w:sz w:val="24"/>
                <w:szCs w:val="24"/>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22"/>
                <w:szCs w:val="22"/>
                <w:color w:val="auto"/>
                <w:w w:val="88"/>
              </w:rPr>
              <w:t>(47,073,229 )</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w w:val="94"/>
              </w:rPr>
              <w:t>41,408,217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760" w:type="dxa"/>
            <w:vAlign w:val="bottom"/>
          </w:tcPr>
          <w:p>
            <w:pPr>
              <w:spacing w:after="0" w:line="212" w:lineRule="exact"/>
              <w:rPr>
                <w:sz w:val="20"/>
                <w:szCs w:val="20"/>
                <w:color w:val="auto"/>
              </w:rPr>
            </w:pPr>
            <w:r>
              <w:rPr>
                <w:rFonts w:ascii="Arial" w:cs="Arial" w:eastAsia="Arial" w:hAnsi="Arial"/>
                <w:sz w:val="22"/>
                <w:szCs w:val="22"/>
                <w:b w:val="1"/>
                <w:bCs w:val="1"/>
                <w:color w:val="auto"/>
                <w:w w:val="90"/>
              </w:rPr>
              <w:t>Net realized and unrealized gain (loss) from investments and</w:t>
            </w: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5760" w:type="dxa"/>
            <w:vAlign w:val="bottom"/>
          </w:tcPr>
          <w:p>
            <w:pPr>
              <w:spacing w:after="0"/>
              <w:rPr>
                <w:sz w:val="20"/>
                <w:szCs w:val="20"/>
                <w:color w:val="auto"/>
              </w:rPr>
            </w:pPr>
            <w:r>
              <w:rPr>
                <w:rFonts w:ascii="Arial" w:cs="Arial" w:eastAsia="Arial" w:hAnsi="Arial"/>
                <w:sz w:val="22"/>
                <w:szCs w:val="22"/>
                <w:b w:val="1"/>
                <w:bCs w:val="1"/>
                <w:color w:val="auto"/>
              </w:rPr>
              <w:t>debt</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5,134,235</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6,318,655</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22"/>
                <w:szCs w:val="22"/>
                <w:color w:val="auto"/>
                <w:w w:val="97"/>
              </w:rPr>
              <w:t>(4,118,848 )</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w w:val="94"/>
              </w:rPr>
              <w:t>10,617,907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760" w:type="dxa"/>
            <w:vAlign w:val="bottom"/>
          </w:tcPr>
          <w:p>
            <w:pPr>
              <w:spacing w:after="0"/>
              <w:rPr>
                <w:sz w:val="20"/>
                <w:szCs w:val="20"/>
                <w:color w:val="auto"/>
              </w:rPr>
            </w:pPr>
            <w:r>
              <w:rPr>
                <w:rFonts w:ascii="Arial" w:cs="Arial" w:eastAsia="Arial" w:hAnsi="Arial"/>
                <w:sz w:val="22"/>
                <w:szCs w:val="22"/>
                <w:b w:val="1"/>
                <w:bCs w:val="1"/>
                <w:color w:val="auto"/>
              </w:rPr>
              <w:t>Net increase in net assets resulting from operations</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22"/>
                <w:szCs w:val="22"/>
                <w:color w:val="auto"/>
                <w:w w:val="8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4"/>
              </w:rPr>
              <w:t>16,910,147</w:t>
            </w:r>
          </w:p>
        </w:tc>
        <w:tc>
          <w:tcPr>
            <w:tcW w:w="180" w:type="dxa"/>
            <w:vAlign w:val="bottom"/>
          </w:tcPr>
          <w:p>
            <w:pPr>
              <w:spacing w:after="0"/>
              <w:rPr>
                <w:sz w:val="23"/>
                <w:szCs w:val="23"/>
                <w:color w:val="auto"/>
              </w:rPr>
            </w:pPr>
          </w:p>
        </w:tc>
        <w:tc>
          <w:tcPr>
            <w:tcW w:w="20" w:type="dxa"/>
            <w:vAlign w:val="bottom"/>
            <w:tcBorders>
              <w:top w:val="single" w:sz="8" w:color="auto"/>
              <w:bottom w:val="single" w:sz="8" w:color="auto"/>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u w:val="single" w:color="auto"/>
                <w:color w:val="auto"/>
                <w:w w:val="8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8"/>
              </w:rPr>
              <w:t>18,779,065</w:t>
            </w:r>
          </w:p>
        </w:tc>
        <w:tc>
          <w:tcPr>
            <w:tcW w:w="200" w:type="dxa"/>
            <w:vAlign w:val="bottom"/>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6"/>
              </w:rPr>
              <w:t>35,240,554</w:t>
            </w:r>
          </w:p>
        </w:tc>
        <w:tc>
          <w:tcPr>
            <w:tcW w:w="200" w:type="dxa"/>
            <w:vAlign w:val="bottom"/>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4"/>
              </w:rPr>
              <w:t>54,287,861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line="242" w:lineRule="exact"/>
              <w:rPr>
                <w:sz w:val="20"/>
                <w:szCs w:val="20"/>
                <w:color w:val="auto"/>
              </w:rPr>
            </w:pPr>
            <w:r>
              <w:rPr>
                <w:rFonts w:ascii="Arial" w:cs="Arial" w:eastAsia="Arial" w:hAnsi="Arial"/>
                <w:sz w:val="22"/>
                <w:szCs w:val="22"/>
                <w:color w:val="auto"/>
                <w:w w:val="91"/>
              </w:rPr>
              <w:t>Net increase in net assets resulting from operations per common</w:t>
            </w: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5760" w:type="dxa"/>
            <w:vAlign w:val="bottom"/>
            <w:vMerge w:val="continue"/>
          </w:tcPr>
          <w:p>
            <w:pPr>
              <w:spacing w:after="0"/>
              <w:rPr>
                <w:sz w:val="17"/>
                <w:szCs w:val="17"/>
                <w:color w:val="auto"/>
              </w:rPr>
            </w:pPr>
          </w:p>
        </w:tc>
        <w:tc>
          <w:tcPr>
            <w:tcW w:w="140" w:type="dxa"/>
            <w:vAlign w:val="bottom"/>
            <w:vMerge w:val="restart"/>
          </w:tcPr>
          <w:p>
            <w:pPr>
              <w:ind w:left="20"/>
              <w:spacing w:after="0"/>
              <w:rPr>
                <w:sz w:val="20"/>
                <w:szCs w:val="20"/>
                <w:color w:val="auto"/>
              </w:rPr>
            </w:pPr>
            <w:r>
              <w:rPr>
                <w:rFonts w:ascii="Arial" w:cs="Arial" w:eastAsia="Arial" w:hAnsi="Arial"/>
                <w:sz w:val="22"/>
                <w:szCs w:val="22"/>
                <w:color w:val="auto"/>
                <w:w w:val="81"/>
              </w:rPr>
              <w:t>$</w:t>
            </w:r>
          </w:p>
        </w:tc>
        <w:tc>
          <w:tcPr>
            <w:tcW w:w="1080" w:type="dxa"/>
            <w:vAlign w:val="bottom"/>
            <w:vMerge w:val="restart"/>
          </w:tcPr>
          <w:p>
            <w:pPr>
              <w:jc w:val="right"/>
              <w:spacing w:after="0"/>
              <w:rPr>
                <w:sz w:val="20"/>
                <w:szCs w:val="20"/>
                <w:color w:val="auto"/>
              </w:rPr>
            </w:pPr>
            <w:r>
              <w:rPr>
                <w:rFonts w:ascii="Arial" w:cs="Arial" w:eastAsia="Arial" w:hAnsi="Arial"/>
                <w:sz w:val="22"/>
                <w:szCs w:val="22"/>
                <w:color w:val="auto"/>
              </w:rPr>
              <w:t>0.24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1000" w:type="dxa"/>
            <w:vAlign w:val="bottom"/>
            <w:vMerge w:val="restart"/>
          </w:tcPr>
          <w:p>
            <w:pPr>
              <w:jc w:val="right"/>
              <w:spacing w:after="0"/>
              <w:rPr>
                <w:sz w:val="20"/>
                <w:szCs w:val="20"/>
                <w:color w:val="auto"/>
              </w:rPr>
            </w:pPr>
            <w:r>
              <w:rPr>
                <w:rFonts w:ascii="Arial" w:cs="Arial" w:eastAsia="Arial" w:hAnsi="Arial"/>
                <w:sz w:val="22"/>
                <w:szCs w:val="22"/>
                <w:color w:val="auto"/>
              </w:rPr>
              <w:t>0.26</w:t>
            </w:r>
          </w:p>
        </w:tc>
        <w:tc>
          <w:tcPr>
            <w:tcW w:w="20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vMerge w:val="restart"/>
          </w:tcPr>
          <w:p>
            <w:pPr>
              <w:jc w:val="right"/>
              <w:spacing w:after="0"/>
              <w:rPr>
                <w:sz w:val="20"/>
                <w:szCs w:val="20"/>
                <w:color w:val="auto"/>
              </w:rPr>
            </w:pPr>
            <w:r>
              <w:rPr>
                <w:rFonts w:ascii="Arial" w:cs="Arial" w:eastAsia="Arial" w:hAnsi="Arial"/>
                <w:sz w:val="22"/>
                <w:szCs w:val="22"/>
                <w:color w:val="auto"/>
              </w:rPr>
              <w:t>0.50</w:t>
            </w:r>
          </w:p>
        </w:tc>
        <w:tc>
          <w:tcPr>
            <w:tcW w:w="20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vMerge w:val="restart"/>
          </w:tcPr>
          <w:p>
            <w:pPr>
              <w:jc w:val="right"/>
              <w:spacing w:after="0"/>
              <w:rPr>
                <w:sz w:val="20"/>
                <w:szCs w:val="20"/>
                <w:color w:val="auto"/>
              </w:rPr>
            </w:pPr>
            <w:r>
              <w:rPr>
                <w:rFonts w:ascii="Arial" w:cs="Arial" w:eastAsia="Arial" w:hAnsi="Arial"/>
                <w:sz w:val="22"/>
                <w:szCs w:val="22"/>
                <w:color w:val="auto"/>
              </w:rPr>
              <w:t>0.77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760" w:type="dxa"/>
            <w:vAlign w:val="bottom"/>
          </w:tcPr>
          <w:p>
            <w:pPr>
              <w:spacing w:after="0" w:line="251" w:lineRule="exact"/>
              <w:rPr>
                <w:sz w:val="20"/>
                <w:szCs w:val="20"/>
                <w:color w:val="auto"/>
              </w:rPr>
            </w:pPr>
            <w:r>
              <w:rPr>
                <w:rFonts w:ascii="Arial" w:cs="Arial" w:eastAsia="Arial" w:hAnsi="Arial"/>
                <w:sz w:val="22"/>
                <w:szCs w:val="22"/>
                <w:color w:val="auto"/>
              </w:rPr>
              <w:t>share</w:t>
            </w:r>
          </w:p>
        </w:tc>
        <w:tc>
          <w:tcPr>
            <w:tcW w:w="140" w:type="dxa"/>
            <w:vAlign w:val="bottom"/>
            <w:tcBorders>
              <w:bottom w:val="single" w:sz="8" w:color="auto"/>
            </w:tcBorders>
            <w:vMerge w:val="continue"/>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vMerge w:val="continue"/>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Borders>
              <w:bottom w:val="single" w:sz="8" w:color="auto"/>
            </w:tcBorders>
            <w:vMerge w:val="continue"/>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Borders>
              <w:bottom w:val="single" w:sz="8" w:color="auto"/>
            </w:tcBorders>
            <w:vMerge w:val="continue"/>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5760" w:type="dxa"/>
            <w:vAlign w:val="bottom"/>
          </w:tcPr>
          <w:p>
            <w:pPr>
              <w:spacing w:after="0"/>
              <w:rPr>
                <w:sz w:val="20"/>
                <w:szCs w:val="20"/>
                <w:color w:val="auto"/>
              </w:rPr>
            </w:pPr>
            <w:r>
              <w:rPr>
                <w:rFonts w:ascii="Arial" w:cs="Arial" w:eastAsia="Arial" w:hAnsi="Arial"/>
                <w:sz w:val="22"/>
                <w:szCs w:val="22"/>
                <w:color w:val="auto"/>
              </w:rPr>
              <w:t>Net investment income per common share</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w w:val="8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0.17</w:t>
            </w:r>
          </w:p>
        </w:tc>
        <w:tc>
          <w:tcPr>
            <w:tcW w:w="1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0.18</w:t>
            </w:r>
          </w:p>
        </w:tc>
        <w:tc>
          <w:tcPr>
            <w:tcW w:w="2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0.55</w:t>
            </w:r>
          </w:p>
        </w:tc>
        <w:tc>
          <w:tcPr>
            <w:tcW w:w="2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0.61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CORPORATION</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PennantPark Investment Corporation is a business development company which invests primarily in U.S. middle-market companies in the form of first lien secured debt, second lien secured debt, subordinated debt and equity investments. PennantPark Investment Corporation is managed by PennantPark Investment Advisers, LLC.</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(2)(B) of the Securities Exchange Act of 1934, as amended, or the Exchange Act, the “safe harbor” provisions of the Private</w:t>
      </w:r>
    </w:p>
    <w:p>
      <w:pPr>
        <w:sectPr>
          <w:pgSz w:w="11900" w:h="16877" w:orient="portrait"/>
          <w:cols w:equalWidth="0" w:num="1">
            <w:col w:w="11240"/>
          </w:cols>
          <w:pgMar w:left="320" w:top="111" w:right="339" w:bottom="0" w:gutter="0" w:footer="0" w:header="0"/>
        </w:sectPr>
      </w:pPr>
    </w:p>
    <w:bookmarkStart w:id="8" w:name="page9"/>
    <w:bookmarkEnd w:id="8"/>
    <w:p>
      <w:pPr>
        <w:jc w:val="both"/>
        <w:spacing w:after="0" w:line="234" w:lineRule="auto"/>
        <w:rPr>
          <w:sz w:val="20"/>
          <w:szCs w:val="20"/>
          <w:color w:val="auto"/>
        </w:rPr>
      </w:pPr>
      <w:r>
        <w:rPr>
          <w:rFonts w:ascii="Arial" w:cs="Arial" w:eastAsia="Arial" w:hAnsi="Arial"/>
          <w:sz w:val="22"/>
          <w:szCs w:val="22"/>
          <w:color w:val="auto"/>
        </w:rPr>
        <w:t>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The Company undertakes no duty to update any forward-looking statement made herein. You should not place undue influence on such forward-looking statements as such statements speak only as of the date on which they are made.</w:t>
      </w:r>
    </w:p>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Investment Corporation</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 xml:space="preserve">905-1000 </w:t>
      </w:r>
      <w:r>
        <w:rPr>
          <w:rFonts w:ascii="Arial" w:cs="Arial" w:eastAsia="Arial" w:hAnsi="Arial"/>
          <w:sz w:val="19"/>
          <w:szCs w:val="19"/>
          <w:u w:val="single" w:color="auto"/>
          <w:color w:val="auto"/>
        </w:rPr>
        <w:t>www.pennantpark.com</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decimal"/>
      <w:start w:val="323"/>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2020-05-05T15:07:30Z</dcterms:created>
  <dcterms:modified xsi:type="dcterms:W3CDTF">2020-05-05T15:07:30Z</dcterms:modified>
</cp:coreProperties>
</file>