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20"/>
        <w:spacing w:after="0" w:line="244" w:lineRule="auto"/>
        <w:rPr>
          <w:sz w:val="20"/>
          <w:szCs w:val="20"/>
          <w:color w:val="auto"/>
        </w:rPr>
      </w:pPr>
      <w:r>
        <w:rPr>
          <w:rFonts w:ascii="Arial" w:cs="Arial" w:eastAsia="Arial" w:hAnsi="Arial"/>
          <w:sz w:val="18"/>
          <w:szCs w:val="18"/>
          <w:b w:val="1"/>
          <w:bCs w:val="1"/>
          <w:color w:val="CC062A"/>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is not soliciting an offer to buy these securities in any jurisdiction where the offer or sale is not permitted.</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rPr>
          <w:sz w:val="20"/>
          <w:szCs w:val="20"/>
          <w:color w:val="auto"/>
        </w:rPr>
      </w:pPr>
      <w:r>
        <w:rPr>
          <w:rFonts w:ascii="Arial" w:cs="Arial" w:eastAsia="Arial" w:hAnsi="Arial"/>
          <w:sz w:val="18"/>
          <w:szCs w:val="18"/>
          <w:b w:val="1"/>
          <w:bCs w:val="1"/>
          <w:color w:val="CC062A"/>
        </w:rPr>
        <w:t>Subject to Completion, Dated March 1, 2010</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w:t>
      </w:r>
    </w:p>
    <w:p>
      <w:pPr>
        <w:spacing w:after="0"/>
        <w:rPr>
          <w:sz w:val="20"/>
          <w:szCs w:val="20"/>
          <w:color w:val="auto"/>
        </w:rPr>
      </w:pPr>
      <w:r>
        <w:rPr>
          <w:rFonts w:ascii="Arial" w:cs="Arial" w:eastAsia="Arial" w:hAnsi="Arial"/>
          <w:sz w:val="18"/>
          <w:szCs w:val="18"/>
          <w:b w:val="1"/>
          <w:bCs w:val="1"/>
          <w:color w:val="auto"/>
        </w:rPr>
        <w:t>February 24, 2010</w:t>
      </w:r>
    </w:p>
    <w:p>
      <w:pPr>
        <w:spacing w:after="0" w:line="64"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8" w:lineRule="exact"/>
        <w:rPr>
          <w:sz w:val="24"/>
          <w:szCs w:val="24"/>
          <w:color w:val="auto"/>
        </w:rPr>
      </w:pPr>
    </w:p>
    <w:p>
      <w:pPr>
        <w:ind w:right="100"/>
        <w:spacing w:after="0" w:line="236" w:lineRule="auto"/>
        <w:rPr>
          <w:sz w:val="20"/>
          <w:szCs w:val="20"/>
          <w:color w:val="auto"/>
        </w:rPr>
      </w:pPr>
      <w:r>
        <w:rPr>
          <w:rFonts w:ascii="Arial" w:cs="Arial" w:eastAsia="Arial" w:hAnsi="Arial"/>
          <w:sz w:val="18"/>
          <w:szCs w:val="18"/>
          <w:color w:val="auto"/>
        </w:rPr>
        <w:t>We are offering for sale 5,000,000 shares of our common stock. We are offering shares of our common stock at a discount from our most recently determined net asset value per share pursuant to authority granted by our stockholders on February 2, 2010. Sales of common stock at prices below net asset value per share dilute the interests of existing stockholders, have the effect of reducing our net asset value per share and may reduce our market price per share. See “</w:t>
      </w:r>
      <w:r>
        <w:rPr>
          <w:rFonts w:ascii="Arial" w:cs="Arial" w:eastAsia="Arial" w:hAnsi="Arial"/>
          <w:sz w:val="18"/>
          <w:szCs w:val="18"/>
          <w:u w:val="single" w:color="auto"/>
          <w:color w:val="0000EE"/>
        </w:rPr>
        <w:t>Risk Factors</w:t>
      </w:r>
      <w:r>
        <w:rPr>
          <w:rFonts w:ascii="Arial" w:cs="Arial" w:eastAsia="Arial" w:hAnsi="Arial"/>
          <w:sz w:val="18"/>
          <w:szCs w:val="18"/>
          <w:color w:val="auto"/>
        </w:rPr>
        <w:t xml:space="preserve"> ” on page 9 of the accompanying prospectus and “Sales of Common Stock Below Net Asset Value” on page 51 of the accompanying prospectus and page S-12 of this prospectus supplement.</w:t>
      </w:r>
    </w:p>
    <w:p>
      <w:pPr>
        <w:spacing w:after="0" w:line="103" w:lineRule="exact"/>
        <w:rPr>
          <w:sz w:val="24"/>
          <w:szCs w:val="24"/>
          <w:color w:val="auto"/>
        </w:rPr>
      </w:pPr>
    </w:p>
    <w:p>
      <w:pPr>
        <w:ind w:right="60"/>
        <w:spacing w:after="0" w:line="238"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February 26, 2010 was $10.20 per share. The net asset value of our common stock on December 31, 2009 (the last date prior to the date of this prospectus supplement on which we determined net asset value) was $11.86 per share.</w:t>
      </w:r>
    </w:p>
    <w:p>
      <w:pPr>
        <w:spacing w:after="0" w:line="100" w:lineRule="exact"/>
        <w:rPr>
          <w:sz w:val="24"/>
          <w:szCs w:val="24"/>
          <w:color w:val="auto"/>
        </w:rPr>
      </w:pPr>
    </w:p>
    <w:p>
      <w:pPr>
        <w:ind w:right="160"/>
        <w:spacing w:after="0" w:line="273"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75" w:lineRule="exact"/>
        <w:rPr>
          <w:sz w:val="24"/>
          <w:szCs w:val="24"/>
          <w:color w:val="auto"/>
        </w:rPr>
      </w:pPr>
    </w:p>
    <w:p>
      <w:pPr>
        <w:ind w:right="160"/>
        <w:spacing w:after="0" w:line="236" w:lineRule="auto"/>
        <w:rPr>
          <w:sz w:val="20"/>
          <w:szCs w:val="20"/>
          <w:color w:val="auto"/>
        </w:rPr>
      </w:pPr>
      <w:r>
        <w:rPr>
          <w:rFonts w:ascii="Arial" w:cs="Arial" w:eastAsia="Arial" w:hAnsi="Arial"/>
          <w:sz w:val="18"/>
          <w:szCs w:val="18"/>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79" w:lineRule="exact"/>
        <w:rPr>
          <w:sz w:val="24"/>
          <w:szCs w:val="24"/>
          <w:color w:val="auto"/>
        </w:rPr>
      </w:pPr>
    </w:p>
    <w:p>
      <w:pPr>
        <w:ind w:right="100"/>
        <w:spacing w:after="0" w:line="244"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9 of the accompanying prospectus and “Sales of Common Stock Below Net Asset Value” on page S-12 in this prospectus supplement and page 51 of the accompanying prospectus.</w:t>
      </w:r>
    </w:p>
    <w:p>
      <w:pPr>
        <w:spacing w:after="0" w:line="50" w:lineRule="exact"/>
        <w:rPr>
          <w:sz w:val="24"/>
          <w:szCs w:val="24"/>
          <w:color w:val="auto"/>
        </w:rPr>
      </w:pPr>
    </w:p>
    <w:p>
      <w:pPr>
        <w:ind w:right="14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8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Per Share</w:t>
            </w: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9"/>
        </w:trPr>
        <w:tc>
          <w:tcPr>
            <w:tcW w:w="8300" w:type="dxa"/>
            <w:vAlign w:val="bottom"/>
          </w:tcPr>
          <w:p>
            <w:pPr>
              <w:spacing w:after="0" w:line="200" w:lineRule="exact"/>
              <w:rPr>
                <w:sz w:val="20"/>
                <w:szCs w:val="20"/>
                <w:color w:val="auto"/>
              </w:rPr>
            </w:pPr>
            <w:r>
              <w:rPr>
                <w:rFonts w:ascii="Arial" w:cs="Arial" w:eastAsia="Arial" w:hAnsi="Arial"/>
                <w:sz w:val="18"/>
                <w:szCs w:val="18"/>
                <w:color w:val="auto"/>
              </w:rPr>
              <w:t>Public offering price</w:t>
            </w:r>
          </w:p>
        </w:tc>
        <w:tc>
          <w:tcPr>
            <w:tcW w:w="2020" w:type="dxa"/>
            <w:vAlign w:val="bottom"/>
          </w:tcPr>
          <w:p>
            <w:pPr>
              <w:ind w:left="1160"/>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717"/>
              <w:spacing w:after="0" w:line="200" w:lineRule="exact"/>
              <w:rPr>
                <w:sz w:val="20"/>
                <w:szCs w:val="20"/>
                <w:color w:val="auto"/>
              </w:rPr>
            </w:pPr>
            <w:r>
              <w:rPr>
                <w:rFonts w:ascii="Arial" w:cs="Arial" w:eastAsia="Arial" w:hAnsi="Arial"/>
                <w:sz w:val="18"/>
                <w:szCs w:val="18"/>
                <w:color w:val="auto"/>
              </w:rPr>
              <w:t>$</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Underwriting discount and commission (sales load)</w:t>
            </w:r>
          </w:p>
        </w:tc>
        <w:tc>
          <w:tcPr>
            <w:tcW w:w="2020" w:type="dxa"/>
            <w:vAlign w:val="bottom"/>
          </w:tcPr>
          <w:p>
            <w:pPr>
              <w:ind w:left="1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717"/>
              <w:spacing w:after="0" w:line="202" w:lineRule="exact"/>
              <w:rPr>
                <w:sz w:val="20"/>
                <w:szCs w:val="20"/>
                <w:color w:val="auto"/>
              </w:rPr>
            </w:pPr>
            <w:r>
              <w:rPr>
                <w:rFonts w:ascii="Arial" w:cs="Arial" w:eastAsia="Arial" w:hAnsi="Arial"/>
                <w:sz w:val="18"/>
                <w:szCs w:val="18"/>
                <w:color w:val="auto"/>
              </w:rPr>
              <w:t>$</w:t>
            </w:r>
          </w:p>
        </w:tc>
      </w:tr>
      <w:tr>
        <w:trPr>
          <w:trHeight w:val="199"/>
        </w:trPr>
        <w:tc>
          <w:tcPr>
            <w:tcW w:w="83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Proceeds to PennantPark Investment Corporation (before estimated expenses of $325,000)</w:t>
            </w:r>
          </w:p>
        </w:tc>
        <w:tc>
          <w:tcPr>
            <w:tcW w:w="2020" w:type="dxa"/>
            <w:vAlign w:val="bottom"/>
            <w:tcBorders>
              <w:bottom w:val="single" w:sz="8" w:color="auto"/>
            </w:tcBorders>
          </w:tcPr>
          <w:p>
            <w:pPr>
              <w:ind w:left="1160"/>
              <w:spacing w:after="0" w:line="20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7"/>
              <w:spacing w:after="0" w:line="200" w:lineRule="exact"/>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60"/>
        <w:spacing w:after="0" w:line="278" w:lineRule="auto"/>
        <w:rPr>
          <w:sz w:val="20"/>
          <w:szCs w:val="20"/>
          <w:color w:val="auto"/>
        </w:rPr>
      </w:pPr>
      <w:r>
        <w:rPr>
          <w:rFonts w:ascii="Arial" w:cs="Arial" w:eastAsia="Arial" w:hAnsi="Arial"/>
          <w:sz w:val="16"/>
          <w:szCs w:val="16"/>
          <w:b w:val="1"/>
          <w:bCs w:val="1"/>
          <w:color w:val="auto"/>
        </w:rPr>
        <w:t>The underwriters may also purchase up to an additional 750,000 shares from us at the public offering price, less the underwriting discount, within 30 days from the date of this prospectus supplement to cover overallotments. If the underwriters exercise this option in</w:t>
      </w:r>
    </w:p>
    <w:p>
      <w:pPr>
        <w:spacing w:after="0" w:line="1" w:lineRule="exact"/>
        <w:rPr>
          <w:sz w:val="24"/>
          <w:szCs w:val="24"/>
          <w:color w:val="auto"/>
        </w:rPr>
      </w:pPr>
    </w:p>
    <w:p>
      <w:pPr>
        <w:ind w:right="200"/>
        <w:spacing w:after="0" w:line="239" w:lineRule="auto"/>
        <w:rPr>
          <w:sz w:val="20"/>
          <w:szCs w:val="20"/>
          <w:color w:val="auto"/>
        </w:rPr>
      </w:pPr>
      <w:r>
        <w:rPr>
          <w:rFonts w:ascii="Arial" w:cs="Arial" w:eastAsia="Arial" w:hAnsi="Arial"/>
          <w:sz w:val="18"/>
          <w:szCs w:val="18"/>
          <w:b w:val="1"/>
          <w:bCs w:val="1"/>
          <w:color w:val="auto"/>
        </w:rPr>
        <w:t>full, the total public offering price will be $ , the total underwriting discount and commissions (sales load) paid by us will be $ , and total proceeds, before expenses, will be $ .</w:t>
      </w:r>
    </w:p>
    <w:p>
      <w:pPr>
        <w:sectPr>
          <w:pgSz w:w="11900" w:h="16838" w:orient="portrait"/>
          <w:cols w:equalWidth="0" w:num="1">
            <w:col w:w="11420"/>
          </w:cols>
          <w:pgMar w:left="240" w:top="230" w:right="239" w:bottom="632"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underwriters expect to deliver the shares on or about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2010.</w:t>
      </w:r>
    </w:p>
    <w:p>
      <w:pPr>
        <w:spacing w:after="0" w:line="181" w:lineRule="exact"/>
        <w:rPr>
          <w:sz w:val="24"/>
          <w:szCs w:val="24"/>
          <w:color w:val="auto"/>
        </w:rPr>
      </w:pPr>
    </w:p>
    <w:p>
      <w:pPr>
        <w:sectPr>
          <w:pgSz w:w="11900" w:h="16838" w:orient="portrait"/>
          <w:cols w:equalWidth="0" w:num="2">
            <w:col w:w="5120" w:space="720"/>
            <w:col w:w="5580"/>
          </w:cols>
          <w:pgMar w:left="240" w:top="230" w:right="239" w:bottom="632"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Joint-bookrunners</w:t>
      </w:r>
    </w:p>
    <w:p>
      <w:pPr>
        <w:sectPr>
          <w:pgSz w:w="11900" w:h="16838" w:orient="portrait"/>
          <w:cols w:equalWidth="0" w:num="1">
            <w:col w:w="11420"/>
          </w:cols>
          <w:pgMar w:left="240" w:top="230" w:right="239" w:bottom="632" w:gutter="0" w:footer="0" w:header="0"/>
          <w:type w:val="continuous"/>
        </w:sectPr>
      </w:pP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Baird</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Stifel Nicolaus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SunTrust Robinson Humphrey</w:t>
      </w:r>
    </w:p>
    <w:p>
      <w:pPr>
        <w:spacing w:after="0" w:line="200" w:lineRule="exact"/>
        <w:rPr>
          <w:sz w:val="24"/>
          <w:szCs w:val="24"/>
          <w:color w:val="auto"/>
        </w:rPr>
      </w:pPr>
    </w:p>
    <w:p>
      <w:pPr>
        <w:sectPr>
          <w:pgSz w:w="11900" w:h="16838" w:orient="portrait"/>
          <w:cols w:equalWidth="0" w:num="4">
            <w:col w:w="1580" w:space="720"/>
            <w:col w:w="3100" w:space="720"/>
            <w:col w:w="1380" w:space="720"/>
            <w:col w:w="3200"/>
          </w:cols>
          <w:pgMar w:left="240" w:top="230" w:right="239" w:bottom="632"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Co-managers</w:t>
      </w:r>
    </w:p>
    <w:p>
      <w:pPr>
        <w:sectPr>
          <w:pgSz w:w="11900" w:h="16838" w:orient="portrait"/>
          <w:cols w:equalWidth="0" w:num="1">
            <w:col w:w="11420"/>
          </w:cols>
          <w:pgMar w:left="240" w:top="230" w:right="239" w:bottom="632" w:gutter="0" w:footer="0" w:header="0"/>
          <w:type w:val="continuous"/>
        </w:sectPr>
      </w:pPr>
    </w:p>
    <w:p>
      <w:pPr>
        <w:spacing w:after="0" w:line="221"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BMO Capital Markets FBR Capital Markets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Keefe, Bruyette &amp; Woods</w:t>
      </w:r>
    </w:p>
    <w:p>
      <w:pPr>
        <w:spacing w:after="0" w:line="200" w:lineRule="exact"/>
        <w:rPr>
          <w:sz w:val="24"/>
          <w:szCs w:val="24"/>
          <w:color w:val="auto"/>
        </w:rPr>
      </w:pPr>
    </w:p>
    <w:p>
      <w:pPr>
        <w:sectPr>
          <w:pgSz w:w="11900" w:h="16838" w:orient="portrait"/>
          <w:cols w:equalWidth="0" w:num="3">
            <w:col w:w="5000" w:space="720"/>
            <w:col w:w="2880" w:space="720"/>
            <w:col w:w="2100"/>
          </w:cols>
          <w:pgMar w:left="240" w:top="230" w:right="239" w:bottom="632" w:gutter="0" w:footer="0" w:header="0"/>
          <w:type w:val="continuous"/>
        </w:sectPr>
      </w:pPr>
    </w:p>
    <w:p>
      <w:pPr>
        <w:spacing w:after="0" w:line="192"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The date of this prospectus supplement is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2010.</w:t>
      </w:r>
    </w:p>
    <w:p>
      <w:pPr>
        <w:sectPr>
          <w:pgSz w:w="11900" w:h="16838" w:orient="portrait"/>
          <w:cols w:equalWidth="0" w:num="2">
            <w:col w:w="6940" w:space="720"/>
            <w:col w:w="3760"/>
          </w:cols>
          <w:pgMar w:left="240" w:top="230" w:right="239" w:bottom="63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40" w:type="dxa"/>
            <w:vAlign w:val="bottom"/>
          </w:tcPr>
          <w:p>
            <w:pPr>
              <w:jc w:val="center"/>
              <w:ind w:right="3132"/>
              <w:spacing w:after="0"/>
              <w:rPr>
                <w:sz w:val="20"/>
                <w:szCs w:val="20"/>
                <w:color w:val="auto"/>
              </w:rPr>
            </w:pPr>
            <w:r>
              <w:rPr>
                <w:rFonts w:ascii="Arial" w:cs="Arial" w:eastAsia="Arial" w:hAnsi="Arial"/>
                <w:sz w:val="18"/>
                <w:szCs w:val="18"/>
                <w:b w:val="1"/>
                <w:bCs w:val="1"/>
                <w:color w:val="auto"/>
                <w:w w:val="96"/>
              </w:rPr>
              <w:t>TABLE OF CONTENTS</w:t>
            </w:r>
          </w:p>
        </w:tc>
        <w:tc>
          <w:tcPr>
            <w:tcW w:w="1520" w:type="dxa"/>
            <w:vAlign w:val="bottom"/>
          </w:tcPr>
          <w:p>
            <w:pPr>
              <w:spacing w:after="0"/>
              <w:rPr>
                <w:sz w:val="19"/>
                <w:szCs w:val="19"/>
                <w:color w:val="auto"/>
              </w:rPr>
            </w:pPr>
          </w:p>
        </w:tc>
      </w:tr>
      <w:tr>
        <w:trPr>
          <w:trHeight w:val="297"/>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2"/>
          </w:tcPr>
          <w:p>
            <w:pPr>
              <w:jc w:val="center"/>
              <w:ind w:right="1992"/>
              <w:spacing w:after="0"/>
              <w:rPr>
                <w:sz w:val="20"/>
                <w:szCs w:val="20"/>
                <w:color w:val="auto"/>
              </w:rPr>
            </w:pPr>
            <w:r>
              <w:rPr>
                <w:rFonts w:ascii="Arial" w:cs="Arial" w:eastAsia="Arial" w:hAnsi="Arial"/>
                <w:sz w:val="18"/>
                <w:szCs w:val="18"/>
                <w:b w:val="1"/>
                <w:bCs w:val="1"/>
                <w:color w:val="auto"/>
                <w:w w:val="95"/>
              </w:rPr>
              <w:t>PROSPECTUS SUPPLEMENT</w:t>
            </w:r>
          </w:p>
        </w:tc>
        <w:tc>
          <w:tcPr>
            <w:tcW w:w="1520" w:type="dxa"/>
            <w:vAlign w:val="bottom"/>
          </w:tcPr>
          <w:p>
            <w:pPr>
              <w:spacing w:after="0"/>
              <w:rPr>
                <w:sz w:val="24"/>
                <w:szCs w:val="24"/>
                <w:color w:val="auto"/>
              </w:rPr>
            </w:pPr>
          </w:p>
        </w:tc>
      </w:tr>
      <w:tr>
        <w:trPr>
          <w:trHeight w:val="259"/>
        </w:trPr>
        <w:tc>
          <w:tcPr>
            <w:tcW w:w="362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SUPPLEMENTAL PROSPECTUS SUMMARY</w:t>
              </w:r>
            </w:hyperlink>
          </w:p>
        </w:tc>
        <w:tc>
          <w:tcPr>
            <w:tcW w:w="6280" w:type="dxa"/>
            <w:vAlign w:val="bottom"/>
            <w:gridSpan w:val="2"/>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S-1</w:t>
            </w:r>
          </w:p>
        </w:tc>
      </w:tr>
      <w:tr>
        <w:trPr>
          <w:trHeight w:val="196"/>
        </w:trPr>
        <w:tc>
          <w:tcPr>
            <w:tcW w:w="9900" w:type="dxa"/>
            <w:vAlign w:val="bottom"/>
            <w:gridSpan w:val="11"/>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FEES AND EXPENSES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S-6</w:t>
            </w:r>
          </w:p>
        </w:tc>
      </w:tr>
      <w:tr>
        <w:trPr>
          <w:trHeight w:val="20"/>
        </w:trPr>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1"/>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FORWARD-LOOKING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S-8</w:t>
            </w:r>
          </w:p>
        </w:tc>
      </w:tr>
      <w:tr>
        <w:trPr>
          <w:trHeight w:val="196"/>
        </w:trPr>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3"/>
              </w:rPr>
            </w:pPr>
            <w:hyperlink w:anchor="page11">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3"/>
          </w:tcPr>
          <w:p>
            <w:pPr>
              <w:spacing w:after="0"/>
              <w:rPr>
                <w:sz w:val="17"/>
                <w:szCs w:val="17"/>
                <w:color w:val="auto"/>
              </w:rPr>
            </w:pPr>
          </w:p>
        </w:tc>
        <w:tc>
          <w:tcPr>
            <w:tcW w:w="68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S-9</w:t>
            </w: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CAPITALIZATION</w:t>
              </w:r>
            </w:hyperlink>
          </w:p>
        </w:tc>
        <w:tc>
          <w:tcPr>
            <w:tcW w:w="836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S-10</w:t>
            </w:r>
          </w:p>
        </w:tc>
      </w:tr>
      <w:tr>
        <w:trPr>
          <w:trHeight w:val="196"/>
        </w:trPr>
        <w:tc>
          <w:tcPr>
            <w:tcW w:w="30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PRICE RANGE OF COMMON STOCK</w:t>
              </w:r>
            </w:hyperlink>
          </w:p>
        </w:tc>
        <w:tc>
          <w:tcPr>
            <w:tcW w:w="682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S-11</w:t>
            </w:r>
          </w:p>
        </w:tc>
      </w:tr>
      <w:tr>
        <w:trPr>
          <w:trHeight w:val="196"/>
        </w:trPr>
        <w:tc>
          <w:tcPr>
            <w:tcW w:w="47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6"/>
              </w:rPr>
            </w:pPr>
            <w:hyperlink w:anchor="page14">
              <w:r>
                <w:rPr>
                  <w:rFonts w:ascii="Arial" w:cs="Arial" w:eastAsia="Arial" w:hAnsi="Arial"/>
                  <w:sz w:val="18"/>
                  <w:szCs w:val="18"/>
                  <w:b w:val="1"/>
                  <w:bCs w:val="1"/>
                  <w:color w:val="0000EE"/>
                  <w:w w:val="96"/>
                </w:rPr>
                <w:t>SALES OF COMMON STOCK BELOW NET ASSET VALUE</w:t>
              </w:r>
            </w:hyperlink>
          </w:p>
        </w:tc>
        <w:tc>
          <w:tcPr>
            <w:tcW w:w="51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S-12</w:t>
            </w:r>
          </w:p>
        </w:tc>
      </w:tr>
      <w:tr>
        <w:trPr>
          <w:trHeight w:val="196"/>
        </w:trPr>
        <w:tc>
          <w:tcPr>
            <w:tcW w:w="25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b w:val="1"/>
                <w:bCs w:val="1"/>
                <w:color w:val="0000EE"/>
                <w:w w:val="98"/>
              </w:rPr>
              <w:t>SELECTED FINANCIAL DATA</w:t>
            </w:r>
          </w:p>
        </w:tc>
        <w:tc>
          <w:tcPr>
            <w:tcW w:w="740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S-16</w:t>
            </w:r>
          </w:p>
        </w:tc>
      </w:tr>
      <w:tr>
        <w:trPr>
          <w:trHeight w:val="196"/>
        </w:trPr>
        <w:tc>
          <w:tcPr>
            <w:tcW w:w="9900" w:type="dxa"/>
            <w:vAlign w:val="bottom"/>
            <w:gridSpan w:val="1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UNDERWRITING</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S-19</w:t>
            </w:r>
          </w:p>
        </w:tc>
      </w:tr>
      <w:tr>
        <w:trPr>
          <w:trHeight w:val="222"/>
        </w:trPr>
        <w:tc>
          <w:tcPr>
            <w:tcW w:w="14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MANAGEMENT</w:t>
            </w:r>
          </w:p>
        </w:tc>
        <w:tc>
          <w:tcPr>
            <w:tcW w:w="8460" w:type="dxa"/>
            <w:vAlign w:val="bottom"/>
            <w:gridSpan w:val="10"/>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S-22</w:t>
            </w:r>
          </w:p>
        </w:tc>
      </w:tr>
      <w:tr>
        <w:trPr>
          <w:trHeight w:val="190"/>
        </w:trPr>
        <w:tc>
          <w:tcPr>
            <w:tcW w:w="9900" w:type="dxa"/>
            <w:vAlign w:val="bottom"/>
            <w:gridSpan w:val="11"/>
          </w:tcPr>
          <w:p>
            <w:pPr>
              <w:spacing w:after="0" w:line="190"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LEGAL MATTERS</w:t>
              </w:r>
            </w:hyperlink>
          </w:p>
        </w:tc>
        <w:tc>
          <w:tcPr>
            <w:tcW w:w="15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S-24</w:t>
            </w:r>
          </w:p>
        </w:tc>
      </w:tr>
      <w:tr>
        <w:trPr>
          <w:trHeight w:val="397"/>
        </w:trPr>
        <w:tc>
          <w:tcPr>
            <w:tcW w:w="1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tcPr>
          <w:p>
            <w:pPr>
              <w:jc w:val="center"/>
              <w:ind w:right="3132"/>
              <w:spacing w:after="0"/>
              <w:rPr>
                <w:sz w:val="20"/>
                <w:szCs w:val="20"/>
                <w:color w:val="auto"/>
              </w:rPr>
            </w:pPr>
            <w:r>
              <w:rPr>
                <w:rFonts w:ascii="Arial" w:cs="Arial" w:eastAsia="Arial" w:hAnsi="Arial"/>
                <w:sz w:val="18"/>
                <w:szCs w:val="18"/>
                <w:b w:val="1"/>
                <w:bCs w:val="1"/>
                <w:color w:val="auto"/>
                <w:w w:val="93"/>
              </w:rPr>
              <w:t>PROSPECTUS</w:t>
            </w:r>
          </w:p>
        </w:tc>
        <w:tc>
          <w:tcPr>
            <w:tcW w:w="1520" w:type="dxa"/>
            <w:vAlign w:val="bottom"/>
          </w:tcPr>
          <w:p>
            <w:pPr>
              <w:spacing w:after="0"/>
              <w:rPr>
                <w:sz w:val="24"/>
                <w:szCs w:val="24"/>
                <w:color w:val="auto"/>
              </w:rPr>
            </w:pPr>
          </w:p>
        </w:tc>
      </w:tr>
      <w:tr>
        <w:trPr>
          <w:trHeight w:val="399"/>
        </w:trPr>
        <w:tc>
          <w:tcPr>
            <w:tcW w:w="9900" w:type="dxa"/>
            <w:vAlign w:val="bottom"/>
            <w:gridSpan w:val="11"/>
          </w:tcPr>
          <w:p>
            <w:pPr>
              <w:spacing w:after="0"/>
              <w:rPr>
                <w:sz w:val="20"/>
                <w:szCs w:val="20"/>
                <w:color w:val="auto"/>
              </w:rPr>
            </w:pPr>
            <w:r>
              <w:rPr>
                <w:rFonts w:ascii="Arial" w:cs="Arial" w:eastAsia="Arial" w:hAnsi="Arial"/>
                <w:sz w:val="18"/>
                <w:szCs w:val="18"/>
                <w:color w:val="auto"/>
              </w:rPr>
              <w:t>PROSPECTUS SUMMARY</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FEES AND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RISK FACTORS</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FORWARD-LOOKING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SELECTED FINANCIAL DATA</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SENIOR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PRICE RANGE OF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SALES OF COMMON STOCK BELOW NET ASSET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DISTRIBUTIONS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BUSINESS</w:t>
            </w: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INVESTMENT OBJECTIVES AND POLICIES</w:t>
            </w: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PORTFOLIO COMPANIES</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MANAGEMENT</w:t>
            </w: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CONTROL PERSONS AND PRINCIPAL STOCKHOLDERS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CERTAIN RELATIONSHIPS AND TRANSACTIONS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DETERMINATION OF NET ASSET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DIVIDEND REINVESTMENT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DESCRIPTION OF OUR CAPITAL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DESCRIPTION OF OUR PREFERRED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DESCRIPTION OF OUR WARRANTS</w:t>
            </w:r>
          </w:p>
        </w:tc>
        <w:tc>
          <w:tcPr>
            <w:tcW w:w="1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DESCRIPTION OF OUR SUBSCRIPTION RIGHTS</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DESCRIPTION OF OUR DEBT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REGULATION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BROKERAGE ALLOCATIONS AND OTHER PRACTICES</w:t>
            </w: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MATERIAL U.S. FEDERAL INCOME TAX CONSIDERATIONS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PLAN OF DISTRIBUTION</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CUSTODIAN, TRANSFER AGENT AND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LEGAL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INDEPENDENT REGISTERED PUBLIC ACCOUNTING FIRM</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1"/>
          </w:tcPr>
          <w:p>
            <w:pPr>
              <w:spacing w:after="0"/>
              <w:rPr>
                <w:sz w:val="20"/>
                <w:szCs w:val="20"/>
                <w:color w:val="auto"/>
              </w:rPr>
            </w:pPr>
            <w:r>
              <w:rPr>
                <w:rFonts w:ascii="Arial" w:cs="Arial" w:eastAsia="Arial" w:hAnsi="Arial"/>
                <w:sz w:val="18"/>
                <w:szCs w:val="18"/>
                <w:color w:val="auto"/>
              </w:rPr>
              <w:t>PRIVACY PRINCIPLES</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2"/>
        </w:trPr>
        <w:tc>
          <w:tcPr>
            <w:tcW w:w="9900" w:type="dxa"/>
            <w:vAlign w:val="bottom"/>
            <w:gridSpan w:val="11"/>
          </w:tcPr>
          <w:p>
            <w:pPr>
              <w:spacing w:after="0"/>
              <w:rPr>
                <w:sz w:val="20"/>
                <w:szCs w:val="20"/>
                <w:color w:val="auto"/>
              </w:rPr>
            </w:pPr>
            <w:r>
              <w:rPr>
                <w:rFonts w:ascii="Arial" w:cs="Arial" w:eastAsia="Arial" w:hAnsi="Arial"/>
                <w:sz w:val="18"/>
                <w:szCs w:val="18"/>
                <w:color w:val="auto"/>
              </w:rPr>
              <w:t>INDEX TO 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You should read carefully the more detailed information set forth under “Risk Factors” and the other information included in the accompanying prospectus before making an investment decision.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supplement and the accompanying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Sal Giannetti, Whit Williams and Jose Briones, have in aggregate approximately 55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306"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 in the accompanying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446"/>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446"/>
        <w:spacing w:after="0" w:line="29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446"/>
        <w:spacing w:after="0" w:line="30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 See note 10 to our financial statements for the quarter ended December 31, 2009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Code as a RIC. For more information, see “Material U.S. Federal Income Tax Considerations”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or for other general corporate purposes. See “Use of Proceeds” in this prospectus supplement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February 24, 2010,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believed that such issuance was in our best interest and in the best interests of our stockholders.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and “Sales of Common Stock Below Net Asset Value” in the accompanying prospectus, and “Sales of Common Stock Below Net Asset Value” in this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5.00%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0.64%</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780" w:type="dxa"/>
            <w:vAlign w:val="bottom"/>
            <w:gridSpan w:val="2"/>
            <w:vMerge w:val="continue"/>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3.51%</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2.21%</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1.34%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righ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$325,000 and based on the 5,000,000 shares offered in this offering at the last reported closing price of $10.20 per share of our common stock on February 26, 2010.</w:t>
      </w: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December 31, 2009 plus the anticipated net proceeds from this offering.</w:t>
      </w:r>
    </w:p>
    <w:p>
      <w:pPr>
        <w:ind w:left="460" w:right="6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2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“Certain Relationships and Transactions—Investment Management Agreement” in the accompanying prospectus.</w:t>
      </w:r>
    </w:p>
    <w:p>
      <w:pPr>
        <w:spacing w:after="0" w:line="6"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2009, we had $54.3 million unused, subject to maintenance of the applicable total assets to debt ratio of 200%, and $245.7 million in borrowings outstanding under our $300.0 million credit facility. We may use the proceeds of this offering to repay outstanding obligations under our credit facility. After completing the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2" w:lineRule="exact"/>
        <w:rPr>
          <w:sz w:val="20"/>
          <w:szCs w:val="20"/>
          <w:color w:val="auto"/>
        </w:rPr>
      </w:pPr>
    </w:p>
    <w:p>
      <w:pPr>
        <w:ind w:left="460" w:right="420" w:hanging="452"/>
        <w:spacing w:after="0" w:line="29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annualized for a full year. See our “Statement of Operations” in our financial statements in the accompanying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 sales load (underwriting discounts and commissions) and offering expenses totaling 0.64%, (2) total net annual expenses of</w:t>
      </w:r>
    </w:p>
    <w:p>
      <w:pPr>
        <w:ind w:right="60"/>
        <w:spacing w:after="0" w:line="261" w:lineRule="auto"/>
        <w:rPr>
          <w:sz w:val="20"/>
          <w:szCs w:val="20"/>
          <w:color w:val="auto"/>
        </w:rPr>
      </w:pPr>
      <w:r>
        <w:rPr>
          <w:rFonts w:ascii="Arial" w:cs="Arial" w:eastAsia="Arial" w:hAnsi="Arial"/>
          <w:sz w:val="18"/>
          <w:szCs w:val="18"/>
          <w:color w:val="auto"/>
        </w:rPr>
        <w:t>5.85% of average net assets attributable to common shares for the three months ended December 31, 2009 as set forth in the table above (other than performance-based incentive fees under the Investment Management Agreement) and (3) a 5% annual return: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8"/>
                <w:szCs w:val="18"/>
                <w:color w:val="auto"/>
              </w:rPr>
              <w:t>Total expenses incurred</w:t>
            </w:r>
          </w:p>
        </w:tc>
        <w:tc>
          <w:tcPr>
            <w:tcW w:w="3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6"/>
              </w:rPr>
              <w:t>10 Years</w:t>
            </w:r>
          </w:p>
        </w:tc>
        <w:tc>
          <w:tcPr>
            <w:tcW w:w="0" w:type="dxa"/>
            <w:vAlign w:val="bottom"/>
          </w:tcPr>
          <w:p>
            <w:pPr>
              <w:spacing w:after="0"/>
              <w:rPr>
                <w:sz w:val="1"/>
                <w:szCs w:val="1"/>
                <w:color w:val="auto"/>
              </w:rPr>
            </w:pPr>
          </w:p>
        </w:tc>
      </w:tr>
      <w:tr>
        <w:trPr>
          <w:trHeight w:val="216"/>
        </w:trPr>
        <w:tc>
          <w:tcPr>
            <w:tcW w:w="502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$ 111</w:t>
            </w:r>
          </w:p>
        </w:tc>
        <w:tc>
          <w:tcPr>
            <w:tcW w:w="44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$ 220</w:t>
            </w:r>
          </w:p>
        </w:tc>
        <w:tc>
          <w:tcPr>
            <w:tcW w:w="44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$ 327</w:t>
            </w:r>
          </w:p>
        </w:tc>
        <w:tc>
          <w:tcPr>
            <w:tcW w:w="44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  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Interim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estimate that net proceeds we will receive from the sale of 5,000,000 shares of our common stock in this offering will be approximately $48.1 million (or approximately $55.4 million if the underwriters fully exercise their overallotment option), in each case based on a public offering price of $10.20 per share, which was the last reported closing price of our common stock on February 26, 2010, after deducting the underwriting discounts and commissions of $2.6 million (or approximately $2.9 million if the underwriters fully exercise their overallotment option) payable by us and estimated offering expenses of approximately $325,000 payable by us. The amount of net 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2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of December 31, 2009, we had $54.3 million unused, subject to maintenance of the applicable total assets to debt ratio of 200%, and $245.7 million in borrowings outstanding under our $300.0 million credit facility. Borrowings under our credit facility bear interest at an annual rate equal to LIBOR + 100 basis points per annum. At December 31, 2009, the weighted average interest rate at that time was 1.23%.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in the accompanying prospectus, for additional information about temporary investments we may make prior to investing in core assets.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our cash and capitalization on December 31, 2009 (1) on an actual basis and (2) as adjusted to reflect the effects of the sale of 5,000,0000 shares of our common stock in this offering at an offering price of $10.20 per share, which was the last reported closing price of our common stock on February 26, 2010, ($9.63 per share net). The as 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financial statements and notes thereto, in conjunction with “Management’s Discussion and Analysis of Financial Condition and Results of Operations” included in the accompanying prospectus.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 2009</w:t>
            </w: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16"/>
              <w:spacing w:after="0" w:line="115" w:lineRule="exact"/>
              <w:rPr>
                <w:sz w:val="20"/>
                <w:szCs w:val="20"/>
                <w:color w:val="auto"/>
              </w:rPr>
            </w:pPr>
            <w:r>
              <w:rPr>
                <w:rFonts w:ascii="Arial" w:cs="Arial" w:eastAsia="Arial" w:hAnsi="Arial"/>
                <w:sz w:val="12"/>
                <w:szCs w:val="12"/>
                <w:b w:val="1"/>
                <w:bCs w:val="1"/>
                <w:color w:val="auto"/>
                <w:w w:val="98"/>
              </w:rPr>
              <w:t>As adjusted for</w:t>
            </w: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
              <w:spacing w:after="0" w:line="176" w:lineRule="exact"/>
              <w:rPr>
                <w:sz w:val="20"/>
                <w:szCs w:val="20"/>
                <w:color w:val="auto"/>
              </w:rPr>
            </w:pPr>
            <w:r>
              <w:rPr>
                <w:rFonts w:ascii="Arial" w:cs="Arial" w:eastAsia="Arial" w:hAnsi="Arial"/>
                <w:sz w:val="13"/>
                <w:szCs w:val="13"/>
                <w:b w:val="1"/>
                <w:bCs w:val="1"/>
                <w:color w:val="auto"/>
                <w:w w:val="93"/>
              </w:rPr>
              <w:t>the offering</w:t>
            </w:r>
            <w:r>
              <w:rPr>
                <w:rFonts w:ascii="Arial" w:cs="Arial" w:eastAsia="Arial" w:hAnsi="Arial"/>
                <w:sz w:val="20"/>
                <w:szCs w:val="20"/>
                <w:b w:val="1"/>
                <w:bCs w:val="1"/>
                <w:color w:val="auto"/>
                <w:w w:val="93"/>
                <w:vertAlign w:val="superscript"/>
              </w:rPr>
              <w:t>(1)</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55,176,165</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526,897,794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575,022,794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 $245,700,000)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201,914,294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201,914,294</w:t>
            </w:r>
          </w:p>
        </w:tc>
      </w:tr>
      <w:tr>
        <w:trPr>
          <w:trHeight w:val="28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par value $0.001 per share; 100,000,000 shares authorized, 25,808,772 shares issued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30,808,772 shares issued and outstanding, as adjusted, respectively</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330,405,864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378,525,864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2,675,930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(67,098,312)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(67,098,312)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(3,646,675)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(3,646,675)</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43,785,706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43,785,706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306,148,322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354,273,322</w:t>
            </w: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508,062,616</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556,187,616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26, 2010, the last reported closing price of our common stock was $10.20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High</w:t>
            </w: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Low</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Closing Sales Price</w:t>
            </w: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Sales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9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9"/>
              </w:rPr>
              <w:t>Price to</w:t>
            </w:r>
          </w:p>
        </w:tc>
        <w:tc>
          <w:tcPr>
            <w:tcW w:w="7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49"/>
        </w:trPr>
        <w:tc>
          <w:tcPr>
            <w:tcW w:w="6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(2)</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(2)</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Second quarter (through February 26, 2010)</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rPr>
              <w:t>$ N/A</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$10.56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$ 8.88</w:t>
            </w:r>
          </w:p>
        </w:tc>
        <w:tc>
          <w:tcPr>
            <w:tcW w:w="32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7.65</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7.81</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8.50</w:t>
            </w: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3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15.03</w:t>
            </w: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offering of common stock being made pursuant to this prospectus supplement and the accompanying prospectus is at a price below our most recently reported NAV on December 31, 2009 of $11.86 per share. 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a premium to NAV per share.</w:t>
      </w:r>
    </w:p>
    <w:p>
      <w:pPr>
        <w:spacing w:after="0" w:line="113"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December 31, 2009. NAV has not been finally determined for any day after December 31, 2009. The following example assumes a sale of 5,000,000 shares at $10.20 per share, which was the last reported closing price of our common stock on February 26, 2010, with a 5% underwriting discount and $325,000 of expenses ($9.63 per share net).</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6"/>
              </w:rPr>
              <w:t>Prior to Sale</w:t>
            </w:r>
          </w:p>
        </w:tc>
        <w:tc>
          <w:tcPr>
            <w:tcW w:w="100" w:type="dxa"/>
            <w:vAlign w:val="bottom"/>
          </w:tcPr>
          <w:p>
            <w:pPr>
              <w:spacing w:after="0"/>
              <w:rPr>
                <w:sz w:val="13"/>
                <w:szCs w:val="13"/>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4"/>
              </w:rPr>
              <w:t>Following</w:t>
            </w: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5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7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25,808,772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30,808,772</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19.37 %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 participating Stockholder 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25,809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25,809</w:t>
            </w:r>
          </w:p>
        </w:tc>
        <w:tc>
          <w:tcPr>
            <w:tcW w:w="7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306,095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296,804</w:t>
            </w: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Total investment by stockholder (assumed to be $11.86 per share)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306,095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306,095</w:t>
            </w:r>
          </w:p>
        </w:tc>
        <w:tc>
          <w:tcPr>
            <w:tcW w:w="7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dilution to stockholder (total NAV less total investment)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(9,291)</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76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11.86</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Dilution per share held by stockholder (NAV per share less investment per share)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chart illustrates the level of dilution and accretion in the offering for a stockholder that acquires shares equal to (1) 50% of its proportionate share of the offering (i.e., 2,500 shares, which is 0.05% of the offering rather than its 0.10% proportionate share) and (2) 150% of such percentage (i.e., 7,500 shares, which is 0.15% of the offering rather than its 0.10% proportionate share). The table below is shown based upon financial information as of December 31, 2009. NAV has not been finally determined for any day after December 31, 2009. The following example assumes a sale of 5,000,000 shares at $10.20 per share, which was the last reported closing price of our common stock on February 26, 2010, with a 5% underwriting discount and commissions and $325,000 of expenses ($9.63 per share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4"/>
              </w:rPr>
              <w:t>Prior to Sale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50% Participation</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4"/>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4"/>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Below NAV</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18"/>
                <w:szCs w:val="18"/>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25,808,772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30,808,772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19.37%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30,808,772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NAV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4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6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6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28,309</w:t>
            </w:r>
          </w:p>
        </w:tc>
        <w:tc>
          <w:tcPr>
            <w:tcW w:w="6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33,309</w:t>
            </w:r>
          </w:p>
        </w:tc>
        <w:tc>
          <w:tcPr>
            <w:tcW w:w="6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325,554</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383,054</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Total investment by stockholder (assumed to be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w w:val="99"/>
              </w:rPr>
              <w:t>$11.86 per share on shares held prior to sale)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306,095</w:t>
            </w:r>
          </w:p>
        </w:tc>
        <w:tc>
          <w:tcPr>
            <w:tcW w:w="4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331,595</w:t>
            </w:r>
          </w:p>
        </w:tc>
        <w:tc>
          <w:tcPr>
            <w:tcW w:w="6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382,595</w:t>
            </w:r>
          </w:p>
        </w:tc>
        <w:tc>
          <w:tcPr>
            <w:tcW w:w="6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(total NAV</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less total investment)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(6,041)</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7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stockholder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4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w w:val="92"/>
              </w:rPr>
              <w:t>Investment per share held by stockholder (assumed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w w:val="99"/>
              </w:rPr>
              <w:t>to be $11.86 per share on shares held prior to</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sale)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4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11.71</w:t>
            </w:r>
          </w:p>
        </w:tc>
        <w:tc>
          <w:tcPr>
            <w:tcW w:w="6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11.49</w:t>
            </w:r>
          </w:p>
        </w:tc>
        <w:tc>
          <w:tcPr>
            <w:tcW w:w="6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(Dilution)/accretion per share held by stockholder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(NAV per share less investment per share)</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(0.21)</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S-14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220" w:firstLine="456"/>
        <w:spacing w:after="0" w:line="312" w:lineRule="auto"/>
        <w:rPr>
          <w:sz w:val="20"/>
          <w:szCs w:val="20"/>
          <w:color w:val="auto"/>
        </w:rPr>
      </w:pPr>
      <w:r>
        <w:rPr>
          <w:rFonts w:ascii="Arial" w:cs="Arial" w:eastAsia="Arial" w:hAnsi="Arial"/>
          <w:sz w:val="15"/>
          <w:szCs w:val="15"/>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It is not possible to predict the level of market price decline that may occur. The table below is shown based upon financial information as of December 31, 2009. NAV has not been finally determined for any day after December 31, 2009. The following example assumes a sale of 5,000,000 shares at $10.20 per share, which was the last reported closing price of our common shares on February 26, 2010, with a 5% underwriting discount and commissions and $325,000 of expenses ($9.63 per share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Prior to Sale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Below NAV</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10.20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25,808,772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30,808,772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NAV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11.50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5,000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57,500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Total investment by stockholder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51,000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accretion to stockholder (total NAV less total investment)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6,500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11.50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Investment per share held by stockholder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10.20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Accretion per share held by stockholder (NAV per share less investment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12.75%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20" w:type="dxa"/>
            <w:vAlign w:val="bottom"/>
          </w:tcPr>
          <w:p>
            <w:pPr>
              <w:ind w:left="5520"/>
              <w:spacing w:after="0"/>
              <w:rPr>
                <w:sz w:val="20"/>
                <w:szCs w:val="20"/>
                <w:color w:val="auto"/>
              </w:rPr>
            </w:pPr>
            <w:r>
              <w:rPr>
                <w:rFonts w:ascii="Arial" w:cs="Arial" w:eastAsia="Arial" w:hAnsi="Arial"/>
                <w:sz w:val="18"/>
                <w:szCs w:val="18"/>
                <w:color w:val="auto"/>
              </w:rPr>
              <w:t>S-15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three months ended December 31, 2009 are not necessarily indicative of the results that may be expected for the year ending September 30, 2010. This selected financial data for the three months ended December 31, 2009 should be read in conjunction with our financial statements and related notes thereto and “Management’s Discussion and Analysis of Financial Condition and Results of Operations” in the accompanying prospectus.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8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60" w:type="dxa"/>
            <w:vAlign w:val="bottom"/>
          </w:tcPr>
          <w:p>
            <w:pPr>
              <w:spacing w:after="0"/>
              <w:rPr>
                <w:sz w:val="14"/>
                <w:szCs w:val="14"/>
                <w:color w:val="auto"/>
              </w:rPr>
            </w:pPr>
          </w:p>
        </w:tc>
        <w:tc>
          <w:tcPr>
            <w:tcW w:w="17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5"/>
              </w:rPr>
              <w:t>December 31, 2009</w:t>
            </w:r>
          </w:p>
        </w:tc>
        <w:tc>
          <w:tcPr>
            <w:tcW w:w="17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September 30, 2009</w:t>
            </w: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September 30, 2008</w:t>
            </w: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Unaudited</w:t>
            </w:r>
          </w:p>
        </w:tc>
        <w:tc>
          <w:tcPr>
            <w:tcW w:w="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8"/>
              </w:rPr>
              <w:t>Audited</w:t>
            </w: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8"/>
              </w:rPr>
              <w:t>Audited</w:t>
            </w:r>
          </w:p>
        </w:tc>
        <w:tc>
          <w:tcPr>
            <w:tcW w:w="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13,599</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45,119</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6,361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22,400</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6,361</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22,400</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7,238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22,719</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13,083</w:t>
            </w:r>
          </w:p>
        </w:tc>
        <w:tc>
          <w:tcPr>
            <w:tcW w:w="18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increase/(decrease) in net assets resulting from</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8,676</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35,802</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w w:val="99"/>
              </w:rPr>
              <w:t>Net increase/(decrease) in net assets resulting 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9"/>
                <w:szCs w:val="19"/>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(0.96)</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526,898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512,381</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513,141</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469,760</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25,821</w:t>
            </w:r>
          </w:p>
        </w:tc>
        <w:tc>
          <w:tcPr>
            <w:tcW w:w="18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306,148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300,580</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63"/>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S-16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w:t>
      </w: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Q2</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6"/>
              </w:rPr>
              <w:t>$11,847</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$10,425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6,018</w:t>
            </w:r>
          </w:p>
        </w:tc>
        <w:tc>
          <w:tcPr>
            <w:tcW w:w="2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$20,162</w:t>
            </w:r>
          </w:p>
        </w:tc>
        <w:tc>
          <w:tcPr>
            <w:tcW w:w="2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(6,486)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$36,932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(37,525)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$26,180</w:t>
            </w:r>
          </w:p>
        </w:tc>
        <w:tc>
          <w:tcPr>
            <w:tcW w:w="2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$42,199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(31,757)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11.85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4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Q3</w:t>
            </w:r>
          </w:p>
        </w:tc>
        <w:tc>
          <w:tcPr>
            <w:tcW w:w="1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$ 11,431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9,662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5,434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3,941</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4,449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3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(16,475)</w:t>
            </w:r>
          </w:p>
        </w:tc>
        <w:tc>
          <w:tcPr>
            <w:tcW w:w="2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$11,263</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(37,778)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20" w:type="dxa"/>
            <w:vAlign w:val="bottom"/>
            <w:gridSpan w:val="5"/>
          </w:tcPr>
          <w:p>
            <w:pPr>
              <w:jc w:val="right"/>
              <w:ind w:right="100"/>
              <w:spacing w:after="0"/>
              <w:rPr>
                <w:sz w:val="20"/>
                <w:szCs w:val="20"/>
                <w:color w:val="auto"/>
              </w:rPr>
            </w:pPr>
            <w:r>
              <w:rPr>
                <w:rFonts w:ascii="Arial" w:cs="Arial" w:eastAsia="Arial" w:hAnsi="Arial"/>
                <w:sz w:val="18"/>
                <w:szCs w:val="18"/>
                <w:color w:val="auto"/>
              </w:rPr>
              <w:t>$ (11,041)</w:t>
            </w:r>
          </w:p>
        </w:tc>
        <w:tc>
          <w:tcPr>
            <w:tcW w:w="28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$15,204</w:t>
            </w:r>
          </w:p>
        </w:tc>
        <w:tc>
          <w:tcPr>
            <w:tcW w:w="8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 (33,329)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(0.53)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10.77</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10.26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3"/>
        </w:trPr>
        <w:tc>
          <w:tcPr>
            <w:tcW w:w="4960" w:type="dxa"/>
            <w:vAlign w:val="bottom"/>
          </w:tcPr>
          <w:p>
            <w:pPr>
              <w:spacing w:after="0"/>
              <w:rPr>
                <w:sz w:val="24"/>
                <w:szCs w:val="24"/>
                <w:color w:val="auto"/>
              </w:rPr>
            </w:pPr>
          </w:p>
        </w:tc>
        <w:tc>
          <w:tcPr>
            <w:tcW w:w="2840" w:type="dxa"/>
            <w:vAlign w:val="bottom"/>
            <w:gridSpan w:val="2"/>
          </w:tcPr>
          <w:p>
            <w:pPr>
              <w:jc w:val="right"/>
              <w:ind w:right="1920"/>
              <w:spacing w:after="0"/>
              <w:rPr>
                <w:sz w:val="20"/>
                <w:szCs w:val="20"/>
                <w:color w:val="auto"/>
              </w:rPr>
            </w:pPr>
            <w:r>
              <w:rPr>
                <w:rFonts w:ascii="Arial" w:cs="Arial" w:eastAsia="Arial" w:hAnsi="Arial"/>
                <w:sz w:val="18"/>
                <w:szCs w:val="18"/>
                <w:color w:val="auto"/>
              </w:rPr>
              <w:t>S-17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5,425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(14,522)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(0.01)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12.08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J.P. Morgan Securities Inc., Robert W. Baird &amp; Co. Incorporated, Stifel, Nicolaus &amp; Company, Incorporated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176" w:lineRule="exact"/>
        <w:rPr>
          <w:sz w:val="20"/>
          <w:szCs w:val="20"/>
          <w:color w:val="auto"/>
        </w:rPr>
      </w:pPr>
    </w:p>
    <w:p>
      <w:pPr>
        <w:ind w:left="920"/>
        <w:spacing w:after="0"/>
        <w:rPr>
          <w:sz w:val="20"/>
          <w:szCs w:val="20"/>
          <w:color w:val="auto"/>
        </w:rPr>
      </w:pPr>
      <w:r>
        <w:rPr>
          <w:rFonts w:ascii="Arial" w:cs="Arial" w:eastAsia="Arial" w:hAnsi="Arial"/>
          <w:sz w:val="12"/>
          <w:szCs w:val="12"/>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-7620</wp:posOffset>
            </wp:positionV>
            <wp:extent cx="617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980" w:space="720"/>
            <w:col w:w="17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FBR Capital Markets &amp; 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Janney Montgomery Scott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0"/>
        </w:trPr>
        <w:tc>
          <w:tcPr>
            <w:tcW w:w="8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supplement and to dealers at that price less a concession not in excess of $ per share. The underwriters may allow, and the dealers may reallow, a discount not in excess of $ per share to other dealers. After the public offering, the public offering price, concession and discount may be changed.</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750,000 shares.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Without Option</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5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97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before expenses, to PennantPark Investment Corporation</w:t>
            </w:r>
          </w:p>
        </w:tc>
        <w:tc>
          <w:tcPr>
            <w:tcW w:w="35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r>
      <w:tr>
        <w:trPr>
          <w:trHeight w:val="363"/>
        </w:trPr>
        <w:tc>
          <w:tcPr>
            <w:tcW w:w="5140" w:type="dxa"/>
            <w:vAlign w:val="bottom"/>
          </w:tcPr>
          <w:p>
            <w:pPr>
              <w:spacing w:after="0"/>
              <w:rPr>
                <w:sz w:val="24"/>
                <w:szCs w:val="24"/>
                <w:color w:val="auto"/>
              </w:rPr>
            </w:pPr>
          </w:p>
        </w:tc>
        <w:tc>
          <w:tcPr>
            <w:tcW w:w="3560" w:type="dxa"/>
            <w:vAlign w:val="bottom"/>
            <w:gridSpan w:val="2"/>
          </w:tcPr>
          <w:p>
            <w:pPr>
              <w:jc w:val="right"/>
              <w:ind w:right="2752"/>
              <w:spacing w:after="0"/>
              <w:rPr>
                <w:sz w:val="20"/>
                <w:szCs w:val="20"/>
                <w:color w:val="auto"/>
              </w:rPr>
            </w:pPr>
            <w:r>
              <w:rPr>
                <w:rFonts w:ascii="Arial" w:cs="Arial" w:eastAsia="Arial" w:hAnsi="Arial"/>
                <w:sz w:val="18"/>
                <w:szCs w:val="18"/>
                <w:color w:val="auto"/>
              </w:rPr>
              <w:t>S-19</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$325,000.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granted an option to the underwriters to purchase up to 750,000 additional shares at the public offering price less the underwriting discount. J.P. Morgan Securities Inc., on behalf of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60 days after the date of this prospectus without first obtaining the written consent of J.P. Morgan Securities Inc.</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Pennant Park Investment Administration, LLC and certain of its affiliates have agreed, with exceptions, not to sell or transfer any common stock for 90 days after the date of this prospectus supplement without first obtaining the written consent of J.P. Morgan Securities Inc.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 allotment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Purchases of the common stock to stabilize its price or to reduce a short position may cause the price of the common stock to be higher than it might be in the absence of such purchases.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Some of the underwriters and their affiliates were underwriters in connection with our initial public offering for which they received customary fees. Affiliates of the underwriters may receive part of the proceeds of the offering by reason of the repayment of certain amounts outstanding under our credit facility.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principal business address of the underwriters are: J.P. Morgan Securities Inc. is 383 Madison Ave., New York, NY 10179; Robert W. Baird &amp; Co. Incorporated is 777 E. Wisconsin Avenue, Milwaukee, WI 53202; Stifel, Nicolaus &amp; Company, Inc., 501 N. Broadway, St. Louis, Missouri 63102; and SunTrust Robinson Humphrey, Inc. is 3333 Peachtree Rd., NE, Atlanta, GA 30326.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 and its Role in Risk Oversight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Chief Executive Officer, Arthur H. Penn, is chairman of our board and an “interested person” under the 1940 Act. The board believes that it is in the best interests of our shareholders for Mr. Penn to lead the board because of his broad experience. See “Management” in the accompanying prospectus.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our founder, Mr. Penn has demonstrated a track record of achievement on strategic and operating aspects of our business. Under our bylaws, our board does not have an independent chairman. Many significant corporate governance duties of the board are executed by independent committees, each of which has an independent chairman. Mr. Penn is the only interested director on the board and he answers to the full board. The board believes that its structure, small size and the uniformly high degree of engagement among directors create a highly efficient governance structure that provides ample opportunity for direct communication and interaction between management and the board. While the board regularly evaluates alternative structures, it believes that, as a business development company, it is appropriate for our founder, chief executive officer and chair of our investment committee to perform the functions of chairman of the board, including leading discussions of strategic issues facing PennantPark Investment. The independent directors set the agenda for meetings of the Board. The board believes the current structure provides appropriate guidance and oversight while also enabling efficient input from management.</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There are a number of significant risks facing us which are described under the heading “Risk Factors” in the accompanying prospectus. Our board uses its judgment to create and maintain policies and practices designed to limit or manage the risks we face, including: (1) the establishment of board-approved policies and procedures designed serve the interests of PennantPark Investment, (2) the application of these policies uniformly to directors, management and third-party service providers, (3) the establishment of independent board committees with clearly defined risk oversight functions and (4) review and analysis by the board of reports by management and certain third-party service providers. Accordingly, our board has approved a Code of Ethics (which is jointly applicable to our Investment Adviser) and a Code of Conduct to promote ethical conduct and prohibit certain transactions that could pose significant risks to us. Our board has established a related party transaction review policy, under which it monitors the risks related to certain transactions that present a conflict of interest on a quarterly basis. Our board of directors has also established and approved an investment valuation process to manage risks relating to the valuations of our investments and to ensure that our financial statements appropriately reflect the performance of our portfolio of assets. Additionally, through the board’s delegated authority, the Audit Committee of the board has primary oversight over risks relating to our internal controls over financial reporting and audit-related risks, while the Nominating and Corporate Governance Committee of the board has primary oversight over risks relating to corporate governance. The board oversees risks related to our disclosure controls by requiring and reviewing quarterly reports from our Disclosure Committee. The Disclosure Committee, comprised of our Chief Executive Officer, Chief Financial Officer, a representative of our Investment Adviser and a representative of our Administrator, reviews our performance in light of reports from our transfer agent, custodian, Investment Adviser and legal counsel to evaluate our disclosure controls and procedures. Finally, the board oversees the performance of our management team through quarterly reports provided by the Investment Adviser. Under this oversight structure, our management team manages the risks facing us in our day-to-day operations. We caution you, however, that although our board of directors believes it has established an effective system of oversight, no risk management system can eliminate risks or ensure that particular events do not adversely affect our business.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 and Experience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Nominating and Corporate Governance Committee has recommended, and our board and stockholders have approved, the members of our board based on their respective background, experience, qualifications and skills, including but not limited to their sector experience, civic and community involvement, and leadership qualities. See “Management” in the accompanying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Simpson Thacher &amp; Bartlett LLP, New York, N.Y. Simpson Thacher &amp; Bartlett LLP and Dechert LLP may rely as to certain matters of Maryland law upon the opinion of Venable LLP.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40" w:firstLine="8"/>
        <w:spacing w:after="0" w:line="302"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February 17, 2010 was $10.10 per share and our net asset value on December 31, 2009 was $11.86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3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February 24, 2010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5"/>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SELECTED FINANCIAL DATA</w:t>
              </w:r>
            </w:hyperlink>
          </w:p>
        </w:tc>
        <w:tc>
          <w:tcPr>
            <w:tcW w:w="86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DISTRIBUTIONS</w:t>
              </w:r>
            </w:hyperlink>
          </w:p>
        </w:tc>
        <w:tc>
          <w:tcPr>
            <w:tcW w:w="972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BUSINESS</w:t>
              </w:r>
            </w:hyperlink>
          </w:p>
        </w:tc>
        <w:tc>
          <w:tcPr>
            <w:tcW w:w="10220" w:type="dxa"/>
            <w:vAlign w:val="bottom"/>
            <w:gridSpan w:val="3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994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3"/>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56">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2"/>
              </w:rPr>
              <w:t>PART C OTHER INFORMATION</w:t>
            </w:r>
          </w:p>
        </w:tc>
        <w:tc>
          <w:tcPr>
            <w:tcW w:w="85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sz w:val="20"/>
                <w:szCs w:val="20"/>
                <w:color w:val="auto"/>
              </w:rPr>
            </w:pPr>
            <w:r>
              <w:rPr>
                <w:rFonts w:ascii="Arial" w:cs="Arial" w:eastAsia="Arial" w:hAnsi="Arial"/>
                <w:sz w:val="18"/>
                <w:szCs w:val="18"/>
                <w:color w:val="0000EE"/>
              </w:rPr>
              <w:t>SIGNATURES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3.44%</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1.07%</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8.31%</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assets attributable to common shares” equals net assets at December 31,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2009, we had $54.3 million unused borrowing capacity,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59" w:lineRule="exact"/>
        <w:rPr>
          <w:sz w:val="20"/>
          <w:szCs w:val="20"/>
          <w:color w:val="auto"/>
        </w:rPr>
      </w:pPr>
    </w:p>
    <w:p>
      <w:pPr>
        <w:ind w:left="460" w:right="1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the Statement of Operations in our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4.83%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5.95%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$ 330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592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2009 we had outstanding borrowings of $245.7 million under our credit facility with a weighted average annual interest rate at that time of 1.23% exclusive of the fee on undrawn commitment of 0.20%. Accordingly, to cover the annual interest on our borrowings outstanding at December 31,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2009 of 38% of our total assets (including such borrowed funds), at a weighted average rate at the time of 1.23%,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2009, we had $54.3 million unused and $245.7 million in borrowings outstanding under our $300.0 million credit facility. Borrowings under our credit facility bear interest at an annual rate equal to LIBOR + 100 basis points per annum. At December 31, 2009, this corresponded to a weighted average interest rate at that time of 1.23%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Interim results as of and for the three months ended December 31, 2009 are not necessarily indicative of the results that may be expected for the year ending September 30, 2010. This selected financial data should be read in conjunction with our financial statements and related notes thereto and “Management’s Discussion and Analysis of Financial Condition and Results of Operations” and “Regulation—Senior Securities” in this prospectus.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13,599</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82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74"/>
        </w:trPr>
        <w:tc>
          <w:tcPr>
            <w:tcW w:w="4700" w:type="dxa"/>
            <w:vAlign w:val="bottom"/>
          </w:tcPr>
          <w:p>
            <w:pPr>
              <w:ind w:left="220"/>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513,141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372,148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Number of portfolio companies (at period end) </w:t>
            </w:r>
            <w:r>
              <w:rPr>
                <w:rFonts w:ascii="Arial" w:cs="Arial" w:eastAsia="Arial" w:hAnsi="Arial"/>
                <w:sz w:val="11"/>
                <w:szCs w:val="1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in this prospectus.</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20"/>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0.62%</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0.84%</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2009, we had $54.3 million unused,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our “Statement of Operations”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4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On December 31, 2009 and September 30, 2009, net unrealized depreciation on our long-term credit facility totaled $43.8 and $49.6 million, respectively, which included the cumulative effect of adoption of ASC 825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an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$78.8 million of senior secured loans, and $22.9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Expenses for the three month period ended December 31, 2008, totaled $ 6.3 million. Base management fee for the same period totaled $ 1.8 million, performance-based incentive fee totaled $ 1.4 million, credit facility related expense totaled $ 1.8 million and general and administrative expenses totaled $ 1.2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(Appreciation) Depreciation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from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December 31, 2009, we had outstanding borrowings of $245.7 million with a fair value of $201.9 million and a weighted average interest rate at that time of 1.23% exclusive of the fee on undrawn commitment of 0.20%.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various covenants and restrictions as discussed in the preceding paragraph. The primary uses of existing funds and any funds raised in the future is expected to be for the repayment of indebtedness, investments in portfolio companies, cash distributions to our shareholders or for other general corporate purposes.</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PennantPark Investment’s liquidity and capital resources are also generated and available from cash flows from operations, including investment sales and repayments, and income earned. On February 2, 2010, our stockholders approved a proposal that authorizes us to sell shares of our common stock below the then current net asset value per share of our common stock in one or more offerings for a period of 12 months. On September 29, 2009, we sold shares of our common stock below the then current net asset value per share of common stock also with stockholder approval we previously received August 29, 2009.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Payments due by period (millions)</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$ 245.7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2010,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December 31, 2009 and 2008, we declared distributions of $0.25 and $0.24 per share, respectively, for total distributions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$5.1 million, respectively. During the fiscal years ended September 30, 2009 and 2008, and for the period from January 11, 2007 (inception)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September 30, 2007, we paid to stockholders distributions of $0.96, $0.90 and $0.36 per share, respectively, for a total distribution of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and $7.6 million, respectively. We monitor available net investment income to determine if a tax return of capital may occur for the fiscal year.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our taxable earnings fall below the total amount of our distributions for any given fiscal year, a portion of those distributions may be deemed to be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 to our common stockholders. Tax characteristics of all distributions will be reported to stockholders on Form 1099-DIV after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Payable April 1, 2010 to stockholders of record as of March 25,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December 31, 2009 and September 30, 2009, 2008 and 2007. The information for September 30, 2009, 2008 and 2007 presented below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6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December 31, 2009, unaudited)</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2,043</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17, 2010, the last reported closing price of our common stock was $10.10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Closing Sales Price</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6"/>
                <w:szCs w:val="6"/>
                <w:color w:val="auto"/>
              </w:rPr>
            </w:pPr>
          </w:p>
        </w:tc>
        <w:tc>
          <w:tcPr>
            <w:tcW w:w="70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gridSpan w:val="2"/>
            <w:vMerge w:val="restart"/>
          </w:tcPr>
          <w:p>
            <w:pPr>
              <w:ind w:left="40"/>
              <w:spacing w:after="0" w:line="197"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 (through February 17, 2010)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 N/A</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$ 8.88</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36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investment opportunities available relative to the potential dilutive effect of additional capital at the time of the projected offering.</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100" w:firstLine="8"/>
        <w:spacing w:after="0" w:line="254"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least 90% of the sum of our ordinary income and realized net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23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23-year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 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0" w:lineRule="exact"/>
        <w:rPr>
          <w:sz w:val="20"/>
          <w:szCs w:val="20"/>
          <w:color w:val="auto"/>
        </w:rPr>
      </w:pPr>
    </w:p>
    <w:p>
      <w:pPr>
        <w:ind w:left="900" w:right="60" w:hanging="325"/>
        <w:spacing w:after="0" w:line="301"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June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 under our credit facility is set at 100 basis points over LIBOR. We believe that our debt capital resources will provide us with the flexibility to take advantage of market opportunities when they arise.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80" w:right="14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Aerospace and Defense</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89"/>
              </w:rPr>
              <w:t>•  Healthcare, Education and Childcare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99"/>
              </w:rPr>
              <w:t>•  Hotels, Motels, Inns and Gaming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Environmental Services</w:t>
            </w:r>
          </w:p>
        </w:tc>
        <w:tc>
          <w:tcPr>
            <w:tcW w:w="17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Brand Energy and Infrastructure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20"/>
              <w:spacing w:after="0"/>
              <w:rPr>
                <w:sz w:val="20"/>
                <w:szCs w:val="20"/>
                <w:color w:val="auto"/>
              </w:rPr>
            </w:pPr>
            <w:r>
              <w:rPr>
                <w:rFonts w:ascii="Arial" w:cs="Arial" w:eastAsia="Arial" w:hAnsi="Arial"/>
                <w:sz w:val="18"/>
                <w:szCs w:val="18"/>
                <w:color w:val="auto"/>
              </w:rPr>
              <w:t>Services, Inc</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Trizetto Group,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Saint Acquisition Corp.</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UP Acquisition Sub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Affinion Group Holding,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Sheridan Holdings,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Lyondell Chemical Co.</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Specialized Technology Resources,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40" w:type="dxa"/>
            <w:vAlign w:val="bottom"/>
            <w:gridSpan w:val="2"/>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Chemicals, Plastics and Rubber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Healthcare, Education and Childcare</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 Utilities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Energy/Utilities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31, 2009, our portfolio consisted of forty-four companies and was invested 35% in subordinated debt, 29% in second lien secured debt, 31% in senior secured loans, and 5%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December 31,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December 31,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December 31,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8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None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w:t>
            </w:r>
          </w:p>
        </w:tc>
        <w:tc>
          <w:tcPr>
            <w:tcW w:w="23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QUILEX</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IVERSIFIED</w:t>
            </w:r>
            <w:r>
              <w:rPr>
                <w:rFonts w:ascii="Arial" w:cs="Arial" w:eastAsia="Arial" w:hAnsi="Arial"/>
                <w:sz w:val="18"/>
                <w:szCs w:val="18"/>
                <w:color w:val="auto"/>
                <w:w w:val="99"/>
              </w:rPr>
              <w:t xml:space="preserve"> / C</w:t>
            </w:r>
            <w:r>
              <w:rPr>
                <w:rFonts w:ascii="Arial" w:cs="Arial" w:eastAsia="Arial" w:hAnsi="Arial"/>
                <w:sz w:val="14"/>
                <w:szCs w:val="14"/>
                <w:color w:val="auto"/>
                <w:w w:val="99"/>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3344 P</w:t>
            </w:r>
            <w:r>
              <w:rPr>
                <w:rFonts w:ascii="Arial" w:cs="Arial" w:eastAsia="Arial" w:hAnsi="Arial"/>
                <w:sz w:val="14"/>
                <w:szCs w:val="14"/>
                <w:color w:val="auto"/>
              </w:rPr>
              <w:t>EACHTREE</w:t>
            </w:r>
            <w:r>
              <w:rPr>
                <w:rFonts w:ascii="Arial" w:cs="Arial" w:eastAsia="Arial" w:hAnsi="Arial"/>
                <w:sz w:val="18"/>
                <w:szCs w:val="18"/>
                <w:color w:val="auto"/>
              </w:rPr>
              <w:t xml:space="preserve"> R</w:t>
            </w:r>
            <w:r>
              <w:rPr>
                <w:rFonts w:ascii="Arial" w:cs="Arial" w:eastAsia="Arial" w:hAnsi="Arial"/>
                <w:sz w:val="14"/>
                <w:szCs w:val="14"/>
                <w:color w:val="auto"/>
              </w:rPr>
              <w:t>OADS</w:t>
            </w:r>
            <w:r>
              <w:rPr>
                <w:rFonts w:ascii="Arial" w:cs="Arial" w:eastAsia="Arial" w:hAnsi="Arial"/>
                <w:sz w:val="18"/>
                <w:szCs w:val="18"/>
                <w:color w:val="auto"/>
              </w:rPr>
              <w:t xml:space="preserve"> N</w:t>
            </w:r>
            <w:r>
              <w:rPr>
                <w:rFonts w:ascii="Arial" w:cs="Arial" w:eastAsia="Arial" w:hAnsi="Arial"/>
                <w:sz w:val="14"/>
                <w:szCs w:val="14"/>
                <w:color w:val="auto"/>
              </w:rPr>
              <w:t>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2100</w:t>
            </w:r>
          </w:p>
        </w:tc>
        <w:tc>
          <w:tcPr>
            <w:tcW w:w="23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TLANTA</w:t>
            </w:r>
            <w:r>
              <w:rPr>
                <w:rFonts w:ascii="Arial" w:cs="Arial" w:eastAsia="Arial" w:hAnsi="Arial"/>
                <w:sz w:val="18"/>
                <w:szCs w:val="18"/>
                <w:color w:val="auto"/>
              </w:rPr>
              <w:t>, GA 30326</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179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27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OTELS</w:t>
            </w:r>
            <w:r>
              <w:rPr>
                <w:rFonts w:ascii="Arial" w:cs="Arial" w:eastAsia="Arial" w:hAnsi="Arial"/>
                <w:sz w:val="18"/>
                <w:szCs w:val="18"/>
                <w:color w:val="auto"/>
                <w:w w:val="97"/>
              </w:rPr>
              <w:t>, M</w:t>
            </w:r>
            <w:r>
              <w:rPr>
                <w:rFonts w:ascii="Arial" w:cs="Arial" w:eastAsia="Arial" w:hAnsi="Arial"/>
                <w:sz w:val="14"/>
                <w:szCs w:val="14"/>
                <w:color w:val="auto"/>
                <w:w w:val="97"/>
              </w:rPr>
              <w:t>OTELS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NNS</w:t>
            </w:r>
            <w:r>
              <w:rPr>
                <w:rFonts w:ascii="Arial" w:cs="Arial" w:eastAsia="Arial" w:hAnsi="Arial"/>
                <w:sz w:val="18"/>
                <w:szCs w:val="18"/>
                <w:color w:val="auto"/>
              </w:rPr>
              <w:t xml:space="preserve"> &amp; 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PA 19103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OLUMBUS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205-207 D</w:t>
            </w:r>
            <w:r>
              <w:rPr>
                <w:rFonts w:ascii="Arial" w:cs="Arial" w:eastAsia="Arial" w:hAnsi="Arial"/>
                <w:sz w:val="14"/>
                <w:szCs w:val="14"/>
                <w:color w:val="auto"/>
              </w:rPr>
              <w:t>OWELL</w:t>
            </w:r>
            <w:r>
              <w:rPr>
                <w:rFonts w:ascii="Arial" w:cs="Arial" w:eastAsia="Arial" w:hAnsi="Arial"/>
                <w:sz w:val="18"/>
                <w:szCs w:val="18"/>
                <w:color w:val="auto"/>
              </w:rPr>
              <w:t xml:space="preserve"> H</w:t>
            </w:r>
            <w:r>
              <w:rPr>
                <w:rFonts w:ascii="Arial" w:cs="Arial" w:eastAsia="Arial" w:hAnsi="Arial"/>
                <w:sz w:val="14"/>
                <w:szCs w:val="14"/>
                <w:color w:val="auto"/>
              </w:rPr>
              <w:t>OUSE</w:t>
            </w:r>
            <w:r>
              <w:rPr>
                <w:rFonts w:ascii="Arial" w:cs="Arial" w:eastAsia="Arial" w:hAnsi="Arial"/>
                <w:sz w:val="18"/>
                <w:szCs w:val="18"/>
                <w:color w:val="auto"/>
              </w:rPr>
              <w:t xml:space="preserve"> C</w:t>
            </w:r>
            <w:r>
              <w:rPr>
                <w:rFonts w:ascii="Arial" w:cs="Arial" w:eastAsia="Arial" w:hAnsi="Arial"/>
                <w:sz w:val="14"/>
                <w:szCs w:val="14"/>
                <w:color w:val="auto"/>
              </w:rPr>
              <w:t>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OEBUCK</w:t>
            </w:r>
            <w:r>
              <w:rPr>
                <w:rFonts w:ascii="Arial" w:cs="Arial" w:eastAsia="Arial" w:hAnsi="Arial"/>
                <w:sz w:val="18"/>
                <w:szCs w:val="18"/>
                <w:color w:val="auto"/>
              </w:rPr>
              <w:t xml:space="preserve"> &amp; P</w:t>
            </w:r>
            <w:r>
              <w:rPr>
                <w:rFonts w:ascii="Arial" w:cs="Arial" w:eastAsia="Arial" w:hAnsi="Arial"/>
                <w:sz w:val="14"/>
                <w:szCs w:val="14"/>
                <w:color w:val="auto"/>
              </w:rPr>
              <w:t>ALMETTO</w:t>
            </w:r>
            <w:r>
              <w:rPr>
                <w:rFonts w:ascii="Arial" w:cs="Arial" w:eastAsia="Arial" w:hAnsi="Arial"/>
                <w:sz w:val="18"/>
                <w:szCs w:val="18"/>
                <w:color w:val="auto"/>
              </w:rPr>
              <w:t xml:space="preserve"> S</w:t>
            </w:r>
            <w:r>
              <w:rPr>
                <w:rFonts w:ascii="Arial" w:cs="Arial" w:eastAsia="Arial" w:hAnsi="Arial"/>
                <w:sz w:val="14"/>
                <w:szCs w:val="14"/>
                <w:color w:val="auto"/>
              </w:rPr>
              <w:t>TS</w:t>
            </w:r>
            <w:r>
              <w:rPr>
                <w:rFonts w:ascii="Arial" w:cs="Arial" w:eastAsia="Arial" w:hAnsi="Arial"/>
                <w:sz w:val="18"/>
                <w:szCs w:val="18"/>
                <w:color w:val="auto"/>
              </w:rPr>
              <w:t>. B</w:t>
            </w:r>
            <w:r>
              <w:rPr>
                <w:rFonts w:ascii="Arial" w:cs="Arial" w:eastAsia="Arial" w:hAnsi="Arial"/>
                <w:sz w:val="14"/>
                <w:szCs w:val="14"/>
                <w:color w:val="auto"/>
              </w:rPr>
              <w:t>RIDGETOWN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ARBADOS</w:t>
            </w:r>
            <w:r>
              <w:rPr>
                <w:rFonts w:ascii="Arial" w:cs="Arial" w:eastAsia="Arial" w:hAnsi="Arial"/>
                <w:sz w:val="18"/>
                <w:szCs w:val="18"/>
                <w:color w:val="auto"/>
              </w:rPr>
              <w:t>, W</w:t>
            </w:r>
            <w:r>
              <w:rPr>
                <w:rFonts w:ascii="Arial" w:cs="Arial" w:eastAsia="Arial" w:hAnsi="Arial"/>
                <w:sz w:val="14"/>
                <w:szCs w:val="14"/>
                <w:color w:val="auto"/>
              </w:rPr>
              <w:t>EST</w:t>
            </w:r>
            <w:r>
              <w:rPr>
                <w:rFonts w:ascii="Arial" w:cs="Arial" w:eastAsia="Arial" w:hAnsi="Arial"/>
                <w:sz w:val="18"/>
                <w:szCs w:val="18"/>
                <w:color w:val="auto"/>
              </w:rPr>
              <w:t xml:space="preserve"> I</w:t>
            </w:r>
            <w:r>
              <w:rPr>
                <w:rFonts w:ascii="Arial" w:cs="Arial" w:eastAsia="Arial" w:hAnsi="Arial"/>
                <w:sz w:val="14"/>
                <w:szCs w:val="14"/>
                <w:color w:val="auto"/>
              </w:rPr>
              <w:t>NDIES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LTD.</w:t>
            </w:r>
          </w:p>
        </w:tc>
        <w:tc>
          <w:tcPr>
            <w:tcW w:w="24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AIRWAY</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ROCERY</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line="217" w:lineRule="exact"/>
              <w:rPr>
                <w:sz w:val="20"/>
                <w:szCs w:val="20"/>
                <w:color w:val="auto"/>
              </w:rPr>
            </w:pPr>
            <w:r>
              <w:rPr>
                <w:rFonts w:ascii="Arial" w:cs="Arial" w:eastAsia="Arial" w:hAnsi="Arial"/>
                <w:sz w:val="18"/>
                <w:szCs w:val="18"/>
                <w:color w:val="auto"/>
              </w:rPr>
              <w:t>2284 12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10027</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04"/>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EADWATERS</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24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IVERSIFIED</w:t>
            </w:r>
            <w:r>
              <w:rPr>
                <w:rFonts w:ascii="Arial" w:cs="Arial" w:eastAsia="Arial" w:hAnsi="Arial"/>
                <w:sz w:val="18"/>
                <w:szCs w:val="18"/>
                <w:color w:val="auto"/>
              </w:rPr>
              <w:t xml:space="preserve"> / C</w:t>
            </w:r>
            <w:r>
              <w:rPr>
                <w:rFonts w:ascii="Arial" w:cs="Arial" w:eastAsia="Arial" w:hAnsi="Arial"/>
                <w:sz w:val="14"/>
                <w:szCs w:val="14"/>
                <w:color w:val="auto"/>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10653 S</w:t>
            </w:r>
            <w:r>
              <w:rPr>
                <w:rFonts w:ascii="Arial" w:cs="Arial" w:eastAsia="Arial" w:hAnsi="Arial"/>
                <w:sz w:val="14"/>
                <w:szCs w:val="14"/>
                <w:color w:val="auto"/>
              </w:rPr>
              <w:t>OUTH</w:t>
            </w:r>
            <w:r>
              <w:rPr>
                <w:rFonts w:ascii="Arial" w:cs="Arial" w:eastAsia="Arial" w:hAnsi="Arial"/>
                <w:sz w:val="18"/>
                <w:szCs w:val="18"/>
                <w:color w:val="auto"/>
              </w:rPr>
              <w:t xml:space="preserve"> R</w:t>
            </w:r>
            <w:r>
              <w:rPr>
                <w:rFonts w:ascii="Arial" w:cs="Arial" w:eastAsia="Arial" w:hAnsi="Arial"/>
                <w:sz w:val="14"/>
                <w:szCs w:val="14"/>
                <w:color w:val="auto"/>
              </w:rPr>
              <w:t>IVER</w:t>
            </w:r>
            <w:r>
              <w:rPr>
                <w:rFonts w:ascii="Arial" w:cs="Arial" w:eastAsia="Arial" w:hAnsi="Arial"/>
                <w:sz w:val="18"/>
                <w:szCs w:val="18"/>
                <w:color w:val="auto"/>
              </w:rPr>
              <w:t xml:space="preserve"> F</w:t>
            </w:r>
            <w:r>
              <w:rPr>
                <w:rFonts w:ascii="Arial" w:cs="Arial" w:eastAsia="Arial" w:hAnsi="Arial"/>
                <w:sz w:val="14"/>
                <w:szCs w:val="14"/>
                <w:color w:val="auto"/>
              </w:rPr>
              <w:t>RONT</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J</w:t>
            </w:r>
            <w:r>
              <w:rPr>
                <w:rFonts w:ascii="Arial" w:cs="Arial" w:eastAsia="Arial" w:hAnsi="Arial"/>
                <w:sz w:val="14"/>
                <w:szCs w:val="14"/>
                <w:color w:val="auto"/>
              </w:rPr>
              <w:t>ORDAN</w:t>
            </w:r>
            <w:r>
              <w:rPr>
                <w:rFonts w:ascii="Arial" w:cs="Arial" w:eastAsia="Arial" w:hAnsi="Arial"/>
                <w:sz w:val="18"/>
                <w:szCs w:val="18"/>
                <w:color w:val="auto"/>
              </w:rPr>
              <w:t>, U</w:t>
            </w:r>
            <w:r>
              <w:rPr>
                <w:rFonts w:ascii="Arial" w:cs="Arial" w:eastAsia="Arial" w:hAnsi="Arial"/>
                <w:sz w:val="14"/>
                <w:szCs w:val="14"/>
                <w:color w:val="auto"/>
              </w:rPr>
              <w:t>TAH</w:t>
            </w:r>
            <w:r>
              <w:rPr>
                <w:rFonts w:ascii="Arial" w:cs="Arial" w:eastAsia="Arial" w:hAnsi="Arial"/>
                <w:sz w:val="18"/>
                <w:szCs w:val="18"/>
                <w:color w:val="auto"/>
              </w:rPr>
              <w:t xml:space="preserve"> 84095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0" w:type="dxa"/>
            <w:vAlign w:val="bottom"/>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5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6.4%</w:t>
            </w:r>
            <w:r>
              <w:rPr>
                <w:rFonts w:ascii="Arial" w:cs="Arial" w:eastAsia="Arial" w:hAnsi="Arial"/>
                <w:sz w:val="11"/>
                <w:szCs w:val="11"/>
                <w:color w:val="auto"/>
                <w:w w:val="91"/>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r>
              <w:rPr>
                <w:rFonts w:ascii="Arial" w:cs="Arial" w:eastAsia="Arial" w:hAnsi="Arial"/>
                <w:sz w:val="18"/>
                <w:szCs w:val="18"/>
                <w:color w:val="auto"/>
              </w:rPr>
              <w:t xml:space="preserve"> 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 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OHEGAN</w:t>
            </w:r>
            <w:r>
              <w:rPr>
                <w:rFonts w:ascii="Arial" w:cs="Arial" w:eastAsia="Arial" w:hAnsi="Arial"/>
                <w:sz w:val="18"/>
                <w:szCs w:val="18"/>
                <w:color w:val="auto"/>
              </w:rPr>
              <w:t xml:space="preserve"> T</w:t>
            </w:r>
            <w:r>
              <w:rPr>
                <w:rFonts w:ascii="Arial" w:cs="Arial" w:eastAsia="Arial" w:hAnsi="Arial"/>
                <w:sz w:val="14"/>
                <w:szCs w:val="14"/>
                <w:color w:val="auto"/>
              </w:rPr>
              <w:t>RIBAL</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M</w:t>
            </w:r>
            <w:r>
              <w:rPr>
                <w:rFonts w:ascii="Arial" w:cs="Arial" w:eastAsia="Arial" w:hAnsi="Arial"/>
                <w:sz w:val="14"/>
                <w:szCs w:val="14"/>
                <w:color w:val="auto"/>
              </w:rPr>
              <w:t>OHEGAN</w:t>
            </w:r>
            <w:r>
              <w:rPr>
                <w:rFonts w:ascii="Arial" w:cs="Arial" w:eastAsia="Arial" w:hAnsi="Arial"/>
                <w:sz w:val="18"/>
                <w:szCs w:val="18"/>
                <w:color w:val="auto"/>
              </w:rPr>
              <w:t xml:space="preserve"> S</w:t>
            </w:r>
            <w:r>
              <w:rPr>
                <w:rFonts w:ascii="Arial" w:cs="Arial" w:eastAsia="Arial" w:hAnsi="Arial"/>
                <w:sz w:val="14"/>
                <w:szCs w:val="14"/>
                <w:color w:val="auto"/>
              </w:rPr>
              <w:t>UN</w:t>
            </w:r>
            <w:r>
              <w:rPr>
                <w:rFonts w:ascii="Arial" w:cs="Arial" w:eastAsia="Arial" w:hAnsi="Arial"/>
                <w:sz w:val="18"/>
                <w:szCs w:val="18"/>
                <w:color w:val="auto"/>
              </w:rPr>
              <w:t xml:space="preserve"> B</w:t>
            </w:r>
            <w:r>
              <w:rPr>
                <w:rFonts w:ascii="Arial" w:cs="Arial" w:eastAsia="Arial" w:hAnsi="Arial"/>
                <w:sz w:val="14"/>
                <w:szCs w:val="14"/>
                <w:color w:val="auto"/>
              </w:rPr>
              <w:t>OULEVARD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NCASVILLE</w:t>
            </w:r>
            <w:r>
              <w:rPr>
                <w:rFonts w:ascii="Arial" w:cs="Arial" w:eastAsia="Arial" w:hAnsi="Arial"/>
                <w:sz w:val="18"/>
                <w:szCs w:val="18"/>
                <w:color w:val="auto"/>
              </w:rPr>
              <w:t>, CT 06382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MG</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4.9%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FORMERLY</w:t>
            </w:r>
            <w:r>
              <w:rPr>
                <w:rFonts w:ascii="Arial" w:cs="Arial" w:eastAsia="Arial" w:hAnsi="Arial"/>
                <w:sz w:val="18"/>
                <w:szCs w:val="18"/>
                <w:color w:val="auto"/>
              </w:rPr>
              <w:t xml:space="preserve"> 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33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RAK</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Warrants</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3.5%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1001 B</w:t>
            </w:r>
            <w:r>
              <w:rPr>
                <w:rFonts w:ascii="Arial" w:cs="Arial" w:eastAsia="Arial" w:hAnsi="Arial"/>
                <w:sz w:val="14"/>
                <w:szCs w:val="14"/>
                <w:color w:val="auto"/>
              </w:rPr>
              <w:t>RICKELL</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xml:space="preserve"> 27</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IAMI</w:t>
            </w:r>
            <w:r>
              <w:rPr>
                <w:rFonts w:ascii="Arial" w:cs="Arial" w:eastAsia="Arial" w:hAnsi="Arial"/>
                <w:sz w:val="18"/>
                <w:szCs w:val="18"/>
                <w:color w:val="auto"/>
              </w:rPr>
              <w:t>, FL 33131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1.30%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jc w:val="right"/>
              <w:ind w:right="17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2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17"/>
                <w:szCs w:val="17"/>
                <w:color w:val="auto"/>
              </w:rPr>
            </w:pPr>
          </w:p>
        </w:tc>
        <w:tc>
          <w:tcPr>
            <w:tcW w:w="238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8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NY 10704</w:t>
            </w:r>
          </w:p>
        </w:tc>
        <w:tc>
          <w:tcPr>
            <w:tcW w:w="18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vMerge w:val="restart"/>
          </w:tcPr>
          <w:p>
            <w:pPr>
              <w:jc w:val="right"/>
              <w:ind w:right="2473"/>
              <w:spacing w:after="0"/>
              <w:rPr>
                <w:sz w:val="20"/>
                <w:szCs w:val="20"/>
                <w:color w:val="auto"/>
              </w:rPr>
            </w:pPr>
            <w:r>
              <w:rPr>
                <w:rFonts w:ascii="Arial" w:cs="Arial" w:eastAsia="Arial" w:hAnsi="Arial"/>
                <w:sz w:val="18"/>
                <w:szCs w:val="18"/>
                <w:color w:val="auto"/>
              </w:rPr>
              <w:t>73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2009, we held six board meetings, four Audit Committee meetings and two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PennantPark</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part of 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c>
          <w:tcPr>
            <w:tcW w:w="0" w:type="dxa"/>
            <w:vAlign w:val="bottom"/>
          </w:tcPr>
          <w:p>
            <w:pPr>
              <w:spacing w:after="0"/>
              <w:rPr>
                <w:sz w:val="1"/>
                <w:szCs w:val="1"/>
                <w:color w:val="auto"/>
              </w:rPr>
            </w:pPr>
          </w:p>
        </w:tc>
      </w:tr>
      <w:tr>
        <w:trPr>
          <w:trHeight w:val="176"/>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Investment</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   92,500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97,500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2010,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as of February 1, 2010,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February 1, 2010.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2009 and 2008, the Investment Adviser earned a base management fees of $2.5 million and $1.8 million respectively.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2009 and 2008, the Investment Adviser earned an incentive fee of $1.8 million and $1.4 million respectively, from us.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240" w:top="459" w:right="7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three months ended December 31, 2009 and 2008, the Investment Adviser was reimbursed $0.3 million and $0.3 million, respectively, by PennantPark Investment, including expenses it incurred on behalf of the Administrator, for services described above.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460" w:right="10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For more information, see “Sales Of Common Stock Below Net Asset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31,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17, 2010 was $10.10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87"/>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7">
              <w:r>
                <w:rPr>
                  <w:rFonts w:ascii="Arial" w:cs="Arial" w:eastAsia="Arial" w:hAnsi="Arial"/>
                  <w:sz w:val="18"/>
                  <w:szCs w:val="18"/>
                  <w:color w:val="0000EE"/>
                  <w:w w:val="89"/>
                </w:rPr>
                <w:t>Management’s Report on Internal Control over Financial Reporting</w:t>
              </w:r>
            </w:hyperlink>
          </w:p>
        </w:tc>
        <w:tc>
          <w:tcPr>
            <w:tcW w:w="6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60">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7"/>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2007 (inception) through September 30, 2007</w:t>
              </w:r>
            </w:hyperlink>
          </w:p>
        </w:tc>
        <w:tc>
          <w:tcPr>
            <w:tcW w:w="74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20"/>
          </w:tcPr>
          <w:p>
            <w:pPr>
              <w:spacing w:after="0"/>
              <w:rPr>
                <w:rFonts w:ascii="Arial" w:cs="Arial" w:eastAsia="Arial" w:hAnsi="Arial"/>
                <w:sz w:val="18"/>
                <w:szCs w:val="18"/>
                <w:color w:val="0000EE"/>
                <w:w w:val="88"/>
              </w:rPr>
            </w:pPr>
            <w:hyperlink w:anchor="page162">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2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70">
              <w:r>
                <w:rPr>
                  <w:rFonts w:ascii="Arial" w:cs="Arial" w:eastAsia="Arial" w:hAnsi="Arial"/>
                  <w:sz w:val="18"/>
                  <w:szCs w:val="18"/>
                  <w:color w:val="0000EE"/>
                  <w:w w:val="87"/>
                </w:rPr>
                <w:t>Notes to Financial Statements</w:t>
              </w:r>
            </w:hyperlink>
          </w:p>
        </w:tc>
        <w:tc>
          <w:tcPr>
            <w:tcW w:w="3260" w:type="dxa"/>
            <w:vAlign w:val="bottom"/>
            <w:tcBorders>
              <w:top w:val="single" w:sz="8" w:color="0000EE"/>
            </w:tcBorders>
            <w:gridSpan w:val="6"/>
          </w:tcPr>
          <w:p>
            <w:pPr>
              <w:spacing w:after="0"/>
              <w:rPr>
                <w:sz w:val="24"/>
                <w:szCs w:val="24"/>
                <w:color w:val="auto"/>
              </w:rPr>
            </w:pPr>
          </w:p>
        </w:tc>
        <w:tc>
          <w:tcPr>
            <w:tcW w:w="55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43"/>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2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Statements of Assets and Liabilities as of December 31, 2009 (unaudited) and September 30, 2009</w:t>
              </w:r>
            </w:hyperlink>
          </w:p>
        </w:tc>
        <w:tc>
          <w:tcPr>
            <w:tcW w:w="39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87">
              <w:r>
                <w:rPr>
                  <w:rFonts w:ascii="Arial" w:cs="Arial" w:eastAsia="Arial" w:hAnsi="Arial"/>
                  <w:sz w:val="18"/>
                  <w:szCs w:val="18"/>
                  <w:color w:val="0000EE"/>
                  <w:w w:val="87"/>
                </w:rPr>
                <w:t>Statements of Operations for the three months ended December 31, 2009 and 2008 (unaudited)</w:t>
              </w:r>
            </w:hyperlink>
          </w:p>
        </w:tc>
        <w:tc>
          <w:tcPr>
            <w:tcW w:w="42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66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88">
              <w:r>
                <w:rPr>
                  <w:rFonts w:ascii="Arial" w:cs="Arial" w:eastAsia="Arial" w:hAnsi="Arial"/>
                  <w:sz w:val="18"/>
                  <w:szCs w:val="18"/>
                  <w:color w:val="0000EE"/>
                  <w:w w:val="86"/>
                </w:rPr>
                <w:t>Statements of Changes in Net Assets for the three months ended December 31, 2009 and 2008</w:t>
              </w:r>
            </w:hyperlink>
          </w:p>
        </w:tc>
        <w:tc>
          <w:tcPr>
            <w:tcW w:w="42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8">
              <w:r>
                <w:rPr>
                  <w:rFonts w:ascii="Arial" w:cs="Arial" w:eastAsia="Arial" w:hAnsi="Arial"/>
                  <w:sz w:val="18"/>
                  <w:szCs w:val="18"/>
                  <w:color w:val="0000EE"/>
                  <w:w w:val="87"/>
                </w:rPr>
                <w:t>(unaudited)</w:t>
              </w:r>
            </w:hyperlink>
          </w:p>
        </w:tc>
        <w:tc>
          <w:tcPr>
            <w:tcW w:w="98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6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89">
              <w:r>
                <w:rPr>
                  <w:rFonts w:ascii="Arial" w:cs="Arial" w:eastAsia="Arial" w:hAnsi="Arial"/>
                  <w:sz w:val="18"/>
                  <w:szCs w:val="18"/>
                  <w:color w:val="0000EE"/>
                  <w:w w:val="87"/>
                </w:rPr>
                <w:t>Statements of Cash Flows for the three months ended December 31, 2009 and 2008 (unaudited)</w:t>
              </w:r>
            </w:hyperlink>
          </w:p>
        </w:tc>
        <w:tc>
          <w:tcPr>
            <w:tcW w:w="41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Schedules of Investments as of December 31, 2009 (unaudited) and September 30,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04"/>
        </w:trPr>
        <w:tc>
          <w:tcPr>
            <w:tcW w:w="6200" w:type="dxa"/>
            <w:vAlign w:val="bottom"/>
            <w:tcBorders>
              <w:top w:val="single" w:sz="8" w:color="0000EE"/>
            </w:tcBorders>
            <w:gridSpan w:val="11"/>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Notes to Financial Statements</w:t>
              </w:r>
            </w:hyperlink>
          </w:p>
        </w:tc>
        <w:tc>
          <w:tcPr>
            <w:tcW w:w="47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at fair value (cost—$479,909,805 and $427,481,745,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and 25,368,772 and 21,068,772 shares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18,556,004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(11,154,735)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Net change in unrealized (appreciation) depreciation on investments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(48,104,208)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(40,702,939)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(59,664,834)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270,393,094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210,728,260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w w:val="96"/>
              </w:rPr>
              <w:t>Net change in net unrealized (appreciation) depreciation on investments and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Companies—150.9%</w:t>
            </w:r>
            <w:r>
              <w:rPr>
                <w:rFonts w:ascii="Arial" w:cs="Arial" w:eastAsia="Arial" w:hAnsi="Arial"/>
                <w:sz w:val="16"/>
                <w:szCs w:val="16"/>
                <w:b w:val="1"/>
                <w:bCs w:val="1"/>
                <w:color w:val="auto"/>
                <w:vertAlign w:val="superscript"/>
              </w:rPr>
              <w:t>(1),(2)</w:t>
            </w: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vMerge w:val="continue"/>
            <w:shd w:val="clear" w:color="auto" w:fill="CCEEFF"/>
          </w:tcPr>
          <w:p>
            <w:pPr>
              <w:spacing w:after="0"/>
              <w:rPr>
                <w:sz w:val="13"/>
                <w:szCs w:val="13"/>
                <w:color w:val="auto"/>
              </w:rPr>
            </w:pP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20,311,603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6.36%</w:t>
            </w:r>
          </w:p>
        </w:tc>
        <w:tc>
          <w:tcPr>
            <w:tcW w:w="10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13,600,000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7.44%</w:t>
            </w:r>
          </w:p>
        </w:tc>
        <w:tc>
          <w:tcPr>
            <w:tcW w:w="10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11,735,965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11,364,000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949,648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6.50%</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0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11/06/2018</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2.57%</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07/31/2016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12.38%</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2.49%</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2.88%</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2.53%</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13.00%</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12,668,615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80" w:type="dxa"/>
            <w:vAlign w:val="bottom"/>
          </w:tcPr>
          <w:p>
            <w:pPr>
              <w:spacing w:after="0"/>
              <w:rPr>
                <w:sz w:val="11"/>
                <w:szCs w:val="11"/>
                <w:color w:val="auto"/>
              </w:rPr>
            </w:pPr>
          </w:p>
        </w:tc>
        <w:tc>
          <w:tcPr>
            <w:tcW w:w="940" w:type="dxa"/>
            <w:vAlign w:val="bottom"/>
            <w:gridSpan w:val="2"/>
          </w:tcPr>
          <w:p>
            <w:pPr>
              <w:jc w:val="right"/>
              <w:ind w:right="54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6,331,385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01/18/2014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2.55%</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2.31%</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02/28/2013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2.26%</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2.73%</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09/23/2014</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11.25%</w:t>
            </w: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L+825</w:t>
            </w:r>
            <w:r>
              <w:rPr>
                <w:rFonts w:ascii="Arial" w:cs="Arial" w:eastAsia="Arial" w:hAnsi="Arial"/>
                <w:sz w:val="15"/>
                <w:szCs w:val="15"/>
                <w:color w:val="auto"/>
                <w:vertAlign w:val="superscript"/>
              </w:rPr>
              <w:t>(8)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82"/>
              </w:rPr>
              <w:t>20,000,000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07/15/2016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11.38%</w:t>
            </w:r>
          </w:p>
        </w:tc>
        <w:tc>
          <w:tcPr>
            <w:tcW w:w="10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Companies—5.4%</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5,077,822</w:t>
            </w:r>
          </w:p>
        </w:tc>
        <w:tc>
          <w:tcPr>
            <w:tcW w:w="1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37,500</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33,247,666</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$ 16,268,634</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03/19/2014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06/06/2014</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05/20/2012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12/28/2015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10/01/2016</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02/08/2015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187,877,433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128,100,000</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12.00%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842</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2,499,066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9,298,819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w w:val="98"/>
              </w:rPr>
              <w:t>CT Technologies Holdings, LLC (CT Technologies Intermediate Holdings,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6,659,360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05/28/2013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7,889,120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01/31/2013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12,965,204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08/28/2014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09/16/2013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12/19/2013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6,912,500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02/07/2014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9,890,541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4,564,563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01/18/2014</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3,950,100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02/28/2013</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6,900,583</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02/01/2013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1,474,667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05/04/2014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03/02/2014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2,917,576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Industry</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2,592,017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07/02/2014</w:t>
            </w: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98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4,414,356</w:t>
            </w:r>
          </w:p>
        </w:tc>
        <w:tc>
          <w:tcPr>
            <w:tcW w:w="1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4,192,261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07/02/2013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8.55%</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8,347,500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16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444,174,006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484,423,207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30.39%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25,368,772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182,490,685</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Not annualized</w:t>
      </w:r>
    </w:p>
    <w:p>
      <w:pPr>
        <w:spacing w:after="0" w:line="69" w:lineRule="exact"/>
        <w:rPr>
          <w:sz w:val="20"/>
          <w:szCs w:val="20"/>
          <w:color w:val="auto"/>
        </w:rPr>
      </w:pPr>
    </w:p>
    <w:p>
      <w:pPr>
        <w:ind w:left="340" w:hanging="332"/>
        <w:spacing w:after="0" w:line="239"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Net investment income and net change in realized and unrealized loss per share data are calculated based on the weighted average shares outstanding for the respective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60"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Notes 5 and 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(67,098,312)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(3,646,675)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5"/>
              </w:rPr>
              <w:t>Three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12,951,233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319,603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13,598,485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12,076,509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1,809,380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557,504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24,093,662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(40,663,091)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(212,524)</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18,042,224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(36,637,583)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(37,524,653)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(31,756,724)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8)</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(16,603,865)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(5,838,914)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(31,756,724)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(6,452,193)</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(36,813,229)</w:t>
            </w:r>
          </w:p>
        </w:tc>
        <w:tc>
          <w:tcPr>
            <w:tcW w:w="0" w:type="dxa"/>
            <w:vAlign w:val="bottom"/>
          </w:tcPr>
          <w:p>
            <w:pPr>
              <w:spacing w:after="0"/>
              <w:rPr>
                <w:sz w:val="1"/>
                <w:szCs w:val="1"/>
                <w:color w:val="auto"/>
              </w:rPr>
            </w:pPr>
          </w:p>
        </w:tc>
      </w:tr>
      <w:tr>
        <w:trPr>
          <w:trHeight w:val="32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252,524,260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215,711,031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(31,756,724)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(23,881,138)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(1,271,930)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(50,481,259)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(1,159,733)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(175,073)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(19,489,525)</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(115,217)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(45,083,996)</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10,008,844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(30,700,000)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(52,100,000)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(49,656,505)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(26,196,501)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(39,647,661)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0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Par /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56.1%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03/01/2012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$ 22,993,485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9"/>
              </w:rPr>
              <w:t>Diversified / Conglomerate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11.13%</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9,596,022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0"/>
              </w:rPr>
              <w:t>Manufacturing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04/17/2015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7,957,538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03/22/2014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(6)</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14.00%</w:t>
            </w:r>
          </w:p>
        </w:tc>
        <w:tc>
          <w:tcPr>
            <w:tcW w:w="300" w:type="dxa"/>
            <w:vAlign w:val="bottom"/>
            <w:vMerge w:val="continue"/>
          </w:tcPr>
          <w:p>
            <w:pPr>
              <w:spacing w:after="0"/>
              <w:rPr>
                <w:sz w:val="13"/>
                <w:szCs w:val="13"/>
                <w:color w:val="auto"/>
              </w:rPr>
            </w:pPr>
          </w:p>
        </w:tc>
        <w:tc>
          <w:tcPr>
            <w:tcW w:w="68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20,413,161</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19,995,129</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21,025,556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04/01/2014</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06/06/2014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22,810,883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22,451,159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05/20/2012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14,746,483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12/28/2015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10,390,942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10,267,437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8,955,185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11,126,218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20,349,340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20,165,943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13"/>
                <w:szCs w:val="13"/>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3"/>
                <w:szCs w:val="13"/>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20,489,864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169,740,266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45.5%</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6.31%</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L+600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13,167,599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12,185,600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11,745,828</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11,124,000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04/30/2015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11,951,224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11/01/2017</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4,814,489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QMG Acquisition, LLC, Term Loan A</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3,243,646</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 Term Loan B</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12/15/2015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9,943,805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05/15/2017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16,930,027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5.98%</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18,938,779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17,094,214</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16,569,492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143,731,888</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139,020,391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 Class A-1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Par / 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Value </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1,627</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245,762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5,556</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6,977,888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(CT Technologies Intermediate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160,323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137,923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2,433,112</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3,449,041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1,242,185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7,446,363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14,767,267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 – 52.2%</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03/04/2015</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13,894,737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11,907,829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13,269,474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7,289,802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07/31/2016</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9,436,259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11/20/2014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07/07/2012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13,502,355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10,628,954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Grocery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L+950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9,701,353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03/08/2014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11/01/2014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Diversified /Conglomerate</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2,972,827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6,712,537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12,668,615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13,002,337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13,175,360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6,331,385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6,488,872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01/18/2014</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2.51%</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02/28/2013</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6,790,000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6,793,783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6,207,194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02/01/2013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03/16/2014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07/19/2013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01/30/2014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09/23/2014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19,241,573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U.S. Xpress Enterprises,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10/12/2014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14,915,634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10,407,364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12,230,820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07/21/2012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Printing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3,493,681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3,196,579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07/15/2016</w:t>
            </w:r>
          </w:p>
        </w:tc>
        <w:tc>
          <w:tcPr>
            <w:tcW w:w="180" w:type="dxa"/>
            <w:vAlign w:val="bottom"/>
          </w:tcPr>
          <w:p>
            <w:pPr>
              <w:spacing w:after="0"/>
              <w:rPr>
                <w:sz w:val="13"/>
                <w:szCs w:val="13"/>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3"/>
                <w:szCs w:val="13"/>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4,861,682</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First Lien Secured Debt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168,552,263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160,710,620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499,221,096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497,049,288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6"/>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1.7%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07/02/2014</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5,066,905</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5,127,251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2.7%</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07/02/2013</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6.04%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8,115,625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 xml:space="preserve"> – 0.9%</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2,849,162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9"/>
              </w:rPr>
              <w:t>Investments in Non-Controlled, Affiliated Portfolio Companies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17,566,905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16,092,038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167.6%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516,788,001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513,141,326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7,051,165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169.9%</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523,839,166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520,192,491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(69.9%)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(214,044,169)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306,148,322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50.6%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03/01/2012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04/17/2015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03/22/2014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20,311,603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06/06/2014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05/20/2012</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12/28/2015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04/15/2015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10/01/2016</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02/08/2015</w:t>
            </w:r>
          </w:p>
        </w:tc>
        <w:tc>
          <w:tcPr>
            <w:tcW w:w="180" w:type="dxa"/>
            <w:vAlign w:val="bottom"/>
          </w:tcPr>
          <w:p>
            <w:pPr>
              <w:spacing w:after="0"/>
              <w:rPr>
                <w:sz w:val="13"/>
                <w:szCs w:val="13"/>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L+600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13,600,000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tcPr>
          <w:p>
            <w:pPr>
              <w:spacing w:after="0"/>
              <w:rPr>
                <w:sz w:val="11"/>
                <w:szCs w:val="11"/>
                <w:color w:val="auto"/>
              </w:rPr>
            </w:pP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7.44%</w:t>
            </w:r>
          </w:p>
        </w:tc>
        <w:tc>
          <w:tcPr>
            <w:tcW w:w="380" w:type="dxa"/>
            <w:vAlign w:val="bottom"/>
          </w:tcPr>
          <w:p>
            <w:pPr>
              <w:spacing w:after="0"/>
              <w:rPr>
                <w:sz w:val="11"/>
                <w:szCs w:val="11"/>
                <w:color w:val="auto"/>
              </w:rPr>
            </w:pPr>
          </w:p>
        </w:tc>
        <w:tc>
          <w:tcPr>
            <w:tcW w:w="8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11,735,965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04/30/2015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7.78%</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03/01/2014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11/04/2014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10/15/2017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05/15/2015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L+575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12/15/2014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6.50%</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8.00%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4.5%</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3,005,163</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b w:val="1"/>
                <w:bCs w:val="1"/>
                <w:color w:val="auto"/>
              </w:rPr>
              <w:t>irst Lien Secured Debt – 50.1%</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05/28/2013</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02/28/2013</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02/01/2013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03/16/2014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05/04/2014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06/30/2010</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07/19/2013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01/30/2014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09/23/2014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Investments in Non-Controlled, Non-Affiliated Portfolio Companies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 Shares</w:t>
            </w:r>
          </w:p>
        </w:tc>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 – 1.7%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 – 2.7%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4"/>
                <w:szCs w:val="14"/>
                <w:b w:val="1"/>
                <w:bCs w:val="1"/>
                <w:color w:val="auto"/>
              </w:rPr>
              <w:t xml:space="preserve"> – 1.0%</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156.3%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11.1%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33,247,666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2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2009</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168,552,263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160,710,620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164,863,868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152,481,888</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147,136,016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152,321,496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174,807,171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176,796,186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158,139,903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10,882,075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11,196,363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17,616,429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516,788,001</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513,141,326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497,287,886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523,839,166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520,192,491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530,535,552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503,007,739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F-46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3"/>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6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20"/>
          </w:cols>
          <w:pgMar w:left="24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2009</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$ 484,642,822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513,141,326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$ 442,128,049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469,760,073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gridSpan w:val="3"/>
          </w:tcPr>
          <w:p>
            <w:pPr>
              <w:jc w:val="right"/>
              <w:ind w:right="1780"/>
              <w:spacing w:after="0"/>
              <w:rPr>
                <w:sz w:val="20"/>
                <w:szCs w:val="20"/>
                <w:color w:val="auto"/>
              </w:rPr>
            </w:pPr>
            <w:r>
              <w:rPr>
                <w:rFonts w:ascii="Arial" w:cs="Arial" w:eastAsia="Arial" w:hAnsi="Arial"/>
                <w:sz w:val="18"/>
                <w:szCs w:val="18"/>
                <w:color w:val="auto"/>
              </w:rPr>
              <w:t>F-49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21,998,720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52,229,864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52,912,922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(16,808,942)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484,642,822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28,498,504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513,141,326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appreciation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(39,885,419)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1,870,146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308,077,621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20,735,754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328,813,375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for the year reported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depreciation on investments in our Statement of Operations attributable to our </w:t>
            </w:r>
            <w:r>
              <w:rPr>
                <w:rFonts w:ascii="Arial" w:cs="Arial" w:eastAsia="Arial" w:hAnsi="Arial"/>
                <w:sz w:val="18"/>
                <w:szCs w:val="18"/>
                <w:i w:val="1"/>
                <w:iCs w:val="1"/>
                <w:color w:val="auto"/>
                <w:w w:val="92"/>
              </w:rPr>
              <w:t>Level 3</w:t>
            </w:r>
            <w:r>
              <w:rPr>
                <w:rFonts w:ascii="Arial" w:cs="Arial" w:eastAsia="Arial" w:hAnsi="Arial"/>
                <w:sz w:val="18"/>
                <w:szCs w:val="18"/>
                <w:color w:val="auto"/>
                <w:w w:val="92"/>
              </w:rPr>
              <w:t xml:space="preserve"> assets still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(40,255,417)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 – $245,700,000)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Period Ended December 31, 2008*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8,676,247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25,751,381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increase (decrease) in net assets per share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ind w:left="4600"/>
              <w:spacing w:after="0"/>
              <w:rPr>
                <w:sz w:val="20"/>
                <w:szCs w:val="20"/>
                <w:color w:val="auto"/>
              </w:rPr>
            </w:pPr>
            <w:r>
              <w:rPr>
                <w:rFonts w:ascii="Arial" w:cs="Arial" w:eastAsia="Arial" w:hAnsi="Arial"/>
                <w:sz w:val="18"/>
                <w:szCs w:val="18"/>
                <w:color w:val="auto"/>
              </w:rPr>
              <w:t>F-52</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2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25,808,772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306,148,322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215,711,031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224,010,870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164,316,304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540" w:firstLine="8"/>
        <w:spacing w:after="0" w:line="286" w:lineRule="auto"/>
        <w:tabs>
          <w:tab w:leader="none" w:pos="4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180" w:hanging="452"/>
        <w:spacing w:after="0" w:line="300" w:lineRule="auto"/>
        <w:tabs>
          <w:tab w:leader="none" w:pos="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180" w:hanging="452"/>
        <w:spacing w:after="0" w:line="261"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4600"/>
        <w:spacing w:after="0"/>
        <w:rPr>
          <w:sz w:val="20"/>
          <w:szCs w:val="20"/>
          <w:color w:val="auto"/>
        </w:rPr>
      </w:pPr>
      <w:r>
        <w:rPr>
          <w:rFonts w:ascii="Arial" w:cs="Arial" w:eastAsia="Arial" w:hAnsi="Arial"/>
          <w:sz w:val="32"/>
          <w:szCs w:val="32"/>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260985</wp:posOffset>
            </wp:positionV>
            <wp:extent cx="2470150" cy="523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700"/>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Preliminary</w:t>
      </w:r>
    </w:p>
    <w:p>
      <w:pPr>
        <w:spacing w:after="0" w:line="59"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40"/>
        <w:spacing w:after="0"/>
        <w:rPr>
          <w:sz w:val="20"/>
          <w:szCs w:val="20"/>
          <w:color w:val="auto"/>
        </w:rPr>
      </w:pPr>
      <w:r>
        <w:rPr>
          <w:rFonts w:ascii="Arial" w:cs="Arial" w:eastAsia="Arial" w:hAnsi="Arial"/>
          <w:sz w:val="24"/>
          <w:szCs w:val="24"/>
          <w:b w:val="1"/>
          <w:bCs w:val="1"/>
          <w:color w:val="auto"/>
        </w:rPr>
        <w:t>Joint-bookrunners</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J.P. Morgan</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Baird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Stifel Nicolaus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SunTrust Robinson Humphrey</w:t>
      </w:r>
    </w:p>
    <w:p>
      <w:pPr>
        <w:spacing w:after="0" w:line="140"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auto"/>
        </w:rPr>
        <w:t>Co-managers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24"/>
          <w:szCs w:val="24"/>
          <w:b w:val="1"/>
          <w:bCs w:val="1"/>
          <w:color w:val="auto"/>
        </w:rPr>
        <w:t>BMO Capital Markets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FBR Capital Markets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Janney Montgomery Scott</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Keefe, Bruyette &amp; Woods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2010</w:t>
      </w:r>
    </w:p>
    <w:sectPr>
      <w:pgSz w:w="11900" w:h="16838" w:orient="portrait"/>
      <w:cols w:equalWidth="0" w:num="1">
        <w:col w:w="10219"/>
      </w:cols>
      <w:pgMar w:left="24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1)"/>
      <w:numFmt w:val="decimal"/>
      <w:start w:val="7"/>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3"/>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7"/>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3"/>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lvl w:ilvl="1">
      <w:lvlJc w:val="left"/>
      <w:lvlText w:val="="/>
      <w:numFmt w:val="bullet"/>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1)"/>
      <w:numFmt w:val="decimal"/>
      <w:start w:val="1"/>
    </w:lvl>
    <w:lvl w:ilvl="1">
      <w:lvlJc w:val="left"/>
      <w:lvlText w:val="(%2)"/>
      <w:numFmt w:val="lowerLetter"/>
      <w:start w:val="1"/>
    </w:lvl>
  </w:abstractNum>
  <w:abstractNum w:abstractNumId="87">
    <w:nsid w:val="5F3534A4"/>
    <w:multiLevelType w:val="hybridMultilevel"/>
    <w:lvl w:ilvl="0">
      <w:lvlJc w:val="left"/>
      <w:lvlText w:val="(%1)"/>
      <w:numFmt w:val="decimal"/>
      <w:start w:val="4"/>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3"/>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Roman"/>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lowerLetter"/>
      <w:start w:val="3"/>
    </w:lvl>
  </w:abstractNum>
  <w:abstractNum w:abstractNumId="109">
    <w:nsid w:val="7C58FD05"/>
    <w:multiLevelType w:val="hybridMultilevel"/>
    <w:lvl w:ilvl="0">
      <w:lvlJc w:val="left"/>
      <w:lvlText w:val="(%1)"/>
      <w:numFmt w:val="lowerLetter"/>
      <w:start w:val="4"/>
    </w:lvl>
  </w:abstractNum>
  <w:abstractNum w:abstractNumId="110">
    <w:nsid w:val="23D86AAC"/>
    <w:multiLevelType w:val="hybridMultilevel"/>
    <w:lvl w:ilvl="0">
      <w:lvlJc w:val="left"/>
      <w:lvlText w:val="(%1)"/>
      <w:numFmt w:val="lowerLetter"/>
      <w:start w:val="5"/>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2019-12-11T04:45:10Z</dcterms:created>
  <dcterms:modified xsi:type="dcterms:W3CDTF">2019-12-11T04:45:10Z</dcterms:modified>
</cp:coreProperties>
</file>