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25"/>
          <w:szCs w:val="25"/>
          <w:color w:val="auto"/>
        </w:rPr>
        <w:t>_____________________</w:t>
      </w:r>
    </w:p>
    <w:p>
      <w:pPr>
        <w:spacing w:after="0" w:line="19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4"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25"/>
          <w:szCs w:val="25"/>
          <w:color w:val="auto"/>
        </w:rPr>
        <w:t>_____________________</w:t>
      </w:r>
    </w:p>
    <w:p>
      <w:pPr>
        <w:spacing w:after="0" w:line="18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1"/>
          <w:szCs w:val="21"/>
          <w:b w:val="1"/>
          <w:bCs w:val="1"/>
          <w:color w:val="auto"/>
        </w:rPr>
        <w:t>Pursuant to Section 13 or 15(d) of the Securities Exchange Act of 1934</w:t>
      </w:r>
    </w:p>
    <w:p>
      <w:pPr>
        <w:spacing w:after="0" w:line="2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Date of Report (Date of earliest event Reported): July 6, 2022</w:t>
      </w:r>
    </w:p>
    <w:p>
      <w:pPr>
        <w:spacing w:after="0" w:line="21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PennantPark Investment Corporation</w:t>
      </w:r>
    </w:p>
    <w:p>
      <w:pPr>
        <w:spacing w:after="0" w:line="2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ectPr>
          <w:pgSz w:w="11900" w:h="16838" w:orient="portrait"/>
          <w:cols w:equalWidth="0" w:num="1">
            <w:col w:w="11100"/>
          </w:cols>
          <w:pgMar w:left="320" w:top="718" w:right="479" w:bottom="1440" w:gutter="0" w:footer="0" w:header="0"/>
        </w:sectPr>
      </w:pPr>
    </w:p>
    <w:p>
      <w:pPr>
        <w:spacing w:after="0" w:line="20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814-00736</w:t>
      </w:r>
    </w:p>
    <w:p>
      <w:pPr>
        <w:spacing w:after="0" w:line="31"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20-8250744</w:t>
      </w:r>
    </w:p>
    <w:p>
      <w:pPr>
        <w:spacing w:after="0" w:line="31"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17"/>
          <w:szCs w:val="17"/>
          <w:color w:val="auto"/>
        </w:rPr>
        <w:t>(I.R.S. Employer Identification Number)</w:t>
      </w:r>
    </w:p>
    <w:p>
      <w:pPr>
        <w:spacing w:after="0" w:line="211" w:lineRule="exact"/>
        <w:rPr>
          <w:sz w:val="24"/>
          <w:szCs w:val="24"/>
          <w:color w:val="auto"/>
        </w:rPr>
      </w:pPr>
    </w:p>
    <w:p>
      <w:pPr>
        <w:sectPr>
          <w:pgSz w:w="11900" w:h="16838" w:orient="portrait"/>
          <w:cols w:equalWidth="0" w:num="3">
            <w:col w:w="3920" w:space="720"/>
            <w:col w:w="2560" w:space="720"/>
            <w:col w:w="3180"/>
          </w:cols>
          <w:pgMar w:left="320" w:top="718" w:right="47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1691 Michigan Avenue, Miami Beach, Florida 33139</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0" w:lineRule="exact"/>
        <w:rPr>
          <w:sz w:val="24"/>
          <w:szCs w:val="24"/>
          <w:color w:val="auto"/>
        </w:rPr>
      </w:pPr>
    </w:p>
    <w:p>
      <w:pPr>
        <w:spacing w:after="0" w:line="21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212-905-1000</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Soliciting material pursuant to Rule 14a-12 under the Exchange Act (17 CFR 240.14a-12)</w:t>
            </w:r>
          </w:p>
        </w:tc>
      </w:tr>
      <w:tr>
        <w:trPr>
          <w:trHeight w:val="234"/>
        </w:trPr>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6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Pre-commencement communications pursuant to Rule 14d-2(b) under the Exchange Act (17 CFR 240.14d-2(b))</w:t>
            </w:r>
          </w:p>
        </w:tc>
      </w:tr>
    </w:tbl>
    <w:p>
      <w:pPr>
        <w:ind w:right="2140" w:firstLine="291"/>
        <w:spacing w:after="0" w:line="503" w:lineRule="auto"/>
        <w:tabs>
          <w:tab w:leader="none" w:pos="478"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Pre-commencement communications pursuant to Rule 13e-4(c) under the Exchange Act (17 CFR 240.13e-4(c)) Securities registered pursuant to Section 12(b) of the Act:</w:t>
      </w:r>
    </w:p>
    <w:p>
      <w:pPr>
        <w:sectPr>
          <w:pgSz w:w="11900" w:h="16838" w:orient="portrait"/>
          <w:cols w:equalWidth="0" w:num="1">
            <w:col w:w="11100"/>
          </w:cols>
          <w:pgMar w:left="320" w:top="718" w:right="479" w:bottom="1440" w:gutter="0" w:footer="0" w:header="0"/>
          <w:type w:val="continuous"/>
        </w:sectPr>
      </w:pPr>
    </w:p>
    <w:p>
      <w:pPr>
        <w:spacing w:after="0" w:line="1" w:lineRule="exact"/>
        <w:rPr>
          <w:sz w:val="24"/>
          <w:szCs w:val="24"/>
          <w:color w:val="auto"/>
        </w:rPr>
      </w:pPr>
    </w:p>
    <w:p>
      <w:pPr>
        <w:jc w:val="center"/>
        <w:ind w:left="34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31" w:lineRule="exact"/>
        <w:rPr>
          <w:sz w:val="24"/>
          <w:szCs w:val="24"/>
          <w:color w:val="auto"/>
        </w:rPr>
      </w:pPr>
    </w:p>
    <w:p>
      <w:pPr>
        <w:jc w:val="center"/>
        <w:ind w:left="340"/>
        <w:spacing w:after="0"/>
        <w:rPr>
          <w:sz w:val="20"/>
          <w:szCs w:val="20"/>
          <w:color w:val="auto"/>
        </w:rPr>
      </w:pPr>
      <w:r>
        <w:rPr>
          <w:rFonts w:ascii="Times New Roman" w:cs="Times New Roman" w:eastAsia="Times New Roman" w:hAnsi="Times New Roman"/>
          <w:sz w:val="17"/>
          <w:szCs w:val="17"/>
          <w:color w:val="auto"/>
        </w:rPr>
        <w:t>Common Stock, par value $0.001 per share</w:t>
      </w:r>
    </w:p>
    <w:p>
      <w:pPr>
        <w:spacing w:after="0" w:line="20" w:lineRule="exact"/>
        <w:rPr>
          <w:sz w:val="24"/>
          <w:szCs w:val="24"/>
          <w:color w:val="auto"/>
        </w:rPr>
      </w:pPr>
      <w:r>
        <w:rPr>
          <w:sz w:val="24"/>
          <w:szCs w:val="24"/>
          <w:color w:val="auto"/>
        </w:rPr>
        <w:br w:type="column"/>
      </w:r>
    </w:p>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43"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PNNT</w:t>
      </w:r>
    </w:p>
    <w:p>
      <w:pPr>
        <w:spacing w:after="0" w:line="20" w:lineRule="exact"/>
        <w:rPr>
          <w:sz w:val="24"/>
          <w:szCs w:val="24"/>
          <w:color w:val="auto"/>
        </w:rPr>
      </w:pPr>
      <w:r>
        <w:rPr>
          <w:sz w:val="24"/>
          <w:szCs w:val="24"/>
          <w:color w:val="auto"/>
        </w:rPr>
        <w:br w:type="column"/>
      </w:r>
    </w:p>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43"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The New York Stock Exchange</w:t>
      </w:r>
    </w:p>
    <w:p>
      <w:pPr>
        <w:spacing w:after="0" w:line="200" w:lineRule="exact"/>
        <w:rPr>
          <w:sz w:val="24"/>
          <w:szCs w:val="24"/>
          <w:color w:val="auto"/>
        </w:rPr>
      </w:pPr>
    </w:p>
    <w:p>
      <w:pPr>
        <w:sectPr>
          <w:pgSz w:w="11900" w:h="16838" w:orient="portrait"/>
          <w:cols w:equalWidth="0" w:num="3">
            <w:col w:w="4300" w:space="720"/>
            <w:col w:w="1560" w:space="720"/>
            <w:col w:w="3800"/>
          </w:cols>
          <w:pgMar w:left="320" w:top="718" w:right="479" w:bottom="1440" w:gutter="0" w:footer="0" w:header="0"/>
          <w:type w:val="continuous"/>
        </w:sectPr>
      </w:pPr>
    </w:p>
    <w:p>
      <w:pPr>
        <w:spacing w:after="0" w:line="34"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62"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249555</wp:posOffset>
            </wp:positionV>
            <wp:extent cx="71361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00"/>
          </w:cols>
          <w:pgMar w:left="320" w:top="718" w:right="4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On July 6, 2022, PennantPark Investment Corporation issued a press release announcing its scheduled earnings release for the third fiscal quarter ended June 30, 2022. A copy of the press release is furnished as Exhibit 99.1 to this report, pursuant to Item 7.01 and Regulation FD.</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in this Current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Current Report on Form 8-K shall not be deemed incorporated by reference in any filing under the Securities Act of 1933, as amended, or under the Exchange Act, except as shall be expressly set forth by specific reference in such filing.</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Forward-Looking Statements</w:t>
      </w:r>
    </w:p>
    <w:p>
      <w:pPr>
        <w:spacing w:after="0" w:line="22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ind w:left="600" w:right="9320" w:hanging="592"/>
        <w:spacing w:after="0" w:line="278" w:lineRule="auto"/>
        <w:tabs>
          <w:tab w:leader="none" w:pos="270" w:val="left"/>
        </w:tabs>
        <w:numPr>
          <w:ilvl w:val="0"/>
          <w:numId w:val="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Financial statements: </w:t>
      </w:r>
      <w:r>
        <w:rPr>
          <w:rFonts w:ascii="Times New Roman" w:cs="Times New Roman" w:eastAsia="Times New Roman" w:hAnsi="Times New Roman"/>
          <w:sz w:val="17"/>
          <w:szCs w:val="17"/>
          <w:color w:val="auto"/>
        </w:rPr>
        <w:t>None</w:t>
      </w:r>
    </w:p>
    <w:p>
      <w:pPr>
        <w:spacing w:after="0" w:line="1" w:lineRule="exact"/>
        <w:rPr>
          <w:rFonts w:ascii="Times New Roman" w:cs="Times New Roman" w:eastAsia="Times New Roman" w:hAnsi="Times New Roman"/>
          <w:sz w:val="17"/>
          <w:szCs w:val="17"/>
          <w:b w:val="1"/>
          <w:bCs w:val="1"/>
          <w:color w:val="auto"/>
        </w:rPr>
      </w:pPr>
    </w:p>
    <w:p>
      <w:pPr>
        <w:ind w:left="600" w:right="8420" w:hanging="592"/>
        <w:spacing w:after="0" w:line="250" w:lineRule="auto"/>
        <w:tabs>
          <w:tab w:leader="none" w:pos="2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Pro forma financial information: </w:t>
      </w:r>
      <w:r>
        <w:rPr>
          <w:rFonts w:ascii="Times New Roman" w:cs="Times New Roman" w:eastAsia="Times New Roman" w:hAnsi="Times New Roman"/>
          <w:sz w:val="18"/>
          <w:szCs w:val="18"/>
          <w:color w:val="auto"/>
        </w:rPr>
        <w:t>None</w:t>
      </w:r>
    </w:p>
    <w:p>
      <w:pPr>
        <w:ind w:left="600" w:right="8800" w:hanging="592"/>
        <w:spacing w:after="0" w:line="250" w:lineRule="auto"/>
        <w:tabs>
          <w:tab w:leader="none" w:pos="2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Shell company transactions: </w:t>
      </w:r>
      <w:r>
        <w:rPr>
          <w:rFonts w:ascii="Times New Roman" w:cs="Times New Roman" w:eastAsia="Times New Roman" w:hAnsi="Times New Roman"/>
          <w:sz w:val="18"/>
          <w:szCs w:val="18"/>
          <w:color w:val="auto"/>
        </w:rPr>
        <w:t>None</w:t>
      </w:r>
    </w:p>
    <w:p>
      <w:pPr>
        <w:ind w:left="280" w:hanging="272"/>
        <w:spacing w:after="0"/>
        <w:tabs>
          <w:tab w:leader="none" w:pos="2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9" w:lineRule="exact"/>
        <w:rPr>
          <w:sz w:val="20"/>
          <w:szCs w:val="20"/>
          <w:color w:val="auto"/>
        </w:rPr>
      </w:pPr>
    </w:p>
    <w:p>
      <w:pPr>
        <w:ind w:left="600"/>
        <w:spacing w:after="0"/>
        <w:tabs>
          <w:tab w:leader="none" w:pos="11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Press Release of PennantPark Investment Corporation dated July 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Exchange Act,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0" w:type="dxa"/>
            <w:vAlign w:val="bottom"/>
          </w:tcPr>
          <w:p>
            <w:pPr>
              <w:spacing w:after="0"/>
              <w:rPr>
                <w:sz w:val="20"/>
                <w:szCs w:val="20"/>
                <w:color w:val="auto"/>
              </w:rPr>
            </w:pPr>
          </w:p>
        </w:tc>
        <w:tc>
          <w:tcPr>
            <w:tcW w:w="7840" w:type="dxa"/>
            <w:vAlign w:val="bottom"/>
            <w:gridSpan w:val="3"/>
          </w:tcPr>
          <w:p>
            <w:pPr>
              <w:ind w:left="2060"/>
              <w:spacing w:after="0"/>
              <w:rPr>
                <w:sz w:val="20"/>
                <w:szCs w:val="20"/>
                <w:color w:val="auto"/>
              </w:rPr>
            </w:pPr>
            <w:r>
              <w:rPr>
                <w:rFonts w:ascii="Times New Roman" w:cs="Times New Roman" w:eastAsia="Times New Roman" w:hAnsi="Times New Roman"/>
                <w:sz w:val="18"/>
                <w:szCs w:val="18"/>
                <w:b w:val="1"/>
                <w:bCs w:val="1"/>
                <w:color w:val="auto"/>
              </w:rPr>
              <w:t>PennantPark Investment Corporation</w:t>
            </w:r>
          </w:p>
        </w:tc>
      </w:tr>
      <w:tr>
        <w:trPr>
          <w:trHeight w:val="608"/>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Date: July 6, 2022</w:t>
            </w:r>
          </w:p>
        </w:tc>
        <w:tc>
          <w:tcPr>
            <w:tcW w:w="7840" w:type="dxa"/>
            <w:vAlign w:val="bottom"/>
            <w:gridSpan w:val="3"/>
          </w:tcPr>
          <w:p>
            <w:pPr>
              <w:ind w:left="2060"/>
              <w:spacing w:after="0"/>
              <w:rPr>
                <w:sz w:val="20"/>
                <w:szCs w:val="20"/>
                <w:color w:val="auto"/>
              </w:rPr>
            </w:pPr>
            <w:r>
              <w:rPr>
                <w:rFonts w:ascii="Times New Roman" w:cs="Times New Roman" w:eastAsia="Times New Roman" w:hAnsi="Times New Roman"/>
                <w:sz w:val="18"/>
                <w:szCs w:val="18"/>
                <w:color w:val="auto"/>
              </w:rPr>
              <w:t>By: /s/ Richard T. Allorto, Jr.</w:t>
            </w:r>
          </w:p>
        </w:tc>
      </w:tr>
      <w:tr>
        <w:trPr>
          <w:trHeight w:val="218"/>
        </w:trPr>
        <w:tc>
          <w:tcPr>
            <w:tcW w:w="34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Richard T. Allorto, Jr.</w:t>
            </w:r>
          </w:p>
        </w:tc>
        <w:tc>
          <w:tcPr>
            <w:tcW w:w="3320" w:type="dxa"/>
            <w:vAlign w:val="bottom"/>
          </w:tcPr>
          <w:p>
            <w:pPr>
              <w:spacing w:after="0"/>
              <w:rPr>
                <w:sz w:val="18"/>
                <w:szCs w:val="18"/>
                <w:color w:val="auto"/>
              </w:rPr>
            </w:pPr>
          </w:p>
        </w:tc>
      </w:tr>
      <w:tr>
        <w:trPr>
          <w:trHeight w:val="234"/>
        </w:trPr>
        <w:tc>
          <w:tcPr>
            <w:tcW w:w="34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&amp; Treasurer</w:t>
            </w:r>
          </w:p>
        </w:tc>
      </w:tr>
      <w:tr>
        <w:trPr>
          <w:trHeight w:val="442"/>
        </w:trPr>
        <w:tc>
          <w:tcPr>
            <w:tcW w:w="3400" w:type="dxa"/>
            <w:vAlign w:val="bottom"/>
            <w:tcBorders>
              <w:bottom w:val="single" w:sz="8" w:color="808080"/>
            </w:tcBorders>
          </w:tcPr>
          <w:p>
            <w:pPr>
              <w:spacing w:after="0"/>
              <w:rPr>
                <w:sz w:val="24"/>
                <w:szCs w:val="24"/>
                <w:color w:val="auto"/>
              </w:rPr>
            </w:pPr>
          </w:p>
        </w:tc>
        <w:tc>
          <w:tcPr>
            <w:tcW w:w="2380" w:type="dxa"/>
            <w:vAlign w:val="bottom"/>
            <w:tcBorders>
              <w:bottom w:val="single" w:sz="8" w:color="808080"/>
            </w:tcBorders>
          </w:tcPr>
          <w:p>
            <w:pPr>
              <w:spacing w:after="0"/>
              <w:rPr>
                <w:sz w:val="24"/>
                <w:szCs w:val="24"/>
                <w:color w:val="auto"/>
              </w:rPr>
            </w:pPr>
          </w:p>
        </w:tc>
        <w:tc>
          <w:tcPr>
            <w:tcW w:w="2140" w:type="dxa"/>
            <w:vAlign w:val="bottom"/>
            <w:tcBorders>
              <w:bottom w:val="single" w:sz="8" w:color="808080"/>
            </w:tcBorders>
          </w:tcPr>
          <w:p>
            <w:pPr>
              <w:spacing w:after="0"/>
              <w:rPr>
                <w:sz w:val="24"/>
                <w:szCs w:val="24"/>
                <w:color w:val="auto"/>
              </w:rPr>
            </w:pPr>
          </w:p>
        </w:tc>
        <w:tc>
          <w:tcPr>
            <w:tcW w:w="33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ind w:left="490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u w:val="single" w:color="auto"/>
          <w:color w:val="auto"/>
        </w:rPr>
        <w:t>Exhibit No.</w:t>
        <w:tab/>
        <w:t>Description</w:t>
      </w:r>
    </w:p>
    <w:p>
      <w:pPr>
        <w:spacing w:after="0" w:line="31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8"/>
          <w:szCs w:val="18"/>
          <w:u w:val="single" w:color="auto"/>
          <w:color w:val="0000EE"/>
        </w:rPr>
        <w:t>Press Release of PennantPark Investment Corporation dated July 6, 2022</w:t>
      </w:r>
    </w:p>
    <w:p>
      <w:pPr>
        <w:sectPr>
          <w:pgSz w:w="11900" w:h="16838" w:orient="portrait"/>
          <w:cols w:equalWidth="0" w:num="1">
            <w:col w:w="10119"/>
          </w:cols>
          <w:pgMar w:left="340" w:top="333" w:right="1440"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5875" cy="3086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587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PennantPark Investment Corporation Schedules Earnings Release of Third Fiscal Quarter 2022 Results</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MIAMI, July 06, 2022 (GLOBE NEWSWIRE) -- PennantPark Investment Corporation (the "Company") (NYSE: PNNT) announced that it will report results for the third fiscal quarter ended June 30, 2022 on Wednesday, August 3, 2022 after the close of the financial markets.</w:t>
      </w:r>
    </w:p>
    <w:p>
      <w:pPr>
        <w:spacing w:after="0" w:line="17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Company will also host a conference call at 12:00 p.m. (Eastern Time) on Thursday, August 4, 2022 to discuss its financial results. All interested parties are welcome to participate. You can access the conference call by dialing toll-free (800) 289-0720 approximately 5-10 minutes prior to the call. International callers should dial (646) 828-8073. All callers should reference conference ID #9289526 or PennantPark Investment Corporation. An archived replay of the call will be available through August 18, 2022, by calling toll-free (888) 203-1112. International callers please dial (719) 457-0820. For all phone replays, please reference conference ID #9289526.</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INVESTMENT CORPORATION</w:t>
      </w:r>
    </w:p>
    <w:p>
      <w:pPr>
        <w:spacing w:after="0" w:line="206"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PennantPark Investment Corporation is a business development company which principally invests in U.S. middle-market private companies in the form of first lien secured debt, second lien secured debt, subordinated debt and equity investments. PennantPark Investment Corporation is managed by PennantPark Investment Advisers, LLC.</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INVESTMENT ADVISERS, LLC</w:t>
      </w:r>
    </w:p>
    <w:p>
      <w:pPr>
        <w:spacing w:after="0" w:line="20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PennantPark Investment Advisers, LLC is a leading middle market credit platform, managing $6.0 billion of investable capital, including potential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Miami and has offices in Chicago, Houston, New York and Los Angeles.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FORWARD-LOOKING STATEMENTS</w:t>
      </w:r>
    </w:p>
    <w:p>
      <w:pPr>
        <w:spacing w:after="0" w:line="206" w:lineRule="exact"/>
        <w:rPr>
          <w:sz w:val="20"/>
          <w:szCs w:val="20"/>
          <w:color w:val="auto"/>
        </w:rPr>
      </w:pPr>
    </w:p>
    <w:p>
      <w:pPr>
        <w:ind w:right="60"/>
        <w:spacing w:after="0" w:line="235" w:lineRule="auto"/>
        <w:rPr>
          <w:sz w:val="20"/>
          <w:szCs w:val="20"/>
          <w:color w:val="auto"/>
        </w:rPr>
      </w:pPr>
      <w:r>
        <w:rPr>
          <w:rFonts w:ascii="Times New Roman" w:cs="Times New Roman" w:eastAsia="Times New Roman" w:hAnsi="Times New Roman"/>
          <w:sz w:val="22"/>
          <w:szCs w:val="22"/>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CONTACT: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Richard T. Allorto, Jr.</w:t>
      </w:r>
    </w:p>
    <w:p>
      <w:pPr>
        <w:spacing w:after="0" w:line="230" w:lineRule="auto"/>
        <w:rPr>
          <w:sz w:val="20"/>
          <w:szCs w:val="20"/>
          <w:color w:val="auto"/>
        </w:rPr>
      </w:pPr>
      <w:r>
        <w:rPr>
          <w:rFonts w:ascii="Times New Roman" w:cs="Times New Roman" w:eastAsia="Times New Roman" w:hAnsi="Times New Roman"/>
          <w:sz w:val="22"/>
          <w:szCs w:val="22"/>
          <w:color w:val="auto"/>
        </w:rPr>
        <w:t>PennantPark Investment Corporation</w:t>
      </w:r>
    </w:p>
    <w:p>
      <w:pPr>
        <w:spacing w:after="0" w:line="1" w:lineRule="exact"/>
        <w:rPr>
          <w:sz w:val="20"/>
          <w:szCs w:val="20"/>
          <w:color w:val="auto"/>
        </w:rPr>
      </w:pPr>
    </w:p>
    <w:p>
      <w:pPr>
        <w:ind w:right="9240" w:firstLine="8"/>
        <w:spacing w:after="0" w:line="258" w:lineRule="auto"/>
        <w:tabs>
          <w:tab w:leader="none" w:pos="522"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905-1000 www.pennantpark.com</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2022-07-07T05:15:41Z</dcterms:created>
  <dcterms:modified xsi:type="dcterms:W3CDTF">2022-07-07T05:15:41Z</dcterms:modified>
</cp:coreProperties>
</file>