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ind w:left="324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4204970</wp:posOffset>
            </wp:positionH>
            <wp:positionV relativeFrom="paragraph">
              <wp:posOffset>-7620</wp:posOffset>
            </wp:positionV>
            <wp:extent cx="342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w:t>
            </w:r>
          </w:p>
        </w:tc>
        <w:tc>
          <w:tcPr>
            <w:tcW w:w="20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41"/>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(212)-905-1000</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10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6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616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20" w:type="dxa"/>
            <w:vAlign w:val="bottom"/>
          </w:tcPr>
          <w:p>
            <w:pPr>
              <w:ind w:left="1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7720" w:type="dxa"/>
            <w:vAlign w:val="bottom"/>
            <w:gridSpan w:val="2"/>
          </w:tcPr>
          <w:p>
            <w:pPr>
              <w:ind w:left="56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1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400" w:type="dxa"/>
            <w:vAlign w:val="bottom"/>
          </w:tcPr>
          <w:p>
            <w:pPr>
              <w:spacing w:after="0"/>
              <w:rPr>
                <w:sz w:val="24"/>
                <w:szCs w:val="24"/>
                <w:color w:val="auto"/>
              </w:rPr>
            </w:pPr>
          </w:p>
        </w:tc>
      </w:tr>
      <w:tr>
        <w:trPr>
          <w:trHeight w:val="335"/>
        </w:trPr>
        <w:tc>
          <w:tcPr>
            <w:tcW w:w="7720" w:type="dxa"/>
            <w:vAlign w:val="bottom"/>
            <w:gridSpan w:val="2"/>
          </w:tcPr>
          <w:p>
            <w:pPr>
              <w:ind w:left="560"/>
              <w:spacing w:after="0"/>
              <w:rPr>
                <w:sz w:val="20"/>
                <w:szCs w:val="20"/>
                <w:color w:val="auto"/>
              </w:rPr>
            </w:pPr>
            <w:r>
              <w:rPr>
                <w:rFonts w:ascii="Arial" w:cs="Arial" w:eastAsia="Arial" w:hAnsi="Arial"/>
                <w:sz w:val="14"/>
                <w:szCs w:val="14"/>
                <w:color w:val="auto"/>
                <w:w w:val="94"/>
              </w:rPr>
              <w:t>The number of shares of the issuer’s common stock, $0.001 par value, outstanding as of August 5, 2014 was 66,592,911.</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3"/>
        </w:trPr>
        <w:tc>
          <w:tcPr>
            <w:tcW w:w="15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w:t>
      </w:r>
    </w:p>
    <w:p>
      <w:pPr>
        <w:jc w:val="center"/>
        <w:ind w:right="-79"/>
        <w:spacing w:after="0" w:line="221" w:lineRule="auto"/>
        <w:rPr>
          <w:sz w:val="20"/>
          <w:szCs w:val="20"/>
          <w:color w:val="auto"/>
        </w:rPr>
      </w:pPr>
      <w:r>
        <w:rPr>
          <w:rFonts w:ascii="Arial" w:cs="Arial" w:eastAsia="Arial" w:hAnsi="Arial"/>
          <w:sz w:val="14"/>
          <w:szCs w:val="14"/>
          <w:b w:val="1"/>
          <w:bCs w:val="1"/>
          <w:color w:val="auto"/>
        </w:rPr>
        <w:t>FOR THE QUARTER ENDED JUNE 30, 2014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2014 (unaudited) and September 30, 2013</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2014 and 2013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2014 and 2013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4"/>
        </w:trPr>
        <w:tc>
          <w:tcPr>
            <w:tcW w:w="91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2014 and 2013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2014 (unaudited) and September 30, 2013</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28">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9"/>
              </w:rPr>
              <w:t>June 30, 2014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September 30, 2013</w:t>
            </w:r>
          </w:p>
        </w:tc>
      </w:tr>
      <w:tr>
        <w:trPr>
          <w:trHeight w:val="153"/>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6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Non-controlled, non-affiliated investments (cost—$1,028,125,032 and $928,078,589, respectively)</w:t>
            </w:r>
          </w:p>
        </w:tc>
        <w:tc>
          <w:tcPr>
            <w:tcW w:w="12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1,089,476,729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968,471,042</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120"/>
              <w:spacing w:after="0" w:line="149" w:lineRule="exact"/>
              <w:rPr>
                <w:sz w:val="20"/>
                <w:szCs w:val="20"/>
                <w:color w:val="auto"/>
              </w:rPr>
            </w:pPr>
            <w:r>
              <w:rPr>
                <w:rFonts w:ascii="Arial" w:cs="Arial" w:eastAsia="Arial" w:hAnsi="Arial"/>
                <w:sz w:val="14"/>
                <w:szCs w:val="14"/>
                <w:color w:val="auto"/>
              </w:rPr>
              <w:t>Non-controlled, affiliated investments (cost—$108,188,540 and $99,021,141, respectively)</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71,939,735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76,735,800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Controlled, affiliated investments (cost—$38,107,245 and $64,418,155, respectively)</w:t>
            </w:r>
          </w:p>
        </w:tc>
        <w:tc>
          <w:tcPr>
            <w:tcW w:w="10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36,991,091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32,968,711</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120"/>
              <w:spacing w:after="0" w:line="155" w:lineRule="exact"/>
              <w:rPr>
                <w:sz w:val="20"/>
                <w:szCs w:val="20"/>
                <w:color w:val="auto"/>
              </w:rPr>
            </w:pPr>
            <w:r>
              <w:rPr>
                <w:rFonts w:ascii="Arial" w:cs="Arial" w:eastAsia="Arial" w:hAnsi="Arial"/>
                <w:sz w:val="14"/>
                <w:szCs w:val="14"/>
                <w:color w:val="auto"/>
              </w:rPr>
              <w:t>Total of investments (cost—$1,174,420,817 and $1,091,517,885, respectively)</w:t>
            </w: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1,198,407,555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1,078,175,553</w:t>
            </w: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(cost—$64,349,609 and $58,440,829, respectively) (See Note 8)</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64,390,787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14,000,558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10,894,893</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10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13,375,704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5,815,817</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84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1,290,174,604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18,639,330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18,619,812</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52,544,704</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20,396,263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7,241,667</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(cost—$255,898,700 and $145,500,000, respectively) (See Notes 5 and 10)</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257,187,294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145,500,000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SBA debentures payable (cost—$150,000,000) (See Notes 5 and 10)</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(cost—$71,250,000) (See Notes 5 and 10)</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72,532,500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68,400,000</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6,131,963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5,419,557</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5,370,391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4,274,881</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3,033,648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1,810,466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0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2,410,422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2,009,806</w:t>
            </w: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535,701,811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455,820,893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6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66,569,036 and 66,499,327 shares issued and outstanding, respectively.</w:t>
            </w: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Par value $0.001 per share and 100,000,000 shares authorized.</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66,499</w:t>
            </w:r>
          </w:p>
        </w:tc>
        <w:tc>
          <w:tcPr>
            <w:tcW w:w="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756,809,951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756,017,096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(9,406,519)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(4,675,217)</w:t>
            </w: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(14,454,032)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(43,409,847)</w:t>
            </w: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24,027,916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(13,342,332)</w:t>
            </w: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Net unrealized (appreciation) depreciation on debt</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(2,571,092)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2,850,000</w:t>
            </w:r>
          </w:p>
        </w:tc>
        <w:tc>
          <w:tcPr>
            <w:tcW w:w="1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net assets</w:t>
            </w:r>
          </w:p>
        </w:tc>
        <w:tc>
          <w:tcPr>
            <w:tcW w:w="12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754,472,793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684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1,290,174,604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240" w:type="dxa"/>
            <w:vAlign w:val="bottom"/>
            <w:gridSpan w:val="2"/>
            <w:shd w:val="clear" w:color="auto" w:fill="CCEEFF"/>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w w:val="92"/>
              </w:rPr>
              <w:t>Three Months Ended June 30,</w:t>
            </w:r>
          </w:p>
        </w:tc>
        <w:tc>
          <w:tcPr>
            <w:tcW w:w="180" w:type="dxa"/>
            <w:vAlign w:val="bottom"/>
          </w:tcPr>
          <w:p>
            <w:pPr>
              <w:spacing w:after="0"/>
              <w:rPr>
                <w:sz w:val="13"/>
                <w:szCs w:val="13"/>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6"/>
              </w:rPr>
              <w:t>Nine Months Ended June 30,</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 from:</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Non-controlled, non-affiliated investments: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29,949,064</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26,693,069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90,772,466</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80,520,256</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1,463,884</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3,941,167</w:t>
            </w: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6,314,911</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9,184,121</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Non-controlled, affiliated investments: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1,456,621</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2,140,854</w:t>
            </w: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4,174,234</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4,471,618</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227,800</w:t>
            </w:r>
          </w:p>
        </w:tc>
        <w:tc>
          <w:tcPr>
            <w:tcW w:w="0" w:type="dxa"/>
            <w:vAlign w:val="bottom"/>
          </w:tcPr>
          <w:p>
            <w:pPr>
              <w:spacing w:after="0"/>
              <w:rPr>
                <w:sz w:val="1"/>
                <w:szCs w:val="1"/>
                <w:color w:val="auto"/>
              </w:rPr>
            </w:pPr>
          </w:p>
        </w:tc>
      </w:tr>
      <w:tr>
        <w:trPr>
          <w:trHeight w:val="148"/>
        </w:trPr>
        <w:tc>
          <w:tcPr>
            <w:tcW w:w="6440" w:type="dxa"/>
            <w:vAlign w:val="bottom"/>
          </w:tcPr>
          <w:p>
            <w:pPr>
              <w:spacing w:after="0" w:line="149" w:lineRule="exact"/>
              <w:rPr>
                <w:sz w:val="20"/>
                <w:szCs w:val="20"/>
                <w:color w:val="auto"/>
              </w:rPr>
            </w:pPr>
            <w:r>
              <w:rPr>
                <w:rFonts w:ascii="Arial" w:cs="Arial" w:eastAsia="Arial" w:hAnsi="Arial"/>
                <w:sz w:val="14"/>
                <w:szCs w:val="14"/>
                <w:color w:val="auto"/>
              </w:rPr>
              <w:t>Controlled, affiliated investments: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2,447,354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949,583</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6,071,987</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3,336,040</w:t>
            </w:r>
          </w:p>
        </w:tc>
        <w:tc>
          <w:tcPr>
            <w:tcW w:w="0" w:type="dxa"/>
            <w:vAlign w:val="bottom"/>
          </w:tcPr>
          <w:p>
            <w:pPr>
              <w:spacing w:after="0"/>
              <w:rPr>
                <w:sz w:val="1"/>
                <w:szCs w:val="1"/>
                <w:color w:val="auto"/>
              </w:rPr>
            </w:pPr>
          </w:p>
        </w:tc>
      </w:tr>
      <w:tr>
        <w:trPr>
          <w:trHeight w:val="156"/>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158,333</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459,166</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35,475,256</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33,724,673</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107,792,764</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97,739,835</w:t>
            </w:r>
          </w:p>
        </w:tc>
        <w:tc>
          <w:tcPr>
            <w:tcW w:w="0" w:type="dxa"/>
            <w:vAlign w:val="bottom"/>
          </w:tcPr>
          <w:p>
            <w:pPr>
              <w:spacing w:after="0"/>
              <w:rPr>
                <w:sz w:val="1"/>
                <w:szCs w:val="1"/>
                <w:color w:val="auto"/>
              </w:rPr>
            </w:pPr>
          </w:p>
        </w:tc>
      </w:tr>
      <w:tr>
        <w:trPr>
          <w:trHeight w:val="155"/>
        </w:trPr>
        <w:tc>
          <w:tcPr>
            <w:tcW w:w="64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Base management fee (See Note 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6,131,963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5,412,461</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17,906,316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15,869,172</w:t>
            </w:r>
          </w:p>
        </w:tc>
        <w:tc>
          <w:tcPr>
            <w:tcW w:w="0" w:type="dxa"/>
            <w:vAlign w:val="bottom"/>
          </w:tcPr>
          <w:p>
            <w:pPr>
              <w:spacing w:after="0"/>
              <w:rPr>
                <w:sz w:val="1"/>
                <w:szCs w:val="1"/>
                <w:color w:val="auto"/>
              </w:rPr>
            </w:pPr>
          </w:p>
        </w:tc>
      </w:tr>
      <w:tr>
        <w:trPr>
          <w:trHeight w:val="149"/>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5,370,391</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4,413,711</w:t>
            </w: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14,866,434</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12,518,209</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5,034,567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4,212,450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14,707,313</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11,292,224</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930,809</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1,157,748</w:t>
            </w: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2,771,359</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3,485,607</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929,254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520,970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2,470,350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2,000,919</w:t>
            </w:r>
          </w:p>
        </w:tc>
        <w:tc>
          <w:tcPr>
            <w:tcW w:w="0" w:type="dxa"/>
            <w:vAlign w:val="bottom"/>
          </w:tcPr>
          <w:p>
            <w:pPr>
              <w:spacing w:after="0"/>
              <w:rPr>
                <w:sz w:val="1"/>
                <w:szCs w:val="1"/>
                <w:color w:val="auto"/>
              </w:rPr>
            </w:pPr>
          </w:p>
        </w:tc>
      </w:tr>
      <w:tr>
        <w:trPr>
          <w:trHeight w:val="156"/>
        </w:trPr>
        <w:tc>
          <w:tcPr>
            <w:tcW w:w="64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Expenses before taxes and debt issuance costs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18,396,984</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15,717,340</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52,721,772</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45,166,131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Tax expense (benefit)</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32,000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32,500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40,548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(82,396)</w:t>
            </w:r>
          </w:p>
        </w:tc>
        <w:tc>
          <w:tcPr>
            <w:tcW w:w="0" w:type="dxa"/>
            <w:vAlign w:val="bottom"/>
          </w:tcPr>
          <w:p>
            <w:pPr>
              <w:spacing w:after="0"/>
              <w:rPr>
                <w:sz w:val="1"/>
                <w:szCs w:val="1"/>
                <w:color w:val="auto"/>
              </w:rPr>
            </w:pPr>
          </w:p>
        </w:tc>
      </w:tr>
      <w:tr>
        <w:trPr>
          <w:trHeight w:val="156"/>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Debt issuance costs (See Note 5)</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3,850,000</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320,000</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3,850,000</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2,757,500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Total expenses</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22,278,984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16,069,840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56,612,320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47,841,235</w:t>
            </w:r>
          </w:p>
        </w:tc>
        <w:tc>
          <w:tcPr>
            <w:tcW w:w="0" w:type="dxa"/>
            <w:vAlign w:val="bottom"/>
          </w:tcPr>
          <w:p>
            <w:pPr>
              <w:spacing w:after="0"/>
              <w:rPr>
                <w:sz w:val="1"/>
                <w:szCs w:val="1"/>
                <w:color w:val="auto"/>
              </w:rPr>
            </w:pPr>
          </w:p>
        </w:tc>
      </w:tr>
      <w:tr>
        <w:trPr>
          <w:trHeight w:val="163"/>
        </w:trPr>
        <w:tc>
          <w:tcPr>
            <w:tcW w:w="64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13,196,272</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17,654,833</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51,180,444</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49,898,600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line="149" w:lineRule="exact"/>
              <w:rPr>
                <w:sz w:val="20"/>
                <w:szCs w:val="20"/>
                <w:color w:val="auto"/>
              </w:rPr>
            </w:pPr>
            <w:r>
              <w:rPr>
                <w:rFonts w:ascii="Arial" w:cs="Arial" w:eastAsia="Arial" w:hAnsi="Arial"/>
                <w:sz w:val="14"/>
                <w:szCs w:val="14"/>
                <w:color w:val="auto"/>
              </w:rPr>
              <w:t>Net realized gain on investments</w:t>
            </w:r>
          </w:p>
        </w:tc>
        <w:tc>
          <w:tcPr>
            <w:tcW w:w="2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23,267,131</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15,682,708</w:t>
            </w: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28,955,815</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14,723,076</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Non-controlled, non-affiliated investments</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(8,997,766)</w:t>
            </w:r>
          </w:p>
        </w:tc>
        <w:tc>
          <w:tcPr>
            <w:tcW w:w="2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(23,484,170)</w:t>
            </w:r>
          </w:p>
        </w:tc>
        <w:tc>
          <w:tcPr>
            <w:tcW w:w="18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21,000,422</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8,805,377</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Controlled and non-controlled, affiliated investments</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7,860,989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3,504,661</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16,369,826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(3,580,500)</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Debt (appreciation) depreciation (See Notes 5 and 10)</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(3,377,315)</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427,500</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(5,421,092)</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(4,514,092)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(19,552,009)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31,949,156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4,677,377</w:t>
            </w:r>
          </w:p>
        </w:tc>
        <w:tc>
          <w:tcPr>
            <w:tcW w:w="0" w:type="dxa"/>
            <w:vAlign w:val="bottom"/>
          </w:tcPr>
          <w:p>
            <w:pPr>
              <w:spacing w:after="0"/>
              <w:rPr>
                <w:sz w:val="1"/>
                <w:szCs w:val="1"/>
                <w:color w:val="auto"/>
              </w:rPr>
            </w:pPr>
          </w:p>
        </w:tc>
      </w:tr>
      <w:tr>
        <w:trPr>
          <w:trHeight w:val="163"/>
        </w:trPr>
        <w:tc>
          <w:tcPr>
            <w:tcW w:w="644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18,753,039</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(3,869,301)</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60,904,971</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19,400,453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31,949,311</w:t>
            </w:r>
          </w:p>
        </w:tc>
        <w:tc>
          <w:tcPr>
            <w:tcW w:w="2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13,785,532</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112,085,415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69,299,053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40" w:type="dxa"/>
            <w:vAlign w:val="bottom"/>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0.48</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0.21</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1.68</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 per common share</w:t>
            </w:r>
          </w:p>
        </w:tc>
        <w:tc>
          <w:tcPr>
            <w:tcW w:w="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2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0.27</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79"/>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ind w:right="-67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3"/>
                <w:szCs w:val="13"/>
                <w:b w:val="1"/>
                <w:bCs w:val="1"/>
                <w:color w:val="auto"/>
              </w:rPr>
              <w:t>Nine Months Ended June 30,</w:t>
            </w:r>
          </w:p>
        </w:tc>
      </w:tr>
      <w:tr>
        <w:trPr>
          <w:trHeight w:val="142"/>
        </w:trPr>
        <w:tc>
          <w:tcPr>
            <w:tcW w:w="59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9"/>
              <w:spacing w:after="0" w:line="142" w:lineRule="exact"/>
              <w:rPr>
                <w:sz w:val="20"/>
                <w:szCs w:val="20"/>
                <w:color w:val="auto"/>
              </w:rPr>
            </w:pPr>
            <w:r>
              <w:rPr>
                <w:rFonts w:ascii="Arial" w:cs="Arial" w:eastAsia="Arial" w:hAnsi="Arial"/>
                <w:sz w:val="13"/>
                <w:szCs w:val="13"/>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9"/>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29"/>
        </w:trPr>
        <w:tc>
          <w:tcPr>
            <w:tcW w:w="5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8"/>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Net investment income</w:t>
            </w:r>
          </w:p>
        </w:tc>
        <w:tc>
          <w:tcPr>
            <w:tcW w:w="21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51,180,444</w:t>
            </w:r>
          </w:p>
        </w:tc>
        <w:tc>
          <w:tcPr>
            <w:tcW w:w="100" w:type="dxa"/>
            <w:vAlign w:val="bottom"/>
          </w:tcPr>
          <w:p>
            <w:pPr>
              <w:spacing w:after="0"/>
              <w:rPr>
                <w:sz w:val="12"/>
                <w:szCs w:val="12"/>
                <w:color w:val="auto"/>
              </w:rPr>
            </w:pPr>
          </w:p>
        </w:tc>
        <w:tc>
          <w:tcPr>
            <w:tcW w:w="3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49,898,600</w:t>
            </w: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realized gain on investments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28,955,815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14,723,076</w:t>
            </w:r>
          </w:p>
        </w:tc>
      </w:tr>
      <w:tr>
        <w:trPr>
          <w:trHeight w:val="148"/>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37,370,248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5,224,877</w:t>
            </w: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change in debt appreciation</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(5,421,092)</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(547,500)</w:t>
            </w:r>
          </w:p>
        </w:tc>
      </w:tr>
      <w:tr>
        <w:trPr>
          <w:trHeight w:val="163"/>
        </w:trPr>
        <w:tc>
          <w:tcPr>
            <w:tcW w:w="59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8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112,085,415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69,299,053</w:t>
            </w:r>
          </w:p>
        </w:tc>
        <w:tc>
          <w:tcPr>
            <w:tcW w:w="80" w:type="dxa"/>
            <w:vAlign w:val="bottom"/>
          </w:tcPr>
          <w:p>
            <w:pPr>
              <w:spacing w:after="0"/>
              <w:rPr>
                <w:sz w:val="14"/>
                <w:szCs w:val="14"/>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(55,911,746)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(55,778,317)</w:t>
            </w:r>
          </w:p>
        </w:tc>
      </w:tr>
      <w:tr>
        <w:trPr>
          <w:trHeight w:val="155"/>
        </w:trPr>
        <w:tc>
          <w:tcPr>
            <w:tcW w:w="59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8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Public offering</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7,574,000</w:t>
            </w:r>
          </w:p>
        </w:tc>
      </w:tr>
      <w:tr>
        <w:trPr>
          <w:trHeight w:val="149"/>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Offering costs</w:t>
            </w: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(265,090)</w:t>
            </w: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Reinvestment of distributions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792,925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2,555,964</w:t>
            </w:r>
          </w:p>
        </w:tc>
      </w:tr>
      <w:tr>
        <w:trPr>
          <w:trHeight w:val="163"/>
        </w:trPr>
        <w:tc>
          <w:tcPr>
            <w:tcW w:w="59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8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792,925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9,864,874</w:t>
            </w:r>
          </w:p>
        </w:tc>
        <w:tc>
          <w:tcPr>
            <w:tcW w:w="80" w:type="dxa"/>
            <w:vAlign w:val="bottom"/>
          </w:tcPr>
          <w:p>
            <w:pPr>
              <w:spacing w:after="0"/>
              <w:rPr>
                <w:sz w:val="14"/>
                <w:szCs w:val="14"/>
                <w:color w:val="auto"/>
              </w:rPr>
            </w:pPr>
          </w:p>
        </w:tc>
      </w:tr>
      <w:tr>
        <w:trPr>
          <w:trHeight w:val="148"/>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56,966,594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23,385,610</w:t>
            </w:r>
          </w:p>
        </w:tc>
      </w:tr>
      <w:tr>
        <w:trPr>
          <w:trHeight w:val="155"/>
        </w:trPr>
        <w:tc>
          <w:tcPr>
            <w:tcW w:w="594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8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Beginning of period</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669,717,047</w:t>
            </w:r>
          </w:p>
        </w:tc>
      </w:tr>
      <w:tr>
        <w:trPr>
          <w:trHeight w:val="155"/>
        </w:trPr>
        <w:tc>
          <w:tcPr>
            <w:tcW w:w="5940" w:type="dxa"/>
            <w:vAlign w:val="bottom"/>
          </w:tcPr>
          <w:p>
            <w:pPr>
              <w:ind w:left="360"/>
              <w:spacing w:after="0" w:line="155" w:lineRule="exact"/>
              <w:rPr>
                <w:sz w:val="20"/>
                <w:szCs w:val="20"/>
                <w:color w:val="auto"/>
              </w:rPr>
            </w:pPr>
            <w:r>
              <w:rPr>
                <w:rFonts w:ascii="Arial" w:cs="Arial" w:eastAsia="Arial" w:hAnsi="Arial"/>
                <w:sz w:val="14"/>
                <w:szCs w:val="14"/>
                <w:color w:val="auto"/>
              </w:rPr>
              <w:t>End of period</w:t>
            </w:r>
          </w:p>
        </w:tc>
        <w:tc>
          <w:tcPr>
            <w:tcW w:w="18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754,472,793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693,102,657</w:t>
            </w:r>
          </w:p>
        </w:tc>
        <w:tc>
          <w:tcPr>
            <w:tcW w:w="80" w:type="dxa"/>
            <w:vAlign w:val="bottom"/>
          </w:tcPr>
          <w:p>
            <w:pPr>
              <w:spacing w:after="0"/>
              <w:rPr>
                <w:sz w:val="13"/>
                <w:szCs w:val="13"/>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rPr>
              <w:t>Distributions in excess of net investment income, at end of period</w:t>
            </w:r>
          </w:p>
        </w:tc>
        <w:tc>
          <w:tcPr>
            <w:tcW w:w="2100" w:type="dxa"/>
            <w:vAlign w:val="bottom"/>
            <w:gridSpan w:val="2"/>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(9,406,519)</w:t>
            </w:r>
          </w:p>
        </w:tc>
        <w:tc>
          <w:tcPr>
            <w:tcW w:w="360" w:type="dxa"/>
            <w:vAlign w:val="bottom"/>
            <w:gridSpan w:val="2"/>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(3,075,320)</w:t>
            </w:r>
          </w:p>
        </w:tc>
      </w:tr>
      <w:tr>
        <w:trPr>
          <w:trHeight w:val="156"/>
        </w:trPr>
        <w:tc>
          <w:tcPr>
            <w:tcW w:w="59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share activity:</w:t>
            </w:r>
          </w:p>
        </w:tc>
        <w:tc>
          <w:tcPr>
            <w:tcW w:w="18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Shares issued from public offering</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700,000</w:t>
            </w:r>
          </w:p>
        </w:tc>
      </w:tr>
      <w:tr>
        <w:trPr>
          <w:trHeight w:val="156"/>
        </w:trPr>
        <w:tc>
          <w:tcPr>
            <w:tcW w:w="5940" w:type="dxa"/>
            <w:vAlign w:val="bottom"/>
          </w:tcPr>
          <w:p>
            <w:pPr>
              <w:ind w:left="360"/>
              <w:spacing w:after="0" w:line="155" w:lineRule="exact"/>
              <w:rPr>
                <w:sz w:val="20"/>
                <w:szCs w:val="20"/>
                <w:color w:val="auto"/>
              </w:rPr>
            </w:pPr>
            <w:r>
              <w:rPr>
                <w:rFonts w:ascii="Arial" w:cs="Arial" w:eastAsia="Arial" w:hAnsi="Arial"/>
                <w:sz w:val="14"/>
                <w:szCs w:val="14"/>
                <w:color w:val="auto"/>
              </w:rPr>
              <w:t>Shares issued from reinvestment of distributions</w:t>
            </w:r>
          </w:p>
        </w:tc>
        <w:tc>
          <w:tcPr>
            <w:tcW w:w="18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69,709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235,614</w:t>
            </w:r>
          </w:p>
        </w:tc>
        <w:tc>
          <w:tcPr>
            <w:tcW w:w="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560"/>
          </w:cols>
          <w:pgMar w:left="320" w:top="459" w:right="10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7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7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29"/>
              <w:spacing w:after="0" w:line="142"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112,085,415</w:t>
            </w:r>
          </w:p>
        </w:tc>
        <w:tc>
          <w:tcPr>
            <w:tcW w:w="200" w:type="dxa"/>
            <w:vAlign w:val="bottom"/>
          </w:tcPr>
          <w:p>
            <w:pPr>
              <w:spacing w:after="0"/>
              <w:rPr>
                <w:sz w:val="12"/>
                <w:szCs w:val="12"/>
                <w:color w:val="auto"/>
              </w:rPr>
            </w:pPr>
          </w:p>
        </w:tc>
        <w:tc>
          <w:tcPr>
            <w:tcW w:w="44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69,299,053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8"/>
              </w:rPr>
              <w:t>Adjustments to reconcile net increase in net assets resulting from operations to net cash (used) provided</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by operating activities: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appreciation on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(37,370,248)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(5,224,877)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appreciation on debt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5,421,092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Net realized gain on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(28,955,815)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(14,723,076)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(6,629,854)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(4,245,224)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(561,839,426)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(317,161,225)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(6,530,685)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(9,651,825)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534,400,443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271,183,021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decrease in interest receivable</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(3,105,665)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1,753,180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Increase in deferred financing costs and other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(6,809,887)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(247,289)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(52,544,704)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15,932,290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Increase in interest payable on debt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1,223,182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2,339,426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in management fee payable</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712,406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620,547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1,095,510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206,721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in accrued other expenses</w:t>
            </w: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400,618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516,299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provided by operating activities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(48,447,618)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11,144,521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Public offerings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7,574,000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Offering costs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(265,090)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(55,099,303)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(50,440,381)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Proceeds from 2025 Notes issuance (See Note 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71,250,000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 (See Note 10)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906,253,100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 (See Note 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(795,854,400)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(880,800,000)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(used) by financing activities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54,549,397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(2,381,471)</w:t>
            </w:r>
          </w:p>
        </w:tc>
        <w:tc>
          <w:tcPr>
            <w:tcW w:w="0" w:type="dxa"/>
            <w:vAlign w:val="bottom"/>
          </w:tcPr>
          <w:p>
            <w:pPr>
              <w:spacing w:after="0"/>
              <w:rPr>
                <w:sz w:val="1"/>
                <w:szCs w:val="1"/>
                <w:color w:val="auto"/>
              </w:rPr>
            </w:pPr>
          </w:p>
        </w:tc>
      </w:tr>
      <w:tr>
        <w:trPr>
          <w:trHeight w:val="155"/>
        </w:trPr>
        <w:tc>
          <w:tcPr>
            <w:tcW w:w="6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cash equivalents</w:t>
            </w: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6,101,779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8,763,050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(151,821)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7,559,453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280" w:type="dxa"/>
            <w:vAlign w:val="bottom"/>
            <w:gridSpan w:val="2"/>
            <w:shd w:val="clear" w:color="auto" w:fill="CCEEFF"/>
          </w:tcPr>
          <w:p>
            <w:pPr>
              <w:jc w:val="right"/>
              <w:ind w:right="19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64,390,787</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16,322,503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 and non-cash financing activity:</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w:t>
            </w:r>
          </w:p>
        </w:tc>
        <w:tc>
          <w:tcPr>
            <w:tcW w:w="280" w:type="dxa"/>
            <w:vAlign w:val="bottom"/>
            <w:gridSpan w:val="2"/>
            <w:shd w:val="clear" w:color="auto" w:fill="CCEEFF"/>
          </w:tcPr>
          <w:p>
            <w:pPr>
              <w:jc w:val="right"/>
              <w:ind w:right="19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13,239,662</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8,622,437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200"/>
              <w:spacing w:after="0"/>
              <w:rPr>
                <w:sz w:val="20"/>
                <w:szCs w:val="20"/>
                <w:color w:val="auto"/>
              </w:rPr>
            </w:pPr>
            <w:r>
              <w:rPr>
                <w:rFonts w:ascii="Arial" w:cs="Arial" w:eastAsia="Arial" w:hAnsi="Arial"/>
                <w:sz w:val="14"/>
                <w:szCs w:val="14"/>
                <w:color w:val="auto"/>
              </w:rPr>
              <w:t>Taxes paid</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8,166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92,398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Distributions reinvested</w:t>
            </w:r>
          </w:p>
        </w:tc>
        <w:tc>
          <w:tcPr>
            <w:tcW w:w="280" w:type="dxa"/>
            <w:vAlign w:val="bottom"/>
            <w:gridSpan w:val="2"/>
            <w:shd w:val="clear" w:color="auto" w:fill="CCEEFF"/>
          </w:tcPr>
          <w:p>
            <w:pPr>
              <w:jc w:val="right"/>
              <w:ind w:right="19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792,925</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9"/>
              <w:spacing w:after="0" w:line="143"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2,555,964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200"/>
              <w:spacing w:after="0"/>
              <w:rPr>
                <w:sz w:val="20"/>
                <w:szCs w:val="20"/>
                <w:color w:val="auto"/>
              </w:rPr>
            </w:pPr>
            <w:r>
              <w:rPr>
                <w:rFonts w:ascii="Arial" w:cs="Arial" w:eastAsia="Arial" w:hAnsi="Arial"/>
                <w:sz w:val="14"/>
                <w:szCs w:val="14"/>
                <w:color w:val="auto"/>
              </w:rPr>
              <w:t>Conversions and non-cash exchanges</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59,126,053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58,615,748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20"/>
          </w:cols>
          <w:pgMar w:left="320" w:top="45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82"/>
              </w:rPr>
              <w:t>Basis Point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auto"/>
                <w:w w:val="83"/>
              </w:rPr>
              <w:t>Spread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Maturity /</w:t>
            </w:r>
          </w:p>
        </w:tc>
        <w:tc>
          <w:tcPr>
            <w:tcW w:w="1820" w:type="dxa"/>
            <w:vAlign w:val="bottom"/>
          </w:tcPr>
          <w:p>
            <w:pPr>
              <w:spacing w:after="0"/>
              <w:rPr>
                <w:sz w:val="11"/>
                <w:szCs w:val="11"/>
                <w:color w:val="auto"/>
              </w:rPr>
            </w:pPr>
          </w:p>
        </w:tc>
        <w:tc>
          <w:tcPr>
            <w:tcW w:w="1080" w:type="dxa"/>
            <w:vAlign w:val="bottom"/>
          </w:tcPr>
          <w:p>
            <w:pPr>
              <w:jc w:val="right"/>
              <w:ind w:right="422"/>
              <w:spacing w:after="0" w:line="135" w:lineRule="exact"/>
              <w:rPr>
                <w:sz w:val="20"/>
                <w:szCs w:val="20"/>
                <w:color w:val="auto"/>
              </w:rPr>
            </w:pPr>
            <w:r>
              <w:rPr>
                <w:rFonts w:ascii="Arial" w:cs="Arial" w:eastAsia="Arial" w:hAnsi="Arial"/>
                <w:sz w:val="12"/>
                <w:szCs w:val="12"/>
                <w:b w:val="1"/>
                <w:bCs w:val="1"/>
                <w:color w:val="auto"/>
              </w:rPr>
              <w:t>Current</w:t>
            </w:r>
          </w:p>
        </w:tc>
        <w:tc>
          <w:tcPr>
            <w:tcW w:w="1160" w:type="dxa"/>
            <w:vAlign w:val="bottom"/>
          </w:tcPr>
          <w:p>
            <w:pPr>
              <w:jc w:val="center"/>
              <w:ind w:right="22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00" w:type="dxa"/>
            <w:vAlign w:val="bottom"/>
            <w:vMerge w:val="continue"/>
          </w:tcPr>
          <w:p>
            <w:pPr>
              <w:spacing w:after="0"/>
              <w:rPr>
                <w:sz w:val="12"/>
                <w:szCs w:val="12"/>
                <w:color w:val="auto"/>
              </w:rPr>
            </w:pPr>
          </w:p>
        </w:tc>
        <w:tc>
          <w:tcPr>
            <w:tcW w:w="1180" w:type="dxa"/>
            <w:vAlign w:val="bottom"/>
          </w:tcPr>
          <w:p>
            <w:pPr>
              <w:ind w:left="500"/>
              <w:spacing w:after="0"/>
              <w:rPr>
                <w:sz w:val="20"/>
                <w:szCs w:val="20"/>
                <w:color w:val="auto"/>
              </w:rPr>
            </w:pPr>
            <w:r>
              <w:rPr>
                <w:rFonts w:ascii="Arial" w:cs="Arial" w:eastAsia="Arial" w:hAnsi="Arial"/>
                <w:sz w:val="12"/>
                <w:szCs w:val="12"/>
                <w:b w:val="1"/>
                <w:bCs w:val="1"/>
                <w:color w:val="auto"/>
              </w:rPr>
              <w:t>Expiration</w:t>
            </w:r>
          </w:p>
        </w:tc>
        <w:tc>
          <w:tcPr>
            <w:tcW w:w="1820" w:type="dxa"/>
            <w:vAlign w:val="bottom"/>
          </w:tcPr>
          <w:p>
            <w:pPr>
              <w:ind w:left="640"/>
              <w:spacing w:after="0"/>
              <w:rPr>
                <w:sz w:val="20"/>
                <w:szCs w:val="20"/>
                <w:color w:val="auto"/>
              </w:rPr>
            </w:pPr>
            <w:r>
              <w:rPr>
                <w:rFonts w:ascii="Arial" w:cs="Arial" w:eastAsia="Arial" w:hAnsi="Arial"/>
                <w:sz w:val="12"/>
                <w:szCs w:val="12"/>
                <w:b w:val="1"/>
                <w:bCs w:val="1"/>
                <w:color w:val="auto"/>
              </w:rPr>
              <w:t>Industry</w:t>
            </w:r>
          </w:p>
        </w:tc>
        <w:tc>
          <w:tcPr>
            <w:tcW w:w="1080" w:type="dxa"/>
            <w:vAlign w:val="bottom"/>
          </w:tcPr>
          <w:p>
            <w:pPr>
              <w:jc w:val="right"/>
              <w:ind w:right="442"/>
              <w:spacing w:after="0"/>
              <w:rPr>
                <w:sz w:val="20"/>
                <w:szCs w:val="20"/>
                <w:color w:val="auto"/>
              </w:rPr>
            </w:pPr>
            <w:r>
              <w:rPr>
                <w:rFonts w:ascii="Arial" w:cs="Arial" w:eastAsia="Arial" w:hAnsi="Arial"/>
                <w:sz w:val="12"/>
                <w:szCs w:val="12"/>
                <w:b w:val="1"/>
                <w:bCs w:val="1"/>
                <w:color w:val="auto"/>
              </w:rPr>
              <w:t>Coupon</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96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0"/>
        </w:trPr>
        <w:tc>
          <w:tcPr>
            <w:tcW w:w="4280" w:type="dxa"/>
            <w:vAlign w:val="bottom"/>
            <w:tcBorders>
              <w:top w:val="single" w:sz="8" w:color="auto"/>
            </w:tcBorders>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1"/>
              </w:rPr>
              <w:t xml:space="preserve">Investments in Non-Controlled, Non-Affiliated Portfolio Companies—144.3% </w:t>
            </w:r>
            <w:r>
              <w:rPr>
                <w:rFonts w:ascii="Arial" w:cs="Arial" w:eastAsia="Arial" w:hAnsi="Arial"/>
                <w:sz w:val="9"/>
                <w:szCs w:val="9"/>
                <w:b w:val="1"/>
                <w:bCs w:val="1"/>
                <w:color w:val="auto"/>
                <w:w w:val="91"/>
              </w:rPr>
              <w:t>(1), (2)</w:t>
            </w:r>
          </w:p>
        </w:tc>
        <w:tc>
          <w:tcPr>
            <w:tcW w:w="18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Debt—37.0%</w:t>
            </w:r>
          </w:p>
        </w:tc>
        <w:tc>
          <w:tcPr>
            <w:tcW w:w="11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180" w:type="dxa"/>
            <w:vAlign w:val="bottom"/>
          </w:tcPr>
          <w:p>
            <w:pPr>
              <w:ind w:left="500"/>
              <w:spacing w:after="0"/>
              <w:rPr>
                <w:sz w:val="20"/>
                <w:szCs w:val="20"/>
                <w:color w:val="auto"/>
              </w:rPr>
            </w:pPr>
            <w:r>
              <w:rPr>
                <w:rFonts w:ascii="Arial" w:cs="Arial" w:eastAsia="Arial" w:hAnsi="Arial"/>
                <w:sz w:val="12"/>
                <w:szCs w:val="12"/>
                <w:color w:val="auto"/>
              </w:rPr>
              <w:t>06/21/2017</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9"/>
              </w:rPr>
              <w:t>Communications</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11.25%</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L+975</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23,454,110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  22,702,765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24,626,815</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AKA Diversified Holdings, Inc.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04/02/2018</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1"/>
              </w:rPr>
              <w:t>Retail</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11.90%</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29,653,975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28,996,434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30,252,196</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(9)</w:t>
            </w:r>
          </w:p>
        </w:tc>
        <w:tc>
          <w:tcPr>
            <w:tcW w:w="1180" w:type="dxa"/>
            <w:vAlign w:val="bottom"/>
          </w:tcPr>
          <w:p>
            <w:pPr>
              <w:ind w:left="500"/>
              <w:spacing w:after="0"/>
              <w:rPr>
                <w:sz w:val="20"/>
                <w:szCs w:val="20"/>
                <w:color w:val="auto"/>
              </w:rPr>
            </w:pPr>
            <w:r>
              <w:rPr>
                <w:rFonts w:ascii="Arial" w:cs="Arial" w:eastAsia="Arial" w:hAnsi="Arial"/>
                <w:sz w:val="12"/>
                <w:szCs w:val="12"/>
                <w:color w:val="auto"/>
              </w:rPr>
              <w:t>04/02/2018</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91"/>
              </w:rPr>
              <w:t>Retail</w:t>
            </w:r>
          </w:p>
        </w:tc>
        <w:tc>
          <w:tcPr>
            <w:tcW w:w="10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7,500,000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7,500,000</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7,500,000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AP Gaming I, LLC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12/21/2020</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9"/>
              </w:rPr>
              <w:t>Hotels, Motels, Inns and Gaming</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9.25%</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L+825</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5,223,750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5,076,593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5,275,988</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Fox US Bidco Corp.</w:t>
            </w:r>
          </w:p>
        </w:tc>
        <w:tc>
          <w:tcPr>
            <w:tcW w:w="1180" w:type="dxa"/>
            <w:vAlign w:val="bottom"/>
          </w:tcPr>
          <w:p>
            <w:pPr>
              <w:ind w:left="500"/>
              <w:spacing w:after="0"/>
              <w:rPr>
                <w:sz w:val="20"/>
                <w:szCs w:val="20"/>
                <w:color w:val="auto"/>
              </w:rPr>
            </w:pPr>
            <w:r>
              <w:rPr>
                <w:rFonts w:ascii="Arial" w:cs="Arial" w:eastAsia="Arial" w:hAnsi="Arial"/>
                <w:sz w:val="12"/>
                <w:szCs w:val="12"/>
                <w:color w:val="auto"/>
              </w:rPr>
              <w:t>06/17/2019</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8"/>
              </w:rPr>
              <w:t>Electronics</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9.00%</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L+750</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12,352,942</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12,229,592</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12,229,412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Fox US Bidco Corp. </w:t>
            </w:r>
            <w:r>
              <w:rPr>
                <w:rFonts w:ascii="Arial" w:cs="Arial" w:eastAsia="Arial" w:hAnsi="Arial"/>
                <w:sz w:val="9"/>
                <w:szCs w:val="9"/>
                <w:color w:val="auto"/>
              </w:rPr>
              <w:t>(9)</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06/17/2019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Electronics</w:t>
            </w:r>
          </w:p>
        </w:tc>
        <w:tc>
          <w:tcPr>
            <w:tcW w:w="10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2,647,058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2,647,058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2,647,058</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180" w:type="dxa"/>
            <w:vAlign w:val="bottom"/>
          </w:tcPr>
          <w:p>
            <w:pPr>
              <w:ind w:left="500"/>
              <w:spacing w:after="0"/>
              <w:rPr>
                <w:sz w:val="20"/>
                <w:szCs w:val="20"/>
                <w:color w:val="auto"/>
              </w:rPr>
            </w:pPr>
            <w:r>
              <w:rPr>
                <w:rFonts w:ascii="Arial" w:cs="Arial" w:eastAsia="Arial" w:hAnsi="Arial"/>
                <w:sz w:val="12"/>
                <w:szCs w:val="12"/>
                <w:color w:val="auto"/>
              </w:rPr>
              <w:t>03/30/2017</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9"/>
              </w:rPr>
              <w:t>Auto Sector</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11.50%</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11,500,000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11,359,159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12,678,750</w:t>
            </w: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InfuSystem Holdings, Inc.</w:t>
            </w:r>
          </w:p>
        </w:tc>
        <w:tc>
          <w:tcPr>
            <w:tcW w:w="1180" w:type="dxa"/>
            <w:vAlign w:val="bottom"/>
            <w:shd w:val="clear" w:color="auto" w:fill="CCEEFF"/>
          </w:tcPr>
          <w:p>
            <w:pPr>
              <w:ind w:left="520"/>
              <w:spacing w:after="0" w:line="129" w:lineRule="exact"/>
              <w:rPr>
                <w:sz w:val="20"/>
                <w:szCs w:val="20"/>
                <w:color w:val="auto"/>
              </w:rPr>
            </w:pPr>
            <w:r>
              <w:rPr>
                <w:rFonts w:ascii="Arial" w:cs="Arial" w:eastAsia="Arial" w:hAnsi="Arial"/>
                <w:sz w:val="12"/>
                <w:szCs w:val="12"/>
                <w:color w:val="auto"/>
              </w:rPr>
              <w:t>11/30/2016</w:t>
            </w:r>
          </w:p>
        </w:tc>
        <w:tc>
          <w:tcPr>
            <w:tcW w:w="182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108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13.07%</w:t>
            </w:r>
          </w:p>
        </w:tc>
        <w:tc>
          <w:tcPr>
            <w:tcW w:w="116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P+982</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8,000,000</w:t>
            </w:r>
          </w:p>
        </w:tc>
        <w:tc>
          <w:tcPr>
            <w:tcW w:w="108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8,000,000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8,225,976</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Childcare</w:t>
            </w: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10/16/2017</w:t>
            </w:r>
          </w:p>
        </w:tc>
        <w:tc>
          <w:tcPr>
            <w:tcW w:w="18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5"/>
              </w:rPr>
              <w:t>Personal, Food and</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10.00%</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L+850</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7,777,902</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7,777,902</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7,719,568</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87"/>
              </w:rPr>
              <w:t>Miscellaneous Services</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K2 Pure Solutions NoCal, L.P.</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08/19/2019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7"/>
              </w:rPr>
              <w:t>Chemicals, Plastics and Rubber</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L+900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22,342,352</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21,947,354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22,133,375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Old Guard Risk Services, Inc.</w:t>
            </w:r>
          </w:p>
        </w:tc>
        <w:tc>
          <w:tcPr>
            <w:tcW w:w="1180" w:type="dxa"/>
            <w:vAlign w:val="bottom"/>
          </w:tcPr>
          <w:p>
            <w:pPr>
              <w:ind w:left="520"/>
              <w:spacing w:after="0"/>
              <w:rPr>
                <w:sz w:val="20"/>
                <w:szCs w:val="20"/>
                <w:color w:val="auto"/>
              </w:rPr>
            </w:pPr>
            <w:r>
              <w:rPr>
                <w:rFonts w:ascii="Arial" w:cs="Arial" w:eastAsia="Arial" w:hAnsi="Arial"/>
                <w:sz w:val="12"/>
                <w:szCs w:val="12"/>
                <w:color w:val="auto"/>
              </w:rPr>
              <w:t>11/27/2018</w:t>
            </w: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87"/>
              </w:rPr>
              <w:t>Insurance</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12.50%</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L+1,150</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28,350,000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27,332,224</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28,633,500</w:t>
            </w: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1180" w:type="dxa"/>
            <w:vAlign w:val="bottom"/>
            <w:shd w:val="clear" w:color="auto" w:fill="CCEEFF"/>
          </w:tcPr>
          <w:p>
            <w:pPr>
              <w:ind w:left="500"/>
              <w:spacing w:after="0" w:line="129" w:lineRule="exact"/>
              <w:rPr>
                <w:sz w:val="20"/>
                <w:szCs w:val="20"/>
                <w:color w:val="auto"/>
              </w:rPr>
            </w:pPr>
            <w:r>
              <w:rPr>
                <w:rFonts w:ascii="Arial" w:cs="Arial" w:eastAsia="Arial" w:hAnsi="Arial"/>
                <w:sz w:val="12"/>
                <w:szCs w:val="12"/>
                <w:color w:val="auto"/>
              </w:rPr>
              <w:t>12/16/2019</w:t>
            </w:r>
          </w:p>
        </w:tc>
        <w:tc>
          <w:tcPr>
            <w:tcW w:w="182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0"/>
              </w:rPr>
              <w:t>Mining, Steel, Iron and Non-</w:t>
            </w:r>
          </w:p>
        </w:tc>
        <w:tc>
          <w:tcPr>
            <w:tcW w:w="108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11.50%</w:t>
            </w:r>
          </w:p>
        </w:tc>
        <w:tc>
          <w:tcPr>
            <w:tcW w:w="116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14,250,000</w:t>
            </w:r>
          </w:p>
        </w:tc>
        <w:tc>
          <w:tcPr>
            <w:tcW w:w="108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14,113,310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16,066,875</w:t>
            </w:r>
          </w:p>
        </w:tc>
        <w:tc>
          <w:tcPr>
            <w:tcW w:w="0" w:type="dxa"/>
            <w:vAlign w:val="bottom"/>
          </w:tcPr>
          <w:p>
            <w:pPr>
              <w:spacing w:after="0"/>
              <w:rPr>
                <w:sz w:val="1"/>
                <w:szCs w:val="1"/>
                <w:color w:val="auto"/>
              </w:rPr>
            </w:pPr>
          </w:p>
        </w:tc>
      </w:tr>
      <w:tr>
        <w:trPr>
          <w:trHeight w:val="141"/>
        </w:trPr>
        <w:tc>
          <w:tcPr>
            <w:tcW w:w="3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Precious Metals</w:t>
            </w: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TRAK Acquisition Corp.</w:t>
            </w:r>
          </w:p>
        </w:tc>
        <w:tc>
          <w:tcPr>
            <w:tcW w:w="1180" w:type="dxa"/>
            <w:vAlign w:val="bottom"/>
          </w:tcPr>
          <w:p>
            <w:pPr>
              <w:ind w:left="500"/>
              <w:spacing w:after="0"/>
              <w:rPr>
                <w:sz w:val="20"/>
                <w:szCs w:val="20"/>
                <w:color w:val="auto"/>
              </w:rPr>
            </w:pPr>
            <w:r>
              <w:rPr>
                <w:rFonts w:ascii="Arial" w:cs="Arial" w:eastAsia="Arial" w:hAnsi="Arial"/>
                <w:sz w:val="12"/>
                <w:szCs w:val="12"/>
                <w:color w:val="auto"/>
              </w:rPr>
              <w:t>04/30/2018</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12.00%</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L+1,050</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24,389,911</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24,068,498</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24,389,911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TRAK Acquisition Corp. </w:t>
            </w:r>
            <w:r>
              <w:rPr>
                <w:rFonts w:ascii="Arial" w:cs="Arial" w:eastAsia="Arial" w:hAnsi="Arial"/>
                <w:sz w:val="9"/>
                <w:szCs w:val="9"/>
                <w:color w:val="auto"/>
              </w:rPr>
              <w:t>(9)</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10/31/2017</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0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985,000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(10), (12)</w:t>
            </w:r>
          </w:p>
        </w:tc>
        <w:tc>
          <w:tcPr>
            <w:tcW w:w="1180" w:type="dxa"/>
            <w:vAlign w:val="bottom"/>
          </w:tcPr>
          <w:p>
            <w:pPr>
              <w:ind w:left="500"/>
              <w:spacing w:after="0"/>
              <w:rPr>
                <w:sz w:val="20"/>
                <w:szCs w:val="20"/>
                <w:color w:val="auto"/>
              </w:rPr>
            </w:pPr>
            <w:r>
              <w:rPr>
                <w:rFonts w:ascii="Arial" w:cs="Arial" w:eastAsia="Arial" w:hAnsi="Arial"/>
                <w:sz w:val="12"/>
                <w:szCs w:val="12"/>
                <w:color w:val="auto"/>
              </w:rPr>
              <w:t>02/12/2020</w:t>
            </w: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88"/>
              </w:rPr>
              <w:t>Buildings and Real Estate</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11.05%</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27,909,091</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43,963,551</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47,581,867</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U.S. Well Service, LLC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05/02/2019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Oil and Gas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L+1,150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14,551,598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14,198,694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14,655,462</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U.S. Well Service, LLC </w:t>
            </w:r>
            <w:r>
              <w:rPr>
                <w:rFonts w:ascii="Arial" w:cs="Arial" w:eastAsia="Arial" w:hAnsi="Arial"/>
                <w:sz w:val="9"/>
                <w:szCs w:val="9"/>
                <w:color w:val="auto"/>
              </w:rPr>
              <w:t>(9)</w:t>
            </w:r>
          </w:p>
        </w:tc>
        <w:tc>
          <w:tcPr>
            <w:tcW w:w="1180" w:type="dxa"/>
            <w:vAlign w:val="bottom"/>
          </w:tcPr>
          <w:p>
            <w:pPr>
              <w:ind w:left="520"/>
              <w:spacing w:after="0"/>
              <w:rPr>
                <w:sz w:val="20"/>
                <w:szCs w:val="20"/>
                <w:color w:val="auto"/>
              </w:rPr>
            </w:pPr>
            <w:r>
              <w:rPr>
                <w:rFonts w:ascii="Arial" w:cs="Arial" w:eastAsia="Arial" w:hAnsi="Arial"/>
                <w:sz w:val="12"/>
                <w:szCs w:val="12"/>
                <w:color w:val="auto"/>
              </w:rPr>
              <w:t>11/03/2014</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8"/>
              </w:rPr>
              <w:t>Oil and Gas</w:t>
            </w:r>
          </w:p>
        </w:tc>
        <w:tc>
          <w:tcPr>
            <w:tcW w:w="108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1,889,205</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1,889,205</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1,902,689</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Worley Claims Services, LLC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07/06/2017</w:t>
            </w:r>
          </w:p>
        </w:tc>
        <w:tc>
          <w:tcPr>
            <w:tcW w:w="18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Insurance</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12.50%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L+1,100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11,528,792</w:t>
            </w:r>
          </w:p>
        </w:tc>
        <w:tc>
          <w:tcPr>
            <w:tcW w:w="12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11,528,792</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11,759,368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266,316,131</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279,278,810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Debt—63.2%</w:t>
            </w:r>
          </w:p>
        </w:tc>
        <w:tc>
          <w:tcPr>
            <w:tcW w:w="1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09/01/2017</w:t>
            </w:r>
          </w:p>
        </w:tc>
        <w:tc>
          <w:tcPr>
            <w:tcW w:w="18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8"/>
              </w:rPr>
              <w:t>Diversified Natural Resources,</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11.50%</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25,400,000</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25,400,000</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27,432,000</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8"/>
              </w:rPr>
              <w:t>Precious Metals and Minerals</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Arsloane Acquisition, LLC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10/01/2020</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11.75%</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L+1,050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20,625,000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20,334,545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20,831,250</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Ascensus, Inc.</w:t>
            </w:r>
          </w:p>
        </w:tc>
        <w:tc>
          <w:tcPr>
            <w:tcW w:w="1180" w:type="dxa"/>
            <w:vAlign w:val="bottom"/>
          </w:tcPr>
          <w:p>
            <w:pPr>
              <w:ind w:left="500"/>
              <w:spacing w:after="0"/>
              <w:rPr>
                <w:sz w:val="20"/>
                <w:szCs w:val="20"/>
                <w:color w:val="auto"/>
              </w:rPr>
            </w:pPr>
            <w:r>
              <w:rPr>
                <w:rFonts w:ascii="Arial" w:cs="Arial" w:eastAsia="Arial" w:hAnsi="Arial"/>
                <w:sz w:val="12"/>
                <w:szCs w:val="12"/>
                <w:color w:val="auto"/>
              </w:rPr>
              <w:t>12/02/2020</w:t>
            </w: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88"/>
              </w:rPr>
              <w:t>Financial Services</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9.00%</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L+800</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15,500,000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15,288,541</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15,771,250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Bennu Oil &amp; Gas, LLC</w:t>
            </w:r>
          </w:p>
        </w:tc>
        <w:tc>
          <w:tcPr>
            <w:tcW w:w="11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11/01/2018</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Oil and Gas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8.75%</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L+750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19,799,984</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19,705,318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20,031,050</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Carolina Beverage Group, LLC</w:t>
            </w:r>
          </w:p>
        </w:tc>
        <w:tc>
          <w:tcPr>
            <w:tcW w:w="1180" w:type="dxa"/>
            <w:vAlign w:val="bottom"/>
          </w:tcPr>
          <w:p>
            <w:pPr>
              <w:ind w:left="500"/>
              <w:spacing w:after="0"/>
              <w:rPr>
                <w:sz w:val="20"/>
                <w:szCs w:val="20"/>
                <w:color w:val="auto"/>
              </w:rPr>
            </w:pPr>
            <w:r>
              <w:rPr>
                <w:rFonts w:ascii="Arial" w:cs="Arial" w:eastAsia="Arial" w:hAnsi="Arial"/>
                <w:sz w:val="12"/>
                <w:szCs w:val="12"/>
                <w:color w:val="auto"/>
              </w:rPr>
              <w:t>08/01/2018</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5"/>
              </w:rPr>
              <w:t>Beverage, Food and Tobacco</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10.63%</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13,125,000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13,125,000</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14,142,187</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Intermediate Holdings, Inc.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10/05/2020</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9.25%</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L+800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14,000,000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13,814,375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14,052,500</w:t>
            </w: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1180" w:type="dxa"/>
            <w:vAlign w:val="bottom"/>
          </w:tcPr>
          <w:p>
            <w:pPr>
              <w:ind w:left="520"/>
              <w:spacing w:after="0" w:line="129" w:lineRule="exact"/>
              <w:rPr>
                <w:sz w:val="20"/>
                <w:szCs w:val="20"/>
                <w:color w:val="auto"/>
              </w:rPr>
            </w:pPr>
            <w:r>
              <w:rPr>
                <w:rFonts w:ascii="Arial" w:cs="Arial" w:eastAsia="Arial" w:hAnsi="Arial"/>
                <w:sz w:val="12"/>
                <w:szCs w:val="12"/>
                <w:color w:val="auto"/>
              </w:rPr>
              <w:t>11/04/2021</w:t>
            </w:r>
          </w:p>
        </w:tc>
        <w:tc>
          <w:tcPr>
            <w:tcW w:w="18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9.75%</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L+875</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19,000,000</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18,641,623</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19,190,000</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90"/>
              </w:rPr>
              <w:t>Childcare</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Foundation Building Materials, LLC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04/30/2019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2"/>
              </w:rPr>
              <w:t>Building Materials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L+1,100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45,000,000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44,550,637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45,077,918</w:t>
            </w: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Foundation Building Materials, LLC</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04/30/2019</w:t>
            </w:r>
          </w:p>
        </w:tc>
        <w:tc>
          <w:tcPr>
            <w:tcW w:w="18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2"/>
              </w:rPr>
              <w:t>Building Materials</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13.00%</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L+1,200</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32,692,664</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32,083,193</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32,749,272</w:t>
            </w: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80" w:type="dxa"/>
            <w:vAlign w:val="bottom"/>
          </w:tcPr>
          <w:p>
            <w:pPr>
              <w:jc w:val="right"/>
              <w:ind w:right="122"/>
              <w:spacing w:after="0"/>
              <w:rPr>
                <w:sz w:val="20"/>
                <w:szCs w:val="20"/>
                <w:color w:val="auto"/>
              </w:rPr>
            </w:pPr>
            <w:r>
              <w:rPr>
                <w:rFonts w:ascii="Arial" w:cs="Arial" w:eastAsia="Arial" w:hAnsi="Arial"/>
                <w:sz w:val="12"/>
                <w:szCs w:val="12"/>
                <w:color w:val="auto"/>
              </w:rPr>
              <w:t>(PIK 1.00%)</w:t>
            </w: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06/14/2019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Electronics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11.50%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L+1,000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7,500,000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7,224,810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7,350,000</w:t>
            </w: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03/01/2017</w:t>
            </w:r>
          </w:p>
        </w:tc>
        <w:tc>
          <w:tcPr>
            <w:tcW w:w="18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6"/>
              </w:rPr>
              <w:t>Cargo Transport</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11.00%</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L+700</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3,739,795</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3,739,797</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1,682,908</w:t>
            </w:r>
          </w:p>
        </w:tc>
        <w:tc>
          <w:tcPr>
            <w:tcW w:w="0" w:type="dxa"/>
            <w:vAlign w:val="bottom"/>
          </w:tcPr>
          <w:p>
            <w:pPr>
              <w:spacing w:after="0"/>
              <w:rPr>
                <w:sz w:val="1"/>
                <w:szCs w:val="1"/>
                <w:color w:val="auto"/>
              </w:rPr>
            </w:pPr>
          </w:p>
        </w:tc>
      </w:tr>
      <w:tr>
        <w:trPr>
          <w:trHeight w:val="151"/>
        </w:trPr>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80" w:type="dxa"/>
            <w:vAlign w:val="bottom"/>
          </w:tcPr>
          <w:p>
            <w:pPr>
              <w:jc w:val="right"/>
              <w:ind w:right="122"/>
              <w:spacing w:after="0"/>
              <w:rPr>
                <w:sz w:val="20"/>
                <w:szCs w:val="20"/>
                <w:color w:val="auto"/>
              </w:rPr>
            </w:pPr>
            <w:r>
              <w:rPr>
                <w:rFonts w:ascii="Arial" w:cs="Arial" w:eastAsia="Arial" w:hAnsi="Arial"/>
                <w:sz w:val="12"/>
                <w:szCs w:val="12"/>
                <w:color w:val="auto"/>
              </w:rPr>
              <w:t>(PIK 11.00%)</w:t>
            </w: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J.A. Cosmetics Holdings, Inc.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07/31/2019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Consumer Products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11.00%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L+1,000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34,000,000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33,352,914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33,951,852</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Jacobs Entertainment, Inc.</w:t>
            </w:r>
          </w:p>
        </w:tc>
        <w:tc>
          <w:tcPr>
            <w:tcW w:w="1180" w:type="dxa"/>
            <w:vAlign w:val="bottom"/>
          </w:tcPr>
          <w:p>
            <w:pPr>
              <w:ind w:left="500"/>
              <w:spacing w:after="0"/>
              <w:rPr>
                <w:sz w:val="20"/>
                <w:szCs w:val="20"/>
                <w:color w:val="auto"/>
              </w:rPr>
            </w:pPr>
            <w:r>
              <w:rPr>
                <w:rFonts w:ascii="Arial" w:cs="Arial" w:eastAsia="Arial" w:hAnsi="Arial"/>
                <w:sz w:val="12"/>
                <w:szCs w:val="12"/>
                <w:color w:val="auto"/>
              </w:rPr>
              <w:t>10/29/2019</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9"/>
              </w:rPr>
              <w:t>Hotels, Motels, Inns and Gaming</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13.00%</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L+1,175</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38,950,000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38,364,591</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39,339,500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KIK Custom Products Inc.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10/29/2019</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Consumer Products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9.50%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L+825</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9,500,000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9,364,479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9,606,875</w:t>
            </w: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12/20/2016</w:t>
            </w:r>
          </w:p>
        </w:tc>
        <w:tc>
          <w:tcPr>
            <w:tcW w:w="18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5"/>
              </w:rPr>
              <w:t>Personal, Food and</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10.50%</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L+875</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33,750,000</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33,356,570</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33,555,937</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87"/>
              </w:rPr>
              <w:t>Miscellaneous Services</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10/31/2017</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Oil and Gas</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12.50%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11,875,000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11,570,211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13,359,375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180" w:type="dxa"/>
            <w:vAlign w:val="bottom"/>
          </w:tcPr>
          <w:p>
            <w:pPr>
              <w:ind w:left="500"/>
              <w:spacing w:after="0"/>
              <w:rPr>
                <w:sz w:val="20"/>
                <w:szCs w:val="20"/>
                <w:color w:val="auto"/>
              </w:rPr>
            </w:pPr>
            <w:r>
              <w:rPr>
                <w:rFonts w:ascii="Arial" w:cs="Arial" w:eastAsia="Arial" w:hAnsi="Arial"/>
                <w:sz w:val="12"/>
                <w:szCs w:val="12"/>
                <w:color w:val="auto"/>
              </w:rPr>
              <w:t>05/15/2019</w:t>
            </w:r>
          </w:p>
        </w:tc>
        <w:tc>
          <w:tcPr>
            <w:tcW w:w="1820" w:type="dxa"/>
            <w:vAlign w:val="bottom"/>
          </w:tcPr>
          <w:p>
            <w:pPr>
              <w:jc w:val="center"/>
              <w:ind w:right="42"/>
              <w:spacing w:after="0"/>
              <w:rPr>
                <w:sz w:val="20"/>
                <w:szCs w:val="20"/>
                <w:color w:val="auto"/>
              </w:rPr>
            </w:pPr>
            <w:r>
              <w:rPr>
                <w:rFonts w:ascii="Arial" w:cs="Arial" w:eastAsia="Arial" w:hAnsi="Arial"/>
                <w:sz w:val="12"/>
                <w:szCs w:val="12"/>
                <w:color w:val="auto"/>
                <w:w w:val="88"/>
              </w:rPr>
              <w:t>Oil and Gas</w:t>
            </w:r>
          </w:p>
        </w:tc>
        <w:tc>
          <w:tcPr>
            <w:tcW w:w="1080" w:type="dxa"/>
            <w:vAlign w:val="bottom"/>
          </w:tcPr>
          <w:p>
            <w:pPr>
              <w:jc w:val="right"/>
              <w:ind w:right="162"/>
              <w:spacing w:after="0"/>
              <w:rPr>
                <w:sz w:val="20"/>
                <w:szCs w:val="20"/>
                <w:color w:val="auto"/>
              </w:rPr>
            </w:pPr>
            <w:r>
              <w:rPr>
                <w:rFonts w:ascii="Arial" w:cs="Arial" w:eastAsia="Arial" w:hAnsi="Arial"/>
                <w:sz w:val="12"/>
                <w:szCs w:val="12"/>
                <w:color w:val="auto"/>
              </w:rPr>
              <w:t>11.75%</w:t>
            </w:r>
          </w:p>
        </w:tc>
        <w:tc>
          <w:tcPr>
            <w:tcW w:w="116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45,000,000</w:t>
            </w:r>
          </w:p>
        </w:tc>
        <w:tc>
          <w:tcPr>
            <w:tcW w:w="1080" w:type="dxa"/>
            <w:vAlign w:val="bottom"/>
            <w:gridSpan w:val="3"/>
          </w:tcPr>
          <w:p>
            <w:pPr>
              <w:jc w:val="right"/>
              <w:ind w:right="240"/>
              <w:spacing w:after="0"/>
              <w:rPr>
                <w:sz w:val="20"/>
                <w:szCs w:val="20"/>
                <w:color w:val="auto"/>
              </w:rPr>
            </w:pPr>
            <w:r>
              <w:rPr>
                <w:rFonts w:ascii="Arial" w:cs="Arial" w:eastAsia="Arial" w:hAnsi="Arial"/>
                <w:sz w:val="12"/>
                <w:szCs w:val="12"/>
                <w:color w:val="auto"/>
              </w:rPr>
              <w:t>44,595,002</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45,000,000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Penton Media, Inc.</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10/02/2020</w:t>
            </w:r>
          </w:p>
        </w:tc>
        <w:tc>
          <w:tcPr>
            <w:tcW w:w="18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1"/>
              </w:rPr>
              <w:t>Media</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9.00%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L+775</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21,000,000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20,724,103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21,140,070</w:t>
            </w: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07/01/2020</w:t>
            </w:r>
          </w:p>
        </w:tc>
        <w:tc>
          <w:tcPr>
            <w:tcW w:w="18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5"/>
              </w:rPr>
              <w:t>Personal, Food and</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9.75%</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L+850</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56,750,000</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55,992,623</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57,814,062</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jc w:val="center"/>
              <w:ind w:right="22"/>
              <w:spacing w:after="0"/>
              <w:rPr>
                <w:sz w:val="20"/>
                <w:szCs w:val="20"/>
                <w:color w:val="auto"/>
              </w:rPr>
            </w:pPr>
            <w:r>
              <w:rPr>
                <w:rFonts w:ascii="Arial" w:cs="Arial" w:eastAsia="Arial" w:hAnsi="Arial"/>
                <w:sz w:val="12"/>
                <w:szCs w:val="12"/>
                <w:color w:val="auto"/>
                <w:w w:val="87"/>
              </w:rPr>
              <w:t>Miscellaneous Services</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11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12/15/2014</w:t>
            </w:r>
          </w:p>
        </w:tc>
        <w:tc>
          <w:tcPr>
            <w:tcW w:w="18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0"/>
              </w:rPr>
              <w:t>Other Media</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9.50%</w:t>
            </w:r>
          </w:p>
        </w:tc>
        <w:tc>
          <w:tcPr>
            <w:tcW w:w="116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P+550</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2,179,297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2,179,297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2,179,297</w:t>
            </w: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1180" w:type="dxa"/>
            <w:vAlign w:val="bottom"/>
          </w:tcPr>
          <w:p>
            <w:pPr>
              <w:ind w:left="500"/>
              <w:spacing w:after="0" w:line="129" w:lineRule="exact"/>
              <w:rPr>
                <w:sz w:val="20"/>
                <w:szCs w:val="20"/>
                <w:color w:val="auto"/>
              </w:rPr>
            </w:pPr>
            <w:r>
              <w:rPr>
                <w:rFonts w:ascii="Arial" w:cs="Arial" w:eastAsia="Arial" w:hAnsi="Arial"/>
                <w:sz w:val="12"/>
                <w:szCs w:val="12"/>
                <w:color w:val="auto"/>
              </w:rPr>
              <w:t>12/15/2015</w:t>
            </w:r>
          </w:p>
        </w:tc>
        <w:tc>
          <w:tcPr>
            <w:tcW w:w="18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0"/>
              </w:rPr>
              <w:t>Other Media</w:t>
            </w:r>
          </w:p>
        </w:tc>
        <w:tc>
          <w:tcPr>
            <w:tcW w:w="10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11.50%</w:t>
            </w:r>
          </w:p>
        </w:tc>
        <w:tc>
          <w:tcPr>
            <w:tcW w:w="116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P+750</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2,725,980</w:t>
            </w: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2,725,980</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2,725,980</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Arial" w:cs="Arial" w:eastAsia="Arial" w:hAnsi="Arial"/>
                <w:sz w:val="12"/>
                <w:szCs w:val="12"/>
                <w:color w:val="auto"/>
              </w:rPr>
              <w:t>(PIK 11.50%)</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466,133,609</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476,983,283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240" w:type="dxa"/>
            <w:vAlign w:val="bottom"/>
          </w:tcPr>
          <w:p>
            <w:pPr>
              <w:ind w:left="580"/>
              <w:spacing w:after="0" w:line="135" w:lineRule="exact"/>
              <w:rPr>
                <w:sz w:val="20"/>
                <w:szCs w:val="20"/>
                <w:color w:val="auto"/>
              </w:rPr>
            </w:pPr>
            <w:r>
              <w:rPr>
                <w:rFonts w:ascii="Arial" w:cs="Arial" w:eastAsia="Arial" w:hAnsi="Arial"/>
                <w:sz w:val="12"/>
                <w:szCs w:val="12"/>
                <w:b w:val="1"/>
                <w:bCs w:val="1"/>
                <w:color w:val="auto"/>
              </w:rPr>
              <w:t>Maturity /</w:t>
            </w:r>
          </w:p>
        </w:tc>
        <w:tc>
          <w:tcPr>
            <w:tcW w:w="1580" w:type="dxa"/>
            <w:vAlign w:val="bottom"/>
          </w:tcPr>
          <w:p>
            <w:pPr>
              <w:spacing w:after="0"/>
              <w:rPr>
                <w:sz w:val="11"/>
                <w:szCs w:val="11"/>
                <w:color w:val="auto"/>
              </w:rPr>
            </w:pPr>
          </w:p>
        </w:tc>
        <w:tc>
          <w:tcPr>
            <w:tcW w:w="1140" w:type="dxa"/>
            <w:vAlign w:val="bottom"/>
          </w:tcPr>
          <w:p>
            <w:pPr>
              <w:jc w:val="right"/>
              <w:ind w:right="482"/>
              <w:spacing w:after="0" w:line="135" w:lineRule="exact"/>
              <w:rPr>
                <w:sz w:val="20"/>
                <w:szCs w:val="20"/>
                <w:color w:val="auto"/>
              </w:rPr>
            </w:pPr>
            <w:r>
              <w:rPr>
                <w:rFonts w:ascii="Arial" w:cs="Arial" w:eastAsia="Arial" w:hAnsi="Arial"/>
                <w:sz w:val="12"/>
                <w:szCs w:val="12"/>
                <w:b w:val="1"/>
                <w:bCs w:val="1"/>
                <w:color w:val="auto"/>
              </w:rPr>
              <w:t>Current</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7"/>
              </w:rPr>
              <w:t>Above</w:t>
            </w: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2"/>
              </w:rPr>
              <w:t>Par /</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60" w:type="dxa"/>
            <w:vAlign w:val="bottom"/>
            <w:vMerge w:val="continue"/>
          </w:tcPr>
          <w:p>
            <w:pPr>
              <w:spacing w:after="0"/>
              <w:rPr>
                <w:sz w:val="12"/>
                <w:szCs w:val="12"/>
                <w:color w:val="auto"/>
              </w:rPr>
            </w:pPr>
          </w:p>
        </w:tc>
        <w:tc>
          <w:tcPr>
            <w:tcW w:w="1240" w:type="dxa"/>
            <w:vAlign w:val="bottom"/>
          </w:tcPr>
          <w:p>
            <w:pPr>
              <w:ind w:left="560"/>
              <w:spacing w:after="0"/>
              <w:rPr>
                <w:sz w:val="20"/>
                <w:szCs w:val="20"/>
                <w:color w:val="auto"/>
              </w:rPr>
            </w:pPr>
            <w:r>
              <w:rPr>
                <w:rFonts w:ascii="Arial" w:cs="Arial" w:eastAsia="Arial" w:hAnsi="Arial"/>
                <w:sz w:val="12"/>
                <w:szCs w:val="12"/>
                <w:b w:val="1"/>
                <w:bCs w:val="1"/>
                <w:color w:val="auto"/>
              </w:rPr>
              <w:t>Expiration</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Industry</w:t>
            </w:r>
          </w:p>
        </w:tc>
        <w:tc>
          <w:tcPr>
            <w:tcW w:w="1140" w:type="dxa"/>
            <w:vAlign w:val="bottom"/>
          </w:tcPr>
          <w:p>
            <w:pPr>
              <w:jc w:val="right"/>
              <w:ind w:right="482"/>
              <w:spacing w:after="0"/>
              <w:rPr>
                <w:sz w:val="20"/>
                <w:szCs w:val="20"/>
                <w:color w:val="auto"/>
              </w:rPr>
            </w:pPr>
            <w:r>
              <w:rPr>
                <w:rFonts w:ascii="Arial" w:cs="Arial" w:eastAsia="Arial" w:hAnsi="Arial"/>
                <w:sz w:val="12"/>
                <w:szCs w:val="12"/>
                <w:b w:val="1"/>
                <w:bCs w:val="1"/>
                <w:color w:val="auto"/>
              </w:rPr>
              <w:t>Coupon</w:t>
            </w: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0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4"/>
              </w:rPr>
              <w:t>Shares</w:t>
            </w:r>
          </w:p>
        </w:tc>
        <w:tc>
          <w:tcPr>
            <w:tcW w:w="120" w:type="dxa"/>
            <w:vAlign w:val="bottom"/>
          </w:tcPr>
          <w:p>
            <w:pPr>
              <w:spacing w:after="0"/>
              <w:rPr>
                <w:sz w:val="12"/>
                <w:szCs w:val="12"/>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Notes—31.9%</w:t>
            </w:r>
          </w:p>
        </w:tc>
        <w:tc>
          <w:tcPr>
            <w:tcW w:w="124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Acentia, LLC</w:t>
            </w:r>
          </w:p>
        </w:tc>
        <w:tc>
          <w:tcPr>
            <w:tcW w:w="1240" w:type="dxa"/>
            <w:vAlign w:val="bottom"/>
          </w:tcPr>
          <w:p>
            <w:pPr>
              <w:jc w:val="center"/>
              <w:ind w:left="362"/>
              <w:spacing w:after="0"/>
              <w:rPr>
                <w:sz w:val="20"/>
                <w:szCs w:val="20"/>
                <w:color w:val="auto"/>
              </w:rPr>
            </w:pPr>
            <w:r>
              <w:rPr>
                <w:rFonts w:ascii="Arial" w:cs="Arial" w:eastAsia="Arial" w:hAnsi="Arial"/>
                <w:sz w:val="12"/>
                <w:szCs w:val="12"/>
                <w:color w:val="auto"/>
                <w:w w:val="89"/>
              </w:rPr>
              <w:t>10/02/2017</w:t>
            </w: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91"/>
              </w:rPr>
              <w:t>Electronics</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14.00%</w:t>
            </w:r>
          </w:p>
        </w:tc>
        <w:tc>
          <w:tcPr>
            <w:tcW w:w="11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2"/>
                <w:szCs w:val="12"/>
                <w:color w:val="auto"/>
              </w:rPr>
              <w:t>19,000,000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18,677,529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18,236,200</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1240" w:type="dxa"/>
            <w:vAlign w:val="bottom"/>
            <w:shd w:val="clear" w:color="auto" w:fill="CCEEFF"/>
          </w:tcPr>
          <w:p>
            <w:pPr>
              <w:jc w:val="center"/>
              <w:ind w:left="362"/>
              <w:spacing w:after="0" w:line="129" w:lineRule="exact"/>
              <w:rPr>
                <w:sz w:val="20"/>
                <w:szCs w:val="20"/>
                <w:color w:val="auto"/>
              </w:rPr>
            </w:pPr>
            <w:r>
              <w:rPr>
                <w:rFonts w:ascii="Arial" w:cs="Arial" w:eastAsia="Arial" w:hAnsi="Arial"/>
                <w:sz w:val="12"/>
                <w:szCs w:val="12"/>
                <w:color w:val="auto"/>
                <w:w w:val="89"/>
              </w:rPr>
              <w:t>09/14/2018</w:t>
            </w:r>
          </w:p>
        </w:tc>
        <w:tc>
          <w:tcPr>
            <w:tcW w:w="15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4"/>
              </w:rPr>
              <w:t>Consumer Products</w:t>
            </w:r>
          </w:p>
        </w:tc>
        <w:tc>
          <w:tcPr>
            <w:tcW w:w="114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14.50%</w:t>
            </w:r>
          </w:p>
        </w:tc>
        <w:tc>
          <w:tcPr>
            <w:tcW w:w="1160" w:type="dxa"/>
            <w:vAlign w:val="bottom"/>
            <w:gridSpan w:val="2"/>
            <w:shd w:val="clear" w:color="auto" w:fill="CCEEFF"/>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32,418,500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27,703,556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32,094,315</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(PIK 14.50%)</w:t>
            </w: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1240" w:type="dxa"/>
            <w:vAlign w:val="bottom"/>
          </w:tcPr>
          <w:p>
            <w:pPr>
              <w:jc w:val="center"/>
              <w:ind w:left="362"/>
              <w:spacing w:after="0"/>
              <w:rPr>
                <w:sz w:val="20"/>
                <w:szCs w:val="20"/>
                <w:color w:val="auto"/>
              </w:rPr>
            </w:pPr>
            <w:r>
              <w:rPr>
                <w:rFonts w:ascii="Arial" w:cs="Arial" w:eastAsia="Arial" w:hAnsi="Arial"/>
                <w:sz w:val="12"/>
                <w:szCs w:val="12"/>
                <w:color w:val="auto"/>
                <w:w w:val="89"/>
              </w:rPr>
              <w:t>08/15/2018</w:t>
            </w: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84"/>
              </w:rPr>
              <w:t>Consumer Products</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13.50%</w:t>
            </w:r>
          </w:p>
        </w:tc>
        <w:tc>
          <w:tcPr>
            <w:tcW w:w="11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2"/>
                <w:szCs w:val="12"/>
                <w:color w:val="auto"/>
              </w:rPr>
              <w:t>15,096,000</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15,096,000</w:t>
            </w: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15,699,840</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Alegeus Technologies, LLC</w:t>
            </w:r>
          </w:p>
        </w:tc>
        <w:tc>
          <w:tcPr>
            <w:tcW w:w="124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89"/>
              </w:rPr>
              <w:t>02/15/2019</w:t>
            </w: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Financial Services</w:t>
            </w:r>
          </w:p>
        </w:tc>
        <w:tc>
          <w:tcPr>
            <w:tcW w:w="11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12.00%</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8,930,000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8,787,424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7,842,939</w:t>
            </w: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9"/>
              </w:rPr>
              <w:t>03/26/2018</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91"/>
              </w:rPr>
              <w:t>Electronics</w:t>
            </w:r>
          </w:p>
        </w:tc>
        <w:tc>
          <w:tcPr>
            <w:tcW w:w="114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12.00%</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23,693,263</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23,349,576</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23,930,196</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right"/>
              <w:ind w:right="162"/>
              <w:spacing w:after="0"/>
              <w:rPr>
                <w:sz w:val="20"/>
                <w:szCs w:val="20"/>
                <w:color w:val="auto"/>
              </w:rPr>
            </w:pPr>
            <w:r>
              <w:rPr>
                <w:rFonts w:ascii="Arial" w:cs="Arial" w:eastAsia="Arial" w:hAnsi="Arial"/>
                <w:sz w:val="12"/>
                <w:szCs w:val="12"/>
                <w:color w:val="auto"/>
              </w:rPr>
              <w:t>(PIK 1.00%)</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Credit Infonet, Inc.</w:t>
            </w:r>
          </w:p>
        </w:tc>
        <w:tc>
          <w:tcPr>
            <w:tcW w:w="1240" w:type="dxa"/>
            <w:vAlign w:val="bottom"/>
            <w:shd w:val="clear" w:color="auto" w:fill="CCEEFF"/>
          </w:tcPr>
          <w:p>
            <w:pPr>
              <w:jc w:val="center"/>
              <w:ind w:left="362"/>
              <w:spacing w:after="0" w:line="132" w:lineRule="exact"/>
              <w:rPr>
                <w:sz w:val="20"/>
                <w:szCs w:val="20"/>
                <w:color w:val="auto"/>
              </w:rPr>
            </w:pPr>
            <w:r>
              <w:rPr>
                <w:rFonts w:ascii="Arial" w:cs="Arial" w:eastAsia="Arial" w:hAnsi="Arial"/>
                <w:sz w:val="12"/>
                <w:szCs w:val="12"/>
                <w:color w:val="auto"/>
                <w:w w:val="89"/>
              </w:rPr>
              <w:t>10/26/2018</w:t>
            </w:r>
          </w:p>
        </w:tc>
        <w:tc>
          <w:tcPr>
            <w:tcW w:w="158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5"/>
              </w:rPr>
              <w:t>Personal, Food and</w:t>
            </w:r>
          </w:p>
        </w:tc>
        <w:tc>
          <w:tcPr>
            <w:tcW w:w="114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12.25%</w:t>
            </w:r>
          </w:p>
        </w:tc>
        <w:tc>
          <w:tcPr>
            <w:tcW w:w="1160" w:type="dxa"/>
            <w:vAlign w:val="bottom"/>
            <w:gridSpan w:val="2"/>
            <w:shd w:val="clear" w:color="auto" w:fill="CCEEFF"/>
          </w:tcPr>
          <w:p>
            <w:pPr>
              <w:ind w:left="680"/>
              <w:spacing w:after="0" w:line="132"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line="132" w:lineRule="exact"/>
              <w:rPr>
                <w:sz w:val="20"/>
                <w:szCs w:val="20"/>
                <w:color w:val="auto"/>
              </w:rPr>
            </w:pPr>
            <w:r>
              <w:rPr>
                <w:rFonts w:ascii="Arial" w:cs="Arial" w:eastAsia="Arial" w:hAnsi="Arial"/>
                <w:sz w:val="12"/>
                <w:szCs w:val="12"/>
                <w:color w:val="auto"/>
              </w:rPr>
              <w:t>10,600,000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10,421,429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10,311,509</w:t>
            </w:r>
          </w:p>
        </w:tc>
        <w:tc>
          <w:tcPr>
            <w:tcW w:w="0" w:type="dxa"/>
            <w:vAlign w:val="bottom"/>
          </w:tcPr>
          <w:p>
            <w:pPr>
              <w:spacing w:after="0"/>
              <w:rPr>
                <w:sz w:val="1"/>
                <w:szCs w:val="1"/>
                <w:color w:val="auto"/>
              </w:rPr>
            </w:pPr>
          </w:p>
        </w:tc>
      </w:tr>
      <w:tr>
        <w:trPr>
          <w:trHeight w:val="141"/>
        </w:trPr>
        <w:tc>
          <w:tcPr>
            <w:tcW w:w="30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Miscellaneous Services</w:t>
            </w: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9"/>
              </w:rPr>
              <w:t>06/30/2017</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96"/>
              </w:rPr>
              <w:t>Distribution</w:t>
            </w:r>
          </w:p>
        </w:tc>
        <w:tc>
          <w:tcPr>
            <w:tcW w:w="114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14.00%</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19,781,463</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19,427,752</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19,781,463</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right"/>
              <w:ind w:right="16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MSPark, Inc.</w:t>
            </w:r>
          </w:p>
        </w:tc>
        <w:tc>
          <w:tcPr>
            <w:tcW w:w="124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89"/>
              </w:rPr>
              <w:t>06/15/2017</w:t>
            </w: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Printing and Publishing</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15,000,000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14,744,082</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9"/>
              </w:rPr>
              <w:t>11/15/2019</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5"/>
              </w:rPr>
              <w:t>Oil and Gas</w:t>
            </w:r>
          </w:p>
        </w:tc>
        <w:tc>
          <w:tcPr>
            <w:tcW w:w="114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12.00%</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13,500,000</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13,017,947</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11,745,000</w:t>
            </w: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right"/>
              <w:ind w:right="162"/>
              <w:spacing w:after="0"/>
              <w:rPr>
                <w:sz w:val="20"/>
                <w:szCs w:val="20"/>
                <w:color w:val="auto"/>
              </w:rPr>
            </w:pPr>
            <w:r>
              <w:rPr>
                <w:rFonts w:ascii="Arial" w:cs="Arial" w:eastAsia="Arial" w:hAnsi="Arial"/>
                <w:sz w:val="12"/>
                <w:szCs w:val="12"/>
                <w:color w:val="auto"/>
              </w:rPr>
              <w:t>(PIK 12.00%)</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Power Products, LLC</w:t>
            </w:r>
          </w:p>
        </w:tc>
        <w:tc>
          <w:tcPr>
            <w:tcW w:w="1240" w:type="dxa"/>
            <w:vAlign w:val="bottom"/>
            <w:shd w:val="clear" w:color="auto" w:fill="CCEEFF"/>
          </w:tcPr>
          <w:p>
            <w:pPr>
              <w:jc w:val="center"/>
              <w:ind w:left="362"/>
              <w:spacing w:after="0" w:line="132" w:lineRule="exact"/>
              <w:rPr>
                <w:sz w:val="20"/>
                <w:szCs w:val="20"/>
                <w:color w:val="auto"/>
              </w:rPr>
            </w:pPr>
            <w:r>
              <w:rPr>
                <w:rFonts w:ascii="Arial" w:cs="Arial" w:eastAsia="Arial" w:hAnsi="Arial"/>
                <w:sz w:val="12"/>
                <w:szCs w:val="12"/>
                <w:color w:val="auto"/>
                <w:w w:val="89"/>
              </w:rPr>
              <w:t>12/11/2020</w:t>
            </w:r>
          </w:p>
        </w:tc>
        <w:tc>
          <w:tcPr>
            <w:tcW w:w="158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91"/>
              </w:rPr>
              <w:t>Electronics</w:t>
            </w:r>
          </w:p>
        </w:tc>
        <w:tc>
          <w:tcPr>
            <w:tcW w:w="114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12.75%</w:t>
            </w:r>
          </w:p>
        </w:tc>
        <w:tc>
          <w:tcPr>
            <w:tcW w:w="1160" w:type="dxa"/>
            <w:vAlign w:val="bottom"/>
            <w:gridSpan w:val="2"/>
            <w:shd w:val="clear" w:color="auto" w:fill="CCEEFF"/>
          </w:tcPr>
          <w:p>
            <w:pPr>
              <w:ind w:left="680"/>
              <w:spacing w:after="0" w:line="132"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line="132" w:lineRule="exact"/>
              <w:rPr>
                <w:sz w:val="20"/>
                <w:szCs w:val="20"/>
                <w:color w:val="auto"/>
              </w:rPr>
            </w:pPr>
            <w:r>
              <w:rPr>
                <w:rFonts w:ascii="Arial" w:cs="Arial" w:eastAsia="Arial" w:hAnsi="Arial"/>
                <w:sz w:val="12"/>
                <w:szCs w:val="12"/>
                <w:color w:val="auto"/>
              </w:rPr>
              <w:t>15,000,000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14,777,756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15,141,884</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(PIK 2.00%)</w:t>
            </w: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Randall-Reilly Publishing Company, LLC</w:t>
            </w:r>
          </w:p>
        </w:tc>
        <w:tc>
          <w:tcPr>
            <w:tcW w:w="1240" w:type="dxa"/>
            <w:vAlign w:val="bottom"/>
          </w:tcPr>
          <w:p>
            <w:pPr>
              <w:jc w:val="center"/>
              <w:ind w:left="362"/>
              <w:spacing w:after="0"/>
              <w:rPr>
                <w:sz w:val="20"/>
                <w:szCs w:val="20"/>
                <w:color w:val="auto"/>
              </w:rPr>
            </w:pPr>
            <w:r>
              <w:rPr>
                <w:rFonts w:ascii="Arial" w:cs="Arial" w:eastAsia="Arial" w:hAnsi="Arial"/>
                <w:sz w:val="12"/>
                <w:szCs w:val="12"/>
                <w:color w:val="auto"/>
                <w:w w:val="89"/>
              </w:rPr>
              <w:t>04/15/2019</w:t>
            </w: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87"/>
              </w:rPr>
              <w:t>Other Media</w:t>
            </w: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(7)</w:t>
            </w:r>
          </w:p>
        </w:tc>
        <w:tc>
          <w:tcPr>
            <w:tcW w:w="11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2"/>
                <w:szCs w:val="12"/>
                <w:color w:val="auto"/>
              </w:rPr>
              <w:t>30,400,000</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29,838,372</w:t>
            </w: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30,604,892</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Vestcom International, Inc.</w:t>
            </w:r>
          </w:p>
        </w:tc>
        <w:tc>
          <w:tcPr>
            <w:tcW w:w="124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89"/>
              </w:rPr>
              <w:t>06/27/2019</w:t>
            </w: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Printing and Publishing</w:t>
            </w:r>
          </w:p>
        </w:tc>
        <w:tc>
          <w:tcPr>
            <w:tcW w:w="11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12.00%</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39,892,933</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39,218,167</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40,491,327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w w:val="95"/>
              </w:rPr>
              <w:t>235,059,590</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240,879,565</w:t>
            </w: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Equity/Partnership Interests—1.7% </w:t>
            </w:r>
            <w:r>
              <w:rPr>
                <w:rFonts w:ascii="Arial" w:cs="Arial" w:eastAsia="Arial" w:hAnsi="Arial"/>
                <w:sz w:val="9"/>
                <w:szCs w:val="9"/>
                <w:b w:val="1"/>
                <w:bCs w:val="1"/>
                <w:color w:val="auto"/>
              </w:rPr>
              <w:t>(6)</w:t>
            </w:r>
          </w:p>
        </w:tc>
        <w:tc>
          <w:tcPr>
            <w:tcW w:w="1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AH Holdings, Inc.</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2"/>
              </w:rPr>
              <w:t>—</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114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6.00%</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211</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500,000</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90"/>
              </w:rPr>
              <w:t>Childcare</w:t>
            </w: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AHC Mezzanine, LLC</w:t>
            </w:r>
          </w:p>
        </w:tc>
        <w:tc>
          <w:tcPr>
            <w:tcW w:w="124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82"/>
              </w:rPr>
              <w:t>—</w:t>
            </w: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Other Media</w:t>
            </w:r>
          </w:p>
        </w:tc>
        <w:tc>
          <w:tcPr>
            <w:tcW w:w="114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7,505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318,896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2"/>
              </w:rPr>
              <w:t>—</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8"/>
              </w:rPr>
              <w:t>Financial Services</w:t>
            </w:r>
          </w:p>
        </w:tc>
        <w:tc>
          <w:tcPr>
            <w:tcW w:w="1140" w:type="dxa"/>
            <w:vAlign w:val="bottom"/>
          </w:tcPr>
          <w:p>
            <w:pPr>
              <w:jc w:val="right"/>
              <w:ind w:right="302"/>
              <w:spacing w:after="0" w:line="129"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949</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949,050</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166,701</w:t>
            </w:r>
          </w:p>
        </w:tc>
        <w:tc>
          <w:tcPr>
            <w:tcW w:w="0" w:type="dxa"/>
            <w:vAlign w:val="bottom"/>
          </w:tcPr>
          <w:p>
            <w:pPr>
              <w:spacing w:after="0"/>
              <w:rPr>
                <w:sz w:val="1"/>
                <w:szCs w:val="1"/>
                <w:color w:val="auto"/>
              </w:rPr>
            </w:pPr>
          </w:p>
        </w:tc>
      </w:tr>
      <w:tr>
        <w:trPr>
          <w:trHeight w:val="141"/>
        </w:trPr>
        <w:tc>
          <w:tcPr>
            <w:tcW w:w="306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1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240" w:type="dxa"/>
            <w:vAlign w:val="bottom"/>
            <w:shd w:val="clear" w:color="auto" w:fill="CCEEFF"/>
          </w:tcPr>
          <w:p>
            <w:pPr>
              <w:jc w:val="center"/>
              <w:ind w:left="362"/>
              <w:spacing w:after="0" w:line="129" w:lineRule="exact"/>
              <w:rPr>
                <w:sz w:val="20"/>
                <w:szCs w:val="20"/>
                <w:color w:val="auto"/>
              </w:rPr>
            </w:pPr>
            <w:r>
              <w:rPr>
                <w:rFonts w:ascii="Arial" w:cs="Arial" w:eastAsia="Arial" w:hAnsi="Arial"/>
                <w:sz w:val="12"/>
                <w:szCs w:val="12"/>
                <w:color w:val="auto"/>
                <w:w w:val="82"/>
              </w:rPr>
              <w:t>—</w:t>
            </w:r>
          </w:p>
        </w:tc>
        <w:tc>
          <w:tcPr>
            <w:tcW w:w="15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114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8.00%</w:t>
            </w:r>
          </w:p>
        </w:tc>
        <w:tc>
          <w:tcPr>
            <w:tcW w:w="1160" w:type="dxa"/>
            <w:vAlign w:val="bottom"/>
            <w:gridSpan w:val="2"/>
            <w:shd w:val="clear" w:color="auto" w:fill="CCEEFF"/>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76,357</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765,307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1,762,472</w:t>
            </w:r>
          </w:p>
        </w:tc>
        <w:tc>
          <w:tcPr>
            <w:tcW w:w="0" w:type="dxa"/>
            <w:vAlign w:val="bottom"/>
          </w:tcPr>
          <w:p>
            <w:pPr>
              <w:spacing w:after="0"/>
              <w:rPr>
                <w:sz w:val="1"/>
                <w:szCs w:val="1"/>
                <w:color w:val="auto"/>
              </w:rPr>
            </w:pPr>
          </w:p>
        </w:tc>
      </w:tr>
      <w:tr>
        <w:trPr>
          <w:trHeight w:val="141"/>
        </w:trPr>
        <w:tc>
          <w:tcPr>
            <w:tcW w:w="30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Childcare</w:t>
            </w: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2"/>
              </w:rPr>
              <w:t>—</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1140" w:type="dxa"/>
            <w:vAlign w:val="bottom"/>
          </w:tcPr>
          <w:p>
            <w:pPr>
              <w:jc w:val="right"/>
              <w:ind w:right="302"/>
              <w:spacing w:after="0" w:line="129"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38,179</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382,654</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881,236</w:t>
            </w: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90"/>
              </w:rPr>
              <w:t>Childcare</w:t>
            </w: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240" w:type="dxa"/>
            <w:vAlign w:val="bottom"/>
            <w:shd w:val="clear" w:color="auto" w:fill="CCEEFF"/>
          </w:tcPr>
          <w:p>
            <w:pPr>
              <w:jc w:val="center"/>
              <w:ind w:left="362"/>
              <w:spacing w:after="0" w:line="129" w:lineRule="exact"/>
              <w:rPr>
                <w:sz w:val="20"/>
                <w:szCs w:val="20"/>
                <w:color w:val="auto"/>
              </w:rPr>
            </w:pPr>
            <w:r>
              <w:rPr>
                <w:rFonts w:ascii="Arial" w:cs="Arial" w:eastAsia="Arial" w:hAnsi="Arial"/>
                <w:sz w:val="12"/>
                <w:szCs w:val="12"/>
                <w:color w:val="auto"/>
                <w:w w:val="82"/>
              </w:rPr>
              <w:t>—</w:t>
            </w:r>
          </w:p>
        </w:tc>
        <w:tc>
          <w:tcPr>
            <w:tcW w:w="15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91"/>
              </w:rPr>
              <w:t>Electronics</w:t>
            </w:r>
          </w:p>
        </w:tc>
        <w:tc>
          <w:tcPr>
            <w:tcW w:w="114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8.00%</w:t>
            </w:r>
          </w:p>
        </w:tc>
        <w:tc>
          <w:tcPr>
            <w:tcW w:w="1160" w:type="dxa"/>
            <w:vAlign w:val="bottom"/>
            <w:gridSpan w:val="2"/>
            <w:shd w:val="clear" w:color="auto" w:fill="CCEEFF"/>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2,375</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2,375,000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2,737,419</w:t>
            </w:r>
          </w:p>
        </w:tc>
        <w:tc>
          <w:tcPr>
            <w:tcW w:w="0" w:type="dxa"/>
            <w:vAlign w:val="bottom"/>
          </w:tcPr>
          <w:p>
            <w:pPr>
              <w:spacing w:after="0"/>
              <w:rPr>
                <w:sz w:val="1"/>
                <w:szCs w:val="1"/>
                <w:color w:val="auto"/>
              </w:rPr>
            </w:pPr>
          </w:p>
        </w:tc>
      </w:tr>
      <w:tr>
        <w:trPr>
          <w:trHeight w:val="141"/>
        </w:trPr>
        <w:tc>
          <w:tcPr>
            <w:tcW w:w="3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(Convergint Technologies LLC)</w:t>
            </w:r>
          </w:p>
        </w:tc>
        <w:tc>
          <w:tcPr>
            <w:tcW w:w="1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1240" w:type="dxa"/>
            <w:vAlign w:val="bottom"/>
          </w:tcPr>
          <w:p>
            <w:pPr>
              <w:jc w:val="center"/>
              <w:ind w:left="362"/>
              <w:spacing w:after="0" w:line="129" w:lineRule="exact"/>
              <w:rPr>
                <w:sz w:val="20"/>
                <w:szCs w:val="20"/>
                <w:color w:val="auto"/>
              </w:rPr>
            </w:pPr>
            <w:r>
              <w:rPr>
                <w:rFonts w:ascii="Arial" w:cs="Arial" w:eastAsia="Arial" w:hAnsi="Arial"/>
                <w:sz w:val="12"/>
                <w:szCs w:val="12"/>
                <w:color w:val="auto"/>
                <w:w w:val="82"/>
              </w:rPr>
              <w:t>—</w:t>
            </w:r>
          </w:p>
        </w:tc>
        <w:tc>
          <w:tcPr>
            <w:tcW w:w="15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4"/>
              </w:rPr>
              <w:t>Consumer Products</w:t>
            </w:r>
          </w:p>
        </w:tc>
        <w:tc>
          <w:tcPr>
            <w:tcW w:w="114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8.00%</w:t>
            </w:r>
          </w:p>
        </w:tc>
        <w:tc>
          <w:tcPr>
            <w:tcW w:w="11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3,397</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3,397,484</w:t>
            </w: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3,912,260</w:t>
            </w:r>
          </w:p>
        </w:tc>
        <w:tc>
          <w:tcPr>
            <w:tcW w:w="0" w:type="dxa"/>
            <w:vAlign w:val="bottom"/>
          </w:tcPr>
          <w:p>
            <w:pPr>
              <w:spacing w:after="0"/>
              <w:rPr>
                <w:sz w:val="1"/>
                <w:szCs w:val="1"/>
                <w:color w:val="auto"/>
              </w:rPr>
            </w:pPr>
          </w:p>
        </w:tc>
      </w:tr>
      <w:tr>
        <w:trPr>
          <w:trHeight w:val="141"/>
        </w:trPr>
        <w:tc>
          <w:tcPr>
            <w:tcW w:w="3060" w:type="dxa"/>
            <w:vAlign w:val="bottom"/>
          </w:tcPr>
          <w:p>
            <w:pPr>
              <w:ind w:left="120"/>
              <w:spacing w:after="0"/>
              <w:rPr>
                <w:sz w:val="20"/>
                <w:szCs w:val="20"/>
                <w:color w:val="auto"/>
              </w:rPr>
            </w:pPr>
            <w:r>
              <w:rPr>
                <w:rFonts w:ascii="Arial" w:cs="Arial" w:eastAsia="Arial" w:hAnsi="Arial"/>
                <w:sz w:val="12"/>
                <w:szCs w:val="12"/>
                <w:color w:val="auto"/>
              </w:rPr>
              <w:t>(J.A. Cosmetics Holdings, Inc.)</w:t>
            </w:r>
          </w:p>
        </w:tc>
        <w:tc>
          <w:tcPr>
            <w:tcW w:w="1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Red Point, LLC (f/k/a Hanley-Wood Holdings, LLC)</w:t>
            </w:r>
          </w:p>
        </w:tc>
        <w:tc>
          <w:tcPr>
            <w:tcW w:w="124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82"/>
              </w:rPr>
              <w:t>—</w:t>
            </w: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Other Media</w:t>
            </w:r>
          </w:p>
        </w:tc>
        <w:tc>
          <w:tcPr>
            <w:tcW w:w="11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8.00%</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3,591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21,727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40,583</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Ride Holdings, Inc. (f/k/a VRide Holdings, Inc.)</w:t>
            </w:r>
          </w:p>
        </w:tc>
        <w:tc>
          <w:tcPr>
            <w:tcW w:w="1240" w:type="dxa"/>
            <w:vAlign w:val="bottom"/>
          </w:tcPr>
          <w:p>
            <w:pPr>
              <w:jc w:val="center"/>
              <w:ind w:left="362"/>
              <w:spacing w:after="0"/>
              <w:rPr>
                <w:sz w:val="20"/>
                <w:szCs w:val="20"/>
                <w:color w:val="auto"/>
              </w:rPr>
            </w:pPr>
            <w:r>
              <w:rPr>
                <w:rFonts w:ascii="Arial" w:cs="Arial" w:eastAsia="Arial" w:hAnsi="Arial"/>
                <w:sz w:val="12"/>
                <w:szCs w:val="12"/>
                <w:color w:val="auto"/>
                <w:w w:val="82"/>
              </w:rPr>
              <w:t>—</w:t>
            </w: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85"/>
              </w:rPr>
              <w:t>Personal Transportation</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8.00%</w:t>
            </w:r>
          </w:p>
        </w:tc>
        <w:tc>
          <w:tcPr>
            <w:tcW w:w="11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2"/>
                <w:szCs w:val="12"/>
                <w:color w:val="auto"/>
              </w:rPr>
              <w:t>1,966,667</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2,251,667</w:t>
            </w: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1,029,295</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240" w:type="dxa"/>
            <w:vAlign w:val="bottom"/>
            <w:shd w:val="clear" w:color="auto" w:fill="CCEEFF"/>
          </w:tcPr>
          <w:p>
            <w:pPr>
              <w:jc w:val="center"/>
              <w:ind w:left="362"/>
              <w:spacing w:after="0"/>
              <w:rPr>
                <w:sz w:val="20"/>
                <w:szCs w:val="20"/>
                <w:color w:val="auto"/>
              </w:rPr>
            </w:pPr>
            <w:r>
              <w:rPr>
                <w:rFonts w:ascii="Arial" w:cs="Arial" w:eastAsia="Arial" w:hAnsi="Arial"/>
                <w:sz w:val="12"/>
                <w:szCs w:val="12"/>
                <w:color w:val="auto"/>
                <w:w w:val="82"/>
              </w:rPr>
              <w:t>—</w:t>
            </w:r>
          </w:p>
        </w:tc>
        <w:tc>
          <w:tcPr>
            <w:tcW w:w="15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Insurance</w:t>
            </w:r>
          </w:p>
        </w:tc>
        <w:tc>
          <w:tcPr>
            <w:tcW w:w="114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686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685,820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240" w:type="dxa"/>
            <w:vAlign w:val="bottom"/>
          </w:tcPr>
          <w:p>
            <w:pPr>
              <w:jc w:val="center"/>
              <w:ind w:left="362"/>
              <w:spacing w:after="0"/>
              <w:rPr>
                <w:sz w:val="20"/>
                <w:szCs w:val="20"/>
                <w:color w:val="auto"/>
              </w:rPr>
            </w:pPr>
            <w:r>
              <w:rPr>
                <w:rFonts w:ascii="Arial" w:cs="Arial" w:eastAsia="Arial" w:hAnsi="Arial"/>
                <w:sz w:val="12"/>
                <w:szCs w:val="12"/>
                <w:color w:val="auto"/>
                <w:w w:val="82"/>
              </w:rPr>
              <w:t>—</w:t>
            </w:r>
          </w:p>
        </w:tc>
        <w:tc>
          <w:tcPr>
            <w:tcW w:w="1580" w:type="dxa"/>
            <w:vAlign w:val="bottom"/>
          </w:tcPr>
          <w:p>
            <w:pPr>
              <w:jc w:val="center"/>
              <w:ind w:right="22"/>
              <w:spacing w:after="0"/>
              <w:rPr>
                <w:sz w:val="20"/>
                <w:szCs w:val="20"/>
                <w:color w:val="auto"/>
              </w:rPr>
            </w:pPr>
            <w:r>
              <w:rPr>
                <w:rFonts w:ascii="Arial" w:cs="Arial" w:eastAsia="Arial" w:hAnsi="Arial"/>
                <w:sz w:val="12"/>
                <w:szCs w:val="12"/>
                <w:color w:val="auto"/>
                <w:w w:val="87"/>
              </w:rPr>
              <w:t>Insurance</w:t>
            </w:r>
          </w:p>
        </w:tc>
        <w:tc>
          <w:tcPr>
            <w:tcW w:w="1140" w:type="dxa"/>
            <w:vAlign w:val="bottom"/>
          </w:tcPr>
          <w:p>
            <w:pPr>
              <w:jc w:val="right"/>
              <w:ind w:right="202"/>
              <w:spacing w:after="0"/>
              <w:rPr>
                <w:sz w:val="20"/>
                <w:szCs w:val="20"/>
                <w:color w:val="auto"/>
              </w:rPr>
            </w:pPr>
            <w:r>
              <w:rPr>
                <w:rFonts w:ascii="Arial" w:cs="Arial" w:eastAsia="Arial" w:hAnsi="Arial"/>
                <w:sz w:val="12"/>
                <w:szCs w:val="12"/>
                <w:color w:val="auto"/>
              </w:rPr>
              <w:t>6.50%</w:t>
            </w:r>
          </w:p>
        </w:tc>
        <w:tc>
          <w:tcPr>
            <w:tcW w:w="11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2"/>
                <w:szCs w:val="12"/>
                <w:color w:val="auto"/>
              </w:rPr>
              <w:t>1,312</w:t>
            </w:r>
          </w:p>
        </w:tc>
        <w:tc>
          <w:tcPr>
            <w:tcW w:w="12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1,312,006</w:t>
            </w: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1,799,366</w:t>
            </w:r>
          </w:p>
        </w:tc>
        <w:tc>
          <w:tcPr>
            <w:tcW w:w="0" w:type="dxa"/>
            <w:vAlign w:val="bottom"/>
          </w:tcPr>
          <w:p>
            <w:pPr>
              <w:spacing w:after="0"/>
              <w:rPr>
                <w:sz w:val="1"/>
                <w:szCs w:val="1"/>
                <w:color w:val="auto"/>
              </w:rPr>
            </w:pPr>
          </w:p>
        </w:tc>
      </w:tr>
      <w:tr>
        <w:trPr>
          <w:trHeight w:val="48"/>
        </w:trPr>
        <w:tc>
          <w:tcPr>
            <w:tcW w:w="3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12,959,611</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13,015,152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center"/>
              <w:ind w:left="342"/>
              <w:spacing w:after="0"/>
              <w:rPr>
                <w:sz w:val="20"/>
                <w:szCs w:val="20"/>
                <w:color w:val="auto"/>
              </w:rPr>
            </w:pPr>
            <w:r>
              <w:rPr>
                <w:rFonts w:ascii="Arial" w:cs="Arial" w:eastAsia="Arial" w:hAnsi="Arial"/>
                <w:sz w:val="12"/>
                <w:szCs w:val="12"/>
                <w:b w:val="1"/>
                <w:bCs w:val="1"/>
                <w:color w:val="auto"/>
                <w:w w:val="85"/>
              </w:rPr>
              <w:t>Basis Point</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Maturity /</w:t>
            </w:r>
          </w:p>
        </w:tc>
        <w:tc>
          <w:tcPr>
            <w:tcW w:w="1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jc w:val="center"/>
              <w:ind w:left="342"/>
              <w:spacing w:after="0" w:line="135" w:lineRule="exact"/>
              <w:rPr>
                <w:sz w:val="20"/>
                <w:szCs w:val="20"/>
                <w:color w:val="auto"/>
              </w:rPr>
            </w:pPr>
            <w:r>
              <w:rPr>
                <w:rFonts w:ascii="Arial" w:cs="Arial" w:eastAsia="Arial" w:hAnsi="Arial"/>
                <w:sz w:val="12"/>
                <w:szCs w:val="12"/>
                <w:b w:val="1"/>
                <w:bCs w:val="1"/>
                <w:color w:val="auto"/>
                <w:w w:val="88"/>
              </w:rPr>
              <w:t>Spread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560" w:type="dxa"/>
            <w:vAlign w:val="bottom"/>
          </w:tcPr>
          <w:p>
            <w:pPr>
              <w:ind w:left="120"/>
              <w:spacing w:after="0" w:line="122" w:lineRule="exact"/>
              <w:rPr>
                <w:sz w:val="20"/>
                <w:szCs w:val="20"/>
                <w:color w:val="auto"/>
              </w:rPr>
            </w:pPr>
            <w:r>
              <w:rPr>
                <w:rFonts w:ascii="Arial" w:cs="Arial" w:eastAsia="Arial" w:hAnsi="Arial"/>
                <w:sz w:val="12"/>
                <w:szCs w:val="12"/>
                <w:b w:val="1"/>
                <w:bCs w:val="1"/>
                <w:color w:val="auto"/>
                <w:w w:val="96"/>
              </w:rPr>
              <w:t>Current</w:t>
            </w:r>
          </w:p>
        </w:tc>
        <w:tc>
          <w:tcPr>
            <w:tcW w:w="960" w:type="dxa"/>
            <w:vAlign w:val="bottom"/>
          </w:tcPr>
          <w:p>
            <w:pPr>
              <w:jc w:val="center"/>
              <w:ind w:left="342"/>
              <w:spacing w:after="0" w:line="122" w:lineRule="exact"/>
              <w:rPr>
                <w:sz w:val="20"/>
                <w:szCs w:val="20"/>
                <w:color w:val="auto"/>
              </w:rPr>
            </w:pPr>
            <w:r>
              <w:rPr>
                <w:rFonts w:ascii="Arial" w:cs="Arial" w:eastAsia="Arial" w:hAnsi="Arial"/>
                <w:sz w:val="12"/>
                <w:szCs w:val="12"/>
                <w:b w:val="1"/>
                <w:bCs w:val="1"/>
                <w:color w:val="auto"/>
                <w:w w:val="87"/>
              </w:rPr>
              <w:t>Above</w:t>
            </w:r>
          </w:p>
        </w:tc>
        <w:tc>
          <w:tcPr>
            <w:tcW w:w="280" w:type="dxa"/>
            <w:vAlign w:val="bottom"/>
          </w:tcPr>
          <w:p>
            <w:pPr>
              <w:spacing w:after="0"/>
              <w:rPr>
                <w:sz w:val="10"/>
                <w:szCs w:val="10"/>
                <w:color w:val="auto"/>
              </w:rPr>
            </w:pPr>
          </w:p>
        </w:tc>
        <w:tc>
          <w:tcPr>
            <w:tcW w:w="800" w:type="dxa"/>
            <w:vAlign w:val="bottom"/>
          </w:tcPr>
          <w:p>
            <w:pPr>
              <w:jc w:val="right"/>
              <w:ind w:right="302"/>
              <w:spacing w:after="0" w:line="122"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Expiration</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w w:val="88"/>
              </w:rPr>
              <w:t>Coupon</w:t>
            </w:r>
          </w:p>
        </w:tc>
        <w:tc>
          <w:tcPr>
            <w:tcW w:w="960" w:type="dxa"/>
            <w:vAlign w:val="bottom"/>
          </w:tcPr>
          <w:p>
            <w:pPr>
              <w:jc w:val="center"/>
              <w:ind w:left="34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80" w:type="dxa"/>
            <w:vAlign w:val="bottom"/>
          </w:tcPr>
          <w:p>
            <w:pPr>
              <w:spacing w:after="0"/>
              <w:rPr>
                <w:sz w:val="13"/>
                <w:szCs w:val="13"/>
                <w:color w:val="auto"/>
              </w:rPr>
            </w:pPr>
          </w:p>
        </w:tc>
        <w:tc>
          <w:tcPr>
            <w:tcW w:w="800" w:type="dxa"/>
            <w:vAlign w:val="bottom"/>
          </w:tcPr>
          <w:p>
            <w:pPr>
              <w:jc w:val="right"/>
              <w:ind w:right="2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9"/>
        </w:trPr>
        <w:tc>
          <w:tcPr>
            <w:tcW w:w="3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Interests/Warrants—10.5% </w:t>
            </w:r>
            <w:r>
              <w:rPr>
                <w:rFonts w:ascii="Arial" w:cs="Arial" w:eastAsia="Arial" w:hAnsi="Arial"/>
                <w:sz w:val="9"/>
                <w:szCs w:val="9"/>
                <w:b w:val="1"/>
                <w:bCs w:val="1"/>
                <w:color w:val="auto"/>
              </w:rPr>
              <w:t>(6)</w:t>
            </w:r>
          </w:p>
        </w:tc>
        <w:tc>
          <w:tcPr>
            <w:tcW w:w="78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(11)</w:t>
            </w:r>
          </w:p>
        </w:tc>
        <w:tc>
          <w:tcPr>
            <w:tcW w:w="780" w:type="dxa"/>
            <w:vAlign w:val="bottom"/>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56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1,998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2,000,000</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902,828</w:t>
            </w: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Affinion Group Holdings, Inc., Series A</w:t>
            </w:r>
          </w:p>
        </w:tc>
        <w:tc>
          <w:tcPr>
            <w:tcW w:w="780" w:type="dxa"/>
            <w:vAlign w:val="bottom"/>
            <w:shd w:val="clear" w:color="auto" w:fill="CCEEFF"/>
          </w:tcPr>
          <w:p>
            <w:pPr>
              <w:jc w:val="center"/>
              <w:ind w:left="62"/>
              <w:spacing w:after="0" w:line="129" w:lineRule="exact"/>
              <w:rPr>
                <w:sz w:val="20"/>
                <w:szCs w:val="20"/>
                <w:color w:val="auto"/>
              </w:rPr>
            </w:pPr>
            <w:r>
              <w:rPr>
                <w:rFonts w:ascii="Arial" w:cs="Arial" w:eastAsia="Arial" w:hAnsi="Arial"/>
                <w:sz w:val="12"/>
                <w:szCs w:val="12"/>
                <w:color w:val="auto"/>
                <w:w w:val="89"/>
              </w:rPr>
              <w:t>12/12/2023</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4,798,624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10,265,972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12,716,355</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Affinion Group Holdings, Inc., Series B</w:t>
            </w:r>
          </w:p>
        </w:tc>
        <w:tc>
          <w:tcPr>
            <w:tcW w:w="780" w:type="dxa"/>
            <w:vAlign w:val="bottom"/>
          </w:tcPr>
          <w:p>
            <w:pPr>
              <w:jc w:val="center"/>
              <w:ind w:left="62"/>
              <w:spacing w:after="0" w:line="129" w:lineRule="exact"/>
              <w:rPr>
                <w:sz w:val="20"/>
                <w:szCs w:val="20"/>
                <w:color w:val="auto"/>
              </w:rPr>
            </w:pPr>
            <w:r>
              <w:rPr>
                <w:rFonts w:ascii="Arial" w:cs="Arial" w:eastAsia="Arial" w:hAnsi="Arial"/>
                <w:sz w:val="12"/>
                <w:szCs w:val="12"/>
                <w:color w:val="auto"/>
                <w:w w:val="89"/>
              </w:rPr>
              <w:t>12/12/2023</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9,822,196</w:t>
            </w:r>
          </w:p>
        </w:tc>
        <w:tc>
          <w:tcPr>
            <w:tcW w:w="120" w:type="dxa"/>
            <w:vAlign w:val="bottom"/>
          </w:tcPr>
          <w:p>
            <w:pPr>
              <w:spacing w:after="0"/>
              <w:rPr>
                <w:sz w:val="11"/>
                <w:szCs w:val="11"/>
                <w:color w:val="auto"/>
              </w:rPr>
            </w:pPr>
          </w:p>
        </w:tc>
        <w:tc>
          <w:tcPr>
            <w:tcW w:w="96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196,444</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(Warrants)</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AH Holdings, Inc. (Warrants)</w:t>
            </w:r>
          </w:p>
        </w:tc>
        <w:tc>
          <w:tcPr>
            <w:tcW w:w="780" w:type="dxa"/>
            <w:vAlign w:val="bottom"/>
            <w:shd w:val="clear" w:color="auto" w:fill="CCEEFF"/>
          </w:tcPr>
          <w:p>
            <w:pPr>
              <w:jc w:val="center"/>
              <w:ind w:left="62"/>
              <w:spacing w:after="0" w:line="129" w:lineRule="exact"/>
              <w:rPr>
                <w:sz w:val="20"/>
                <w:szCs w:val="20"/>
                <w:color w:val="auto"/>
              </w:rPr>
            </w:pPr>
            <w:r>
              <w:rPr>
                <w:rFonts w:ascii="Arial" w:cs="Arial" w:eastAsia="Arial" w:hAnsi="Arial"/>
                <w:sz w:val="12"/>
                <w:szCs w:val="12"/>
                <w:color w:val="auto"/>
                <w:w w:val="89"/>
              </w:rPr>
              <w:t>03/23/2021</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753</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3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Childcare</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950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ASP LCG Holdings, Inc. (f/k/a Learning</w:t>
            </w:r>
          </w:p>
        </w:tc>
        <w:tc>
          <w:tcPr>
            <w:tcW w:w="780" w:type="dxa"/>
            <w:vAlign w:val="bottom"/>
            <w:shd w:val="clear" w:color="auto" w:fill="CCEEFF"/>
          </w:tcPr>
          <w:p>
            <w:pPr>
              <w:jc w:val="center"/>
              <w:ind w:left="62"/>
              <w:spacing w:after="0" w:line="129" w:lineRule="exact"/>
              <w:rPr>
                <w:sz w:val="20"/>
                <w:szCs w:val="20"/>
                <w:color w:val="auto"/>
              </w:rPr>
            </w:pPr>
            <w:r>
              <w:rPr>
                <w:rFonts w:ascii="Arial" w:cs="Arial" w:eastAsia="Arial" w:hAnsi="Arial"/>
                <w:sz w:val="12"/>
                <w:szCs w:val="12"/>
                <w:color w:val="auto"/>
                <w:w w:val="89"/>
              </w:rPr>
              <w:t>05/05/2026</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Education</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933</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586,975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545,114</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Care Group (US) Inc.) (Warrants)</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20"/>
                <w:szCs w:val="20"/>
                <w:color w:val="auto"/>
              </w:rPr>
            </w:pPr>
            <w:r>
              <w:rPr>
                <w:rFonts w:ascii="Arial" w:cs="Arial" w:eastAsia="Arial" w:hAnsi="Arial"/>
                <w:sz w:val="12"/>
                <w:szCs w:val="12"/>
                <w:color w:val="auto"/>
              </w:rPr>
              <w:t>Autumn Games, LLC</w:t>
            </w:r>
          </w:p>
        </w:tc>
        <w:tc>
          <w:tcPr>
            <w:tcW w:w="780" w:type="dxa"/>
            <w:vAlign w:val="bottom"/>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rPr>
                <w:sz w:val="20"/>
                <w:szCs w:val="20"/>
                <w:color w:val="auto"/>
              </w:rPr>
            </w:pPr>
            <w:r>
              <w:rPr>
                <w:rFonts w:ascii="Arial" w:cs="Arial" w:eastAsia="Arial" w:hAnsi="Arial"/>
                <w:sz w:val="12"/>
                <w:szCs w:val="12"/>
                <w:color w:val="auto"/>
                <w:w w:val="88"/>
              </w:rPr>
              <w:t>Broadcasting and Entertainment</w:t>
            </w:r>
          </w:p>
        </w:tc>
        <w:tc>
          <w:tcPr>
            <w:tcW w:w="56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1,333,330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3,000,000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(11)</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2"/>
              </w:rPr>
              <w:t>Building Materials</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207,242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2,608,001</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(Foundation Building Materials, LLC)</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(9), (11)</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92"/>
              </w:rPr>
              <w:t>Building Materials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103,621</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1,125,000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1,304,001</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(Foundation Building Materials, 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7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Distribution</w:t>
            </w: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1,505,000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1,913,376</w:t>
            </w: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23,416</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234,693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539,257</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86"/>
              </w:rPr>
              <w:t>Childcare</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8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780" w:type="dxa"/>
            <w:vAlign w:val="bottom"/>
            <w:shd w:val="clear" w:color="auto" w:fill="CCEEFF"/>
          </w:tcPr>
          <w:p>
            <w:pPr>
              <w:jc w:val="center"/>
              <w:ind w:left="42"/>
              <w:spacing w:after="0" w:line="132"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7"/>
              </w:rPr>
              <w:t>Healthcare, Education and</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32"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11,708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117,346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269,629</w:t>
            </w:r>
          </w:p>
        </w:tc>
        <w:tc>
          <w:tcPr>
            <w:tcW w:w="0" w:type="dxa"/>
            <w:vAlign w:val="bottom"/>
          </w:tcPr>
          <w:p>
            <w:pPr>
              <w:spacing w:after="0"/>
              <w:rPr>
                <w:sz w:val="1"/>
                <w:szCs w:val="1"/>
                <w:color w:val="auto"/>
              </w:rPr>
            </w:pPr>
          </w:p>
        </w:tc>
      </w:tr>
      <w:tr>
        <w:trPr>
          <w:trHeight w:val="155"/>
        </w:trPr>
        <w:tc>
          <w:tcPr>
            <w:tcW w:w="3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Childcare</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2,375</w:t>
            </w:r>
          </w:p>
        </w:tc>
        <w:tc>
          <w:tcPr>
            <w:tcW w:w="120" w:type="dxa"/>
            <w:vAlign w:val="bottom"/>
          </w:tcPr>
          <w:p>
            <w:pPr>
              <w:spacing w:after="0"/>
              <w:rPr>
                <w:sz w:val="11"/>
                <w:szCs w:val="11"/>
                <w:color w:val="auto"/>
              </w:rPr>
            </w:pPr>
          </w:p>
        </w:tc>
        <w:tc>
          <w:tcPr>
            <w:tcW w:w="96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686,666</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(Convergint Technologies 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CT Technologies Holdings, LLC</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Business Services</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5,556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545,887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4,210,946</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(CT Technologies Intermediate Holdings, Inc.)</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252</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2,516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204,342</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(J.A. Cosmetics Holdings, Inc.)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Kadmon Holdings, LLC, Class A</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1,079,920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1,236,832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10,056,948</w:t>
            </w:r>
          </w:p>
        </w:tc>
        <w:tc>
          <w:tcPr>
            <w:tcW w:w="0" w:type="dxa"/>
            <w:vAlign w:val="bottom"/>
          </w:tcPr>
          <w:p>
            <w:pPr>
              <w:spacing w:after="0"/>
              <w:rPr>
                <w:sz w:val="1"/>
                <w:szCs w:val="1"/>
                <w:color w:val="auto"/>
              </w:rPr>
            </w:pPr>
          </w:p>
        </w:tc>
      </w:tr>
      <w:tr>
        <w:trPr>
          <w:trHeight w:val="155"/>
        </w:trPr>
        <w:tc>
          <w:tcPr>
            <w:tcW w:w="3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Childcare</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Kadmon Holdings, LLC, Class D</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1,079,920</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1,028,807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86"/>
              </w:rPr>
              <w:t>Childcare</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Lariat ecoserv Co-Invest Holdings, LLC</w:t>
            </w:r>
          </w:p>
        </w:tc>
        <w:tc>
          <w:tcPr>
            <w:tcW w:w="7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Environmental Services</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1,000,000</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780" w:type="dxa"/>
            <w:vAlign w:val="bottom"/>
          </w:tcPr>
          <w:p>
            <w:pPr>
              <w:jc w:val="center"/>
              <w:ind w:left="62"/>
              <w:spacing w:after="0" w:line="129" w:lineRule="exact"/>
              <w:rPr>
                <w:sz w:val="20"/>
                <w:szCs w:val="20"/>
                <w:color w:val="auto"/>
              </w:rPr>
            </w:pPr>
            <w:r>
              <w:rPr>
                <w:rFonts w:ascii="Arial" w:cs="Arial" w:eastAsia="Arial" w:hAnsi="Arial"/>
                <w:sz w:val="12"/>
                <w:szCs w:val="12"/>
                <w:color w:val="auto"/>
                <w:w w:val="89"/>
              </w:rPr>
              <w:t>04/16/2016</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122,192</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182,498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277,379</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(Warrants)</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MidOcean JF Holdings Corp.</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1,850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1,850,294</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881,603</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(JF Acquisitions, LLC)</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MidOcean PPL Holdings, Corp.</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6"/>
              </w:rPr>
              <w:t>Personal, Food and Miscellaneous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3,000</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3,000,000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5,997,138</w:t>
            </w:r>
          </w:p>
        </w:tc>
        <w:tc>
          <w:tcPr>
            <w:tcW w:w="0" w:type="dxa"/>
            <w:vAlign w:val="bottom"/>
          </w:tcPr>
          <w:p>
            <w:pPr>
              <w:spacing w:after="0"/>
              <w:rPr>
                <w:sz w:val="1"/>
                <w:szCs w:val="1"/>
                <w:color w:val="auto"/>
              </w:rPr>
            </w:pPr>
          </w:p>
        </w:tc>
      </w:tr>
      <w:tr>
        <w:trPr>
          <w:trHeight w:val="151"/>
        </w:trPr>
        <w:tc>
          <w:tcPr>
            <w:tcW w:w="3820" w:type="dxa"/>
            <w:vAlign w:val="bottom"/>
          </w:tcPr>
          <w:p>
            <w:pPr>
              <w:ind w:left="120"/>
              <w:spacing w:after="0"/>
              <w:rPr>
                <w:sz w:val="20"/>
                <w:szCs w:val="20"/>
                <w:color w:val="auto"/>
              </w:rPr>
            </w:pPr>
            <w:r>
              <w:rPr>
                <w:rFonts w:ascii="Arial" w:cs="Arial" w:eastAsia="Arial" w:hAnsi="Arial"/>
                <w:sz w:val="12"/>
                <w:szCs w:val="12"/>
                <w:color w:val="auto"/>
              </w:rPr>
              <w:t>(Pre-Paid Legal Services, Inc.)</w:t>
            </w:r>
          </w:p>
        </w:tc>
        <w:tc>
          <w:tcPr>
            <w:tcW w:w="7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86"/>
              </w:rPr>
              <w:t>Services</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New Gulf Resources, LLC (Warrants)</w:t>
            </w:r>
          </w:p>
        </w:tc>
        <w:tc>
          <w:tcPr>
            <w:tcW w:w="78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05/09/2024</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13,500</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495,000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1,687,355</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20"/>
                <w:szCs w:val="20"/>
                <w:color w:val="auto"/>
              </w:rPr>
            </w:pPr>
            <w:r>
              <w:rPr>
                <w:rFonts w:ascii="Arial" w:cs="Arial" w:eastAsia="Arial" w:hAnsi="Arial"/>
                <w:sz w:val="12"/>
                <w:szCs w:val="12"/>
                <w:color w:val="auto"/>
              </w:rPr>
              <w:t>Old Guard Risk Services, Inc. (Warrants)</w:t>
            </w:r>
          </w:p>
        </w:tc>
        <w:tc>
          <w:tcPr>
            <w:tcW w:w="780" w:type="dxa"/>
            <w:vAlign w:val="bottom"/>
          </w:tcPr>
          <w:p>
            <w:pPr>
              <w:jc w:val="center"/>
              <w:ind w:left="62"/>
              <w:spacing w:after="0"/>
              <w:rPr>
                <w:sz w:val="20"/>
                <w:szCs w:val="20"/>
                <w:color w:val="auto"/>
              </w:rPr>
            </w:pPr>
            <w:r>
              <w:rPr>
                <w:rFonts w:ascii="Arial" w:cs="Arial" w:eastAsia="Arial" w:hAnsi="Arial"/>
                <w:sz w:val="12"/>
                <w:szCs w:val="12"/>
                <w:color w:val="auto"/>
                <w:w w:val="89"/>
              </w:rPr>
              <w:t>11/27/2023</w:t>
            </w:r>
          </w:p>
        </w:tc>
        <w:tc>
          <w:tcPr>
            <w:tcW w:w="1800" w:type="dxa"/>
            <w:vAlign w:val="bottom"/>
          </w:tcPr>
          <w:p>
            <w:pPr>
              <w:jc w:val="center"/>
              <w:spacing w:after="0"/>
              <w:rPr>
                <w:sz w:val="20"/>
                <w:szCs w:val="20"/>
                <w:color w:val="auto"/>
              </w:rPr>
            </w:pPr>
            <w:r>
              <w:rPr>
                <w:rFonts w:ascii="Arial" w:cs="Arial" w:eastAsia="Arial" w:hAnsi="Arial"/>
                <w:sz w:val="12"/>
                <w:szCs w:val="12"/>
                <w:color w:val="auto"/>
                <w:w w:val="83"/>
              </w:rPr>
              <w:t>Insurance</w:t>
            </w:r>
          </w:p>
        </w:tc>
        <w:tc>
          <w:tcPr>
            <w:tcW w:w="56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35,490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495,086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876,364</w:t>
            </w: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Paradigm Acquisition Corp.</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Healthcare, Education and</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20,000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1,171,851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2,817,200</w:t>
            </w:r>
          </w:p>
        </w:tc>
        <w:tc>
          <w:tcPr>
            <w:tcW w:w="0" w:type="dxa"/>
            <w:vAlign w:val="bottom"/>
          </w:tcPr>
          <w:p>
            <w:pPr>
              <w:spacing w:after="0"/>
              <w:rPr>
                <w:sz w:val="1"/>
                <w:szCs w:val="1"/>
                <w:color w:val="auto"/>
              </w:rPr>
            </w:pPr>
          </w:p>
        </w:tc>
      </w:tr>
      <w:tr>
        <w:trPr>
          <w:trHeight w:val="155"/>
        </w:trPr>
        <w:tc>
          <w:tcPr>
            <w:tcW w:w="3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Childcare</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(11)</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1,350,000</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1,350,000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1,289,705</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(Power Products, 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(11)</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150,000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143,301</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(Power Products, LLC)</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QMG HoldCo, LLC, Class A</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90"/>
              </w:rPr>
              <w:t>Other Media</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4,325</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1,306,167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2,743,823</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(Questex Media Group, 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QMG HoldCo, LLC, Class B</w:t>
            </w:r>
          </w:p>
        </w:tc>
        <w:tc>
          <w:tcPr>
            <w:tcW w:w="780" w:type="dxa"/>
            <w:vAlign w:val="bottom"/>
            <w:shd w:val="clear" w:color="auto" w:fill="CCEEFF"/>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Other Media</w:t>
            </w: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531</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336,872</w:t>
            </w:r>
          </w:p>
        </w:tc>
        <w:tc>
          <w:tcPr>
            <w:tcW w:w="0" w:type="dxa"/>
            <w:vAlign w:val="bottom"/>
          </w:tcPr>
          <w:p>
            <w:pPr>
              <w:spacing w:after="0"/>
              <w:rPr>
                <w:sz w:val="1"/>
                <w:szCs w:val="1"/>
                <w:color w:val="auto"/>
              </w:rPr>
            </w:pPr>
          </w:p>
        </w:tc>
      </w:tr>
      <w:tr>
        <w:trPr>
          <w:trHeight w:val="141"/>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(Questex Media Group, LLC)</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Red Point, LLC (f/k/a Hanley-Wood Holdings,</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90"/>
              </w:rPr>
              <w:t>Other Media</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388,378</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1,629,791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3,810,570</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Ride Holdings, Inc. (f/k/a VRide Holdings, Inc.)</w:t>
            </w:r>
          </w:p>
        </w:tc>
        <w:tc>
          <w:tcPr>
            <w:tcW w:w="7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Personal Transportation</w:t>
            </w: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9,882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20"/>
                <w:szCs w:val="20"/>
                <w:color w:val="auto"/>
              </w:rPr>
            </w:pPr>
            <w:r>
              <w:rPr>
                <w:rFonts w:ascii="Arial" w:cs="Arial" w:eastAsia="Arial" w:hAnsi="Arial"/>
                <w:sz w:val="12"/>
                <w:szCs w:val="12"/>
                <w:color w:val="auto"/>
              </w:rPr>
              <w:t>SPG Boyd Holdings Corp.</w:t>
            </w:r>
          </w:p>
        </w:tc>
        <w:tc>
          <w:tcPr>
            <w:tcW w:w="780" w:type="dxa"/>
            <w:vAlign w:val="bottom"/>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rPr>
                <w:sz w:val="20"/>
                <w:szCs w:val="20"/>
                <w:color w:val="auto"/>
              </w:rPr>
            </w:pPr>
            <w:r>
              <w:rPr>
                <w:rFonts w:ascii="Arial" w:cs="Arial" w:eastAsia="Arial" w:hAnsi="Arial"/>
                <w:sz w:val="12"/>
                <w:szCs w:val="12"/>
                <w:color w:val="auto"/>
                <w:w w:val="88"/>
              </w:rPr>
              <w:t>Chemical, Plastic and Rubber</w:t>
            </w:r>
          </w:p>
        </w:tc>
        <w:tc>
          <w:tcPr>
            <w:tcW w:w="56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3,000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2,419,203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8,115,035</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 (Warrants)</w:t>
            </w:r>
          </w:p>
        </w:tc>
        <w:tc>
          <w:tcPr>
            <w:tcW w:w="78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12/29/2019</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660,380</w:t>
            </w: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(11)</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6"/>
              </w:rPr>
              <w:t>Cargo Transport</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137,923</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2,111,588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(Intermediate Transportation 100, L.L.C.)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TZ Holdings, L.P.</w:t>
            </w:r>
          </w:p>
        </w:tc>
        <w:tc>
          <w:tcPr>
            <w:tcW w:w="7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Insurance</w:t>
            </w: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486,865</w:t>
            </w:r>
          </w:p>
        </w:tc>
        <w:tc>
          <w:tcPr>
            <w:tcW w:w="0" w:type="dxa"/>
            <w:vAlign w:val="bottom"/>
          </w:tcPr>
          <w:p>
            <w:pPr>
              <w:spacing w:after="0"/>
              <w:rPr>
                <w:sz w:val="1"/>
                <w:szCs w:val="1"/>
                <w:color w:val="auto"/>
              </w:rPr>
            </w:pPr>
          </w:p>
        </w:tc>
      </w:tr>
      <w:tr>
        <w:trPr>
          <w:trHeight w:val="129"/>
        </w:trPr>
        <w:tc>
          <w:tcPr>
            <w:tcW w:w="3820" w:type="dxa"/>
            <w:vAlign w:val="bottom"/>
          </w:tcPr>
          <w:p>
            <w:pPr>
              <w:spacing w:after="0" w:line="129" w:lineRule="exact"/>
              <w:rPr>
                <w:sz w:val="20"/>
                <w:szCs w:val="20"/>
                <w:color w:val="auto"/>
              </w:rPr>
            </w:pPr>
            <w:r>
              <w:rPr>
                <w:rFonts w:ascii="Arial" w:cs="Arial" w:eastAsia="Arial" w:hAnsi="Arial"/>
                <w:sz w:val="12"/>
                <w:szCs w:val="12"/>
                <w:color w:val="auto"/>
              </w:rPr>
              <w:t>Vestcom Parent Holdings, Inc.</w:t>
            </w:r>
          </w:p>
        </w:tc>
        <w:tc>
          <w:tcPr>
            <w:tcW w:w="780" w:type="dxa"/>
            <w:vAlign w:val="bottom"/>
          </w:tcPr>
          <w:p>
            <w:pPr>
              <w:jc w:val="center"/>
              <w:ind w:left="42"/>
              <w:spacing w:after="0" w:line="129" w:lineRule="exact"/>
              <w:rPr>
                <w:sz w:val="20"/>
                <w:szCs w:val="20"/>
                <w:color w:val="auto"/>
              </w:rPr>
            </w:pPr>
            <w:r>
              <w:rPr>
                <w:rFonts w:ascii="Arial" w:cs="Arial" w:eastAsia="Arial" w:hAnsi="Arial"/>
                <w:sz w:val="12"/>
                <w:szCs w:val="12"/>
                <w:color w:val="auto"/>
                <w:w w:val="99"/>
              </w:rPr>
              <w:t>—</w:t>
            </w:r>
          </w:p>
        </w:tc>
        <w:tc>
          <w:tcPr>
            <w:tcW w:w="1800" w:type="dxa"/>
            <w:vAlign w:val="bottom"/>
          </w:tcPr>
          <w:p>
            <w:pPr>
              <w:jc w:val="center"/>
              <w:spacing w:after="0" w:line="129" w:lineRule="exact"/>
              <w:rPr>
                <w:sz w:val="20"/>
                <w:szCs w:val="20"/>
                <w:color w:val="auto"/>
              </w:rPr>
            </w:pPr>
            <w:r>
              <w:rPr>
                <w:rFonts w:ascii="Arial" w:cs="Arial" w:eastAsia="Arial" w:hAnsi="Arial"/>
                <w:sz w:val="12"/>
                <w:szCs w:val="12"/>
                <w:color w:val="auto"/>
                <w:w w:val="89"/>
              </w:rPr>
              <w:t>Printing and Publishing</w:t>
            </w:r>
          </w:p>
        </w:tc>
        <w:tc>
          <w:tcPr>
            <w:tcW w:w="560" w:type="dxa"/>
            <w:vAlign w:val="bottom"/>
          </w:tcPr>
          <w:p>
            <w:pPr>
              <w:spacing w:after="0"/>
              <w:rPr>
                <w:sz w:val="11"/>
                <w:szCs w:val="11"/>
                <w:color w:val="auto"/>
              </w:rPr>
            </w:pPr>
          </w:p>
        </w:tc>
        <w:tc>
          <w:tcPr>
            <w:tcW w:w="96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29" w:lineRule="exact"/>
              <w:rPr>
                <w:sz w:val="20"/>
                <w:szCs w:val="20"/>
                <w:color w:val="auto"/>
              </w:rPr>
            </w:pPr>
            <w:r>
              <w:rPr>
                <w:rFonts w:ascii="Arial" w:cs="Arial" w:eastAsia="Arial" w:hAnsi="Arial"/>
                <w:sz w:val="12"/>
                <w:szCs w:val="12"/>
                <w:color w:val="auto"/>
              </w:rPr>
              <w:t>211,797</w:t>
            </w: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2,325,555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5,878,900</w:t>
            </w:r>
          </w:p>
        </w:tc>
        <w:tc>
          <w:tcPr>
            <w:tcW w:w="0" w:type="dxa"/>
            <w:vAlign w:val="bottom"/>
          </w:tcPr>
          <w:p>
            <w:pPr>
              <w:spacing w:after="0"/>
              <w:rPr>
                <w:sz w:val="1"/>
                <w:szCs w:val="1"/>
                <w:color w:val="auto"/>
              </w:rPr>
            </w:pPr>
          </w:p>
        </w:tc>
      </w:tr>
      <w:tr>
        <w:trPr>
          <w:trHeight w:val="141"/>
        </w:trPr>
        <w:tc>
          <w:tcPr>
            <w:tcW w:w="3820" w:type="dxa"/>
            <w:vAlign w:val="bottom"/>
          </w:tcPr>
          <w:p>
            <w:pPr>
              <w:ind w:left="120"/>
              <w:spacing w:after="0"/>
              <w:rPr>
                <w:sz w:val="20"/>
                <w:szCs w:val="20"/>
                <w:color w:val="auto"/>
              </w:rPr>
            </w:pPr>
            <w:r>
              <w:rPr>
                <w:rFonts w:ascii="Arial" w:cs="Arial" w:eastAsia="Arial" w:hAnsi="Arial"/>
                <w:sz w:val="12"/>
                <w:szCs w:val="12"/>
                <w:color w:val="auto"/>
              </w:rPr>
              <w:t>(Vestcom International, Inc.)</w:t>
            </w: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7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35,526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4,897,658</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20"/>
                <w:szCs w:val="20"/>
                <w:color w:val="auto"/>
              </w:rPr>
            </w:pPr>
            <w:r>
              <w:rPr>
                <w:rFonts w:ascii="Arial" w:cs="Arial" w:eastAsia="Arial" w:hAnsi="Arial"/>
                <w:sz w:val="12"/>
                <w:szCs w:val="12"/>
                <w:color w:val="auto"/>
              </w:rPr>
              <w:t>Z Wireless Holdings, Inc. (Warrants)</w:t>
            </w:r>
          </w:p>
        </w:tc>
        <w:tc>
          <w:tcPr>
            <w:tcW w:w="780" w:type="dxa"/>
            <w:vAlign w:val="bottom"/>
          </w:tcPr>
          <w:p>
            <w:pPr>
              <w:jc w:val="center"/>
              <w:ind w:left="62"/>
              <w:spacing w:after="0"/>
              <w:rPr>
                <w:sz w:val="20"/>
                <w:szCs w:val="20"/>
                <w:color w:val="auto"/>
              </w:rPr>
            </w:pPr>
            <w:r>
              <w:rPr>
                <w:rFonts w:ascii="Arial" w:cs="Arial" w:eastAsia="Arial" w:hAnsi="Arial"/>
                <w:sz w:val="12"/>
                <w:szCs w:val="12"/>
                <w:color w:val="auto"/>
                <w:w w:val="89"/>
              </w:rPr>
              <w:t>10/21/2021</w:t>
            </w:r>
          </w:p>
        </w:tc>
        <w:tc>
          <w:tcPr>
            <w:tcW w:w="180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56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1,736</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168,799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236,890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47,656,091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79,319,919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3"/>
              </w:rPr>
              <w:t>1,028,125,032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1,089,476,729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center"/>
              <w:ind w:right="122"/>
              <w:spacing w:after="0"/>
              <w:rPr>
                <w:sz w:val="20"/>
                <w:szCs w:val="20"/>
                <w:color w:val="auto"/>
              </w:rPr>
            </w:pPr>
            <w:r>
              <w:rPr>
                <w:rFonts w:ascii="Arial" w:cs="Arial" w:eastAsia="Arial" w:hAnsi="Arial"/>
                <w:sz w:val="12"/>
                <w:szCs w:val="12"/>
                <w:b w:val="1"/>
                <w:bCs w:val="1"/>
                <w:color w:val="auto"/>
                <w:w w:val="85"/>
              </w:rPr>
              <w:t>Basis Point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Maturity /</w:t>
            </w: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auto"/>
                <w:w w:val="88"/>
              </w:rPr>
              <w:t>Spread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140" w:type="dxa"/>
            <w:vAlign w:val="bottom"/>
          </w:tcPr>
          <w:p>
            <w:pPr>
              <w:jc w:val="right"/>
              <w:ind w:right="462"/>
              <w:spacing w:after="0" w:line="122" w:lineRule="exact"/>
              <w:rPr>
                <w:sz w:val="20"/>
                <w:szCs w:val="20"/>
                <w:color w:val="auto"/>
              </w:rPr>
            </w:pPr>
            <w:r>
              <w:rPr>
                <w:rFonts w:ascii="Arial" w:cs="Arial" w:eastAsia="Arial" w:hAnsi="Arial"/>
                <w:sz w:val="12"/>
                <w:szCs w:val="12"/>
                <w:b w:val="1"/>
                <w:bCs w:val="1"/>
                <w:color w:val="auto"/>
              </w:rPr>
              <w:t>Current</w:t>
            </w:r>
          </w:p>
        </w:tc>
        <w:tc>
          <w:tcPr>
            <w:tcW w:w="1020" w:type="dxa"/>
            <w:vAlign w:val="bottom"/>
          </w:tcPr>
          <w:p>
            <w:pPr>
              <w:jc w:val="center"/>
              <w:ind w:right="122"/>
              <w:spacing w:after="0" w:line="122" w:lineRule="exact"/>
              <w:rPr>
                <w:sz w:val="20"/>
                <w:szCs w:val="20"/>
                <w:color w:val="auto"/>
              </w:rPr>
            </w:pPr>
            <w:r>
              <w:rPr>
                <w:rFonts w:ascii="Arial" w:cs="Arial" w:eastAsia="Arial" w:hAnsi="Arial"/>
                <w:sz w:val="12"/>
                <w:szCs w:val="12"/>
                <w:b w:val="1"/>
                <w:bCs w:val="1"/>
                <w:color w:val="auto"/>
                <w:w w:val="87"/>
              </w:rPr>
              <w:t>Above</w:t>
            </w:r>
          </w:p>
        </w:tc>
        <w:tc>
          <w:tcPr>
            <w:tcW w:w="980" w:type="dxa"/>
            <w:vAlign w:val="bottom"/>
          </w:tcPr>
          <w:p>
            <w:pPr>
              <w:jc w:val="right"/>
              <w:ind w:right="422"/>
              <w:spacing w:after="0" w:line="122"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1880" w:type="dxa"/>
            <w:vAlign w:val="bottom"/>
          </w:tcPr>
          <w:p>
            <w:pPr>
              <w:jc w:val="center"/>
              <w:ind w:right="142"/>
              <w:spacing w:after="0"/>
              <w:rPr>
                <w:sz w:val="20"/>
                <w:szCs w:val="20"/>
                <w:color w:val="auto"/>
              </w:rPr>
            </w:pPr>
            <w:r>
              <w:rPr>
                <w:rFonts w:ascii="Arial" w:cs="Arial" w:eastAsia="Arial" w:hAnsi="Arial"/>
                <w:sz w:val="12"/>
                <w:szCs w:val="12"/>
                <w:b w:val="1"/>
                <w:bCs w:val="1"/>
                <w:color w:val="auto"/>
                <w:w w:val="92"/>
              </w:rPr>
              <w:t>Industry</w:t>
            </w:r>
          </w:p>
        </w:tc>
        <w:tc>
          <w:tcPr>
            <w:tcW w:w="1140" w:type="dxa"/>
            <w:vAlign w:val="bottom"/>
          </w:tcPr>
          <w:p>
            <w:pPr>
              <w:jc w:val="right"/>
              <w:ind w:right="462"/>
              <w:spacing w:after="0"/>
              <w:rPr>
                <w:sz w:val="20"/>
                <w:szCs w:val="20"/>
                <w:color w:val="auto"/>
              </w:rPr>
            </w:pPr>
            <w:r>
              <w:rPr>
                <w:rFonts w:ascii="Arial" w:cs="Arial" w:eastAsia="Arial" w:hAnsi="Arial"/>
                <w:sz w:val="12"/>
                <w:szCs w:val="12"/>
                <w:b w:val="1"/>
                <w:bCs w:val="1"/>
                <w:color w:val="auto"/>
              </w:rPr>
              <w:t>Coupon</w:t>
            </w:r>
          </w:p>
        </w:tc>
        <w:tc>
          <w:tcPr>
            <w:tcW w:w="1020" w:type="dxa"/>
            <w:vAlign w:val="bottom"/>
          </w:tcPr>
          <w:p>
            <w:pPr>
              <w:jc w:val="center"/>
              <w:ind w:right="12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98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8"/>
        </w:trPr>
        <w:tc>
          <w:tcPr>
            <w:tcW w:w="38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Affiliated Portfolio Companies—9.5% </w:t>
            </w:r>
            <w:r>
              <w:rPr>
                <w:rFonts w:ascii="Arial" w:cs="Arial" w:eastAsia="Arial" w:hAnsi="Arial"/>
                <w:sz w:val="9"/>
                <w:szCs w:val="9"/>
                <w:b w:val="1"/>
                <w:bCs w:val="1"/>
                <w:color w:val="auto"/>
                <w:w w:val="90"/>
              </w:rPr>
              <w:t>(1), (2)</w:t>
            </w:r>
          </w:p>
        </w:tc>
        <w:tc>
          <w:tcPr>
            <w:tcW w:w="18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b w:val="1"/>
                <w:bCs w:val="1"/>
                <w:color w:val="auto"/>
              </w:rPr>
              <w:t>Second Lien Secured Debt—1.2%</w:t>
            </w: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Real Property Holdings, Inc.</w:t>
            </w:r>
          </w:p>
        </w:tc>
        <w:tc>
          <w:tcPr>
            <w:tcW w:w="880" w:type="dxa"/>
            <w:vAlign w:val="bottom"/>
            <w:shd w:val="clear" w:color="auto" w:fill="CCEEFF"/>
          </w:tcPr>
          <w:p>
            <w:pPr>
              <w:jc w:val="center"/>
              <w:ind w:right="242"/>
              <w:spacing w:after="0"/>
              <w:rPr>
                <w:sz w:val="20"/>
                <w:szCs w:val="20"/>
                <w:color w:val="auto"/>
              </w:rPr>
            </w:pPr>
            <w:r>
              <w:rPr>
                <w:rFonts w:ascii="Arial" w:cs="Arial" w:eastAsia="Arial" w:hAnsi="Arial"/>
                <w:sz w:val="12"/>
                <w:szCs w:val="12"/>
                <w:color w:val="auto"/>
                <w:w w:val="89"/>
              </w:rPr>
              <w:t>12/26/2017</w:t>
            </w:r>
          </w:p>
        </w:tc>
        <w:tc>
          <w:tcPr>
            <w:tcW w:w="18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8"/>
              </w:rPr>
              <w:t>Environmental Services</w:t>
            </w:r>
          </w:p>
        </w:tc>
        <w:tc>
          <w:tcPr>
            <w:tcW w:w="11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9.00%</w:t>
            </w:r>
          </w:p>
        </w:tc>
        <w:tc>
          <w:tcPr>
            <w:tcW w:w="10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L+800</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9,409,740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9,154,475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9,127,448</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Notes—5.2%</w:t>
            </w: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DirectBuy Holdings, Inc.</w:t>
            </w:r>
          </w:p>
        </w:tc>
        <w:tc>
          <w:tcPr>
            <w:tcW w:w="880" w:type="dxa"/>
            <w:vAlign w:val="bottom"/>
            <w:shd w:val="clear" w:color="auto" w:fill="CCEEFF"/>
          </w:tcPr>
          <w:p>
            <w:pPr>
              <w:jc w:val="center"/>
              <w:ind w:right="222"/>
              <w:spacing w:after="0" w:line="132" w:lineRule="exact"/>
              <w:rPr>
                <w:sz w:val="20"/>
                <w:szCs w:val="20"/>
                <w:color w:val="auto"/>
              </w:rPr>
            </w:pPr>
            <w:r>
              <w:rPr>
                <w:rFonts w:ascii="Arial" w:cs="Arial" w:eastAsia="Arial" w:hAnsi="Arial"/>
                <w:sz w:val="12"/>
                <w:szCs w:val="12"/>
                <w:color w:val="auto"/>
                <w:w w:val="86"/>
              </w:rPr>
              <w:t>11/05/2019</w:t>
            </w:r>
          </w:p>
        </w:tc>
        <w:tc>
          <w:tcPr>
            <w:tcW w:w="1880" w:type="dxa"/>
            <w:vAlign w:val="bottom"/>
            <w:shd w:val="clear" w:color="auto" w:fill="CCEEFF"/>
          </w:tcPr>
          <w:p>
            <w:pPr>
              <w:jc w:val="center"/>
              <w:ind w:right="142"/>
              <w:spacing w:after="0" w:line="132" w:lineRule="exact"/>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12.00%</w:t>
            </w:r>
          </w:p>
        </w:tc>
        <w:tc>
          <w:tcPr>
            <w:tcW w:w="102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11,293,336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11,293,337</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11,293,336</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(PIK 12.00%)</w:t>
            </w: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Service Champ, Inc.</w:t>
            </w:r>
          </w:p>
        </w:tc>
        <w:tc>
          <w:tcPr>
            <w:tcW w:w="880" w:type="dxa"/>
            <w:vAlign w:val="bottom"/>
          </w:tcPr>
          <w:p>
            <w:pPr>
              <w:jc w:val="center"/>
              <w:ind w:right="242"/>
              <w:spacing w:after="0"/>
              <w:rPr>
                <w:sz w:val="20"/>
                <w:szCs w:val="20"/>
                <w:color w:val="auto"/>
              </w:rPr>
            </w:pPr>
            <w:r>
              <w:rPr>
                <w:rFonts w:ascii="Arial" w:cs="Arial" w:eastAsia="Arial" w:hAnsi="Arial"/>
                <w:sz w:val="12"/>
                <w:szCs w:val="12"/>
                <w:color w:val="auto"/>
                <w:w w:val="89"/>
              </w:rPr>
              <w:t>10/02/2017</w:t>
            </w:r>
          </w:p>
        </w:tc>
        <w:tc>
          <w:tcPr>
            <w:tcW w:w="1880" w:type="dxa"/>
            <w:vAlign w:val="bottom"/>
          </w:tcPr>
          <w:p>
            <w:pPr>
              <w:jc w:val="center"/>
              <w:ind w:right="142"/>
              <w:spacing w:after="0"/>
              <w:rPr>
                <w:sz w:val="20"/>
                <w:szCs w:val="20"/>
                <w:color w:val="auto"/>
              </w:rPr>
            </w:pPr>
            <w:r>
              <w:rPr>
                <w:rFonts w:ascii="Arial" w:cs="Arial" w:eastAsia="Arial" w:hAnsi="Arial"/>
                <w:sz w:val="12"/>
                <w:szCs w:val="12"/>
                <w:color w:val="auto"/>
                <w:w w:val="89"/>
              </w:rPr>
              <w:t>Auto Sector</w:t>
            </w:r>
          </w:p>
        </w:tc>
        <w:tc>
          <w:tcPr>
            <w:tcW w:w="1140" w:type="dxa"/>
            <w:vAlign w:val="bottom"/>
          </w:tcPr>
          <w:p>
            <w:pPr>
              <w:jc w:val="right"/>
              <w:ind w:right="182"/>
              <w:spacing w:after="0"/>
              <w:rPr>
                <w:sz w:val="20"/>
                <w:szCs w:val="20"/>
                <w:color w:val="auto"/>
              </w:rPr>
            </w:pPr>
            <w:r>
              <w:rPr>
                <w:rFonts w:ascii="Arial" w:cs="Arial" w:eastAsia="Arial" w:hAnsi="Arial"/>
                <w:sz w:val="12"/>
                <w:szCs w:val="12"/>
                <w:color w:val="auto"/>
              </w:rPr>
              <w:t>12.50%</w:t>
            </w:r>
          </w:p>
        </w:tc>
        <w:tc>
          <w:tcPr>
            <w:tcW w:w="10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28,000,000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27,553,644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28,280,000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38,846,981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39,573,336</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–0.1%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International Holdings, Inc.</w:t>
            </w:r>
          </w:p>
        </w:tc>
        <w:tc>
          <w:tcPr>
            <w:tcW w:w="880" w:type="dxa"/>
            <w:vAlign w:val="bottom"/>
            <w:shd w:val="clear" w:color="auto" w:fill="CCEEFF"/>
          </w:tcPr>
          <w:p>
            <w:pPr>
              <w:jc w:val="center"/>
              <w:ind w:right="222"/>
              <w:spacing w:after="0" w:line="132" w:lineRule="exact"/>
              <w:rPr>
                <w:sz w:val="20"/>
                <w:szCs w:val="20"/>
                <w:color w:val="auto"/>
              </w:rPr>
            </w:pPr>
            <w:r>
              <w:rPr>
                <w:rFonts w:ascii="Arial" w:cs="Arial" w:eastAsia="Arial" w:hAnsi="Arial"/>
                <w:sz w:val="12"/>
                <w:szCs w:val="12"/>
                <w:color w:val="auto"/>
                <w:w w:val="99"/>
              </w:rPr>
              <w:t>—</w:t>
            </w:r>
          </w:p>
        </w:tc>
        <w:tc>
          <w:tcPr>
            <w:tcW w:w="1880" w:type="dxa"/>
            <w:vAlign w:val="bottom"/>
            <w:shd w:val="clear" w:color="auto" w:fill="CCEEFF"/>
          </w:tcPr>
          <w:p>
            <w:pPr>
              <w:jc w:val="center"/>
              <w:ind w:right="142"/>
              <w:spacing w:after="0" w:line="132" w:lineRule="exact"/>
              <w:rPr>
                <w:sz w:val="20"/>
                <w:szCs w:val="20"/>
                <w:color w:val="auto"/>
              </w:rPr>
            </w:pPr>
            <w:r>
              <w:rPr>
                <w:rFonts w:ascii="Arial" w:cs="Arial" w:eastAsia="Arial" w:hAnsi="Arial"/>
                <w:sz w:val="12"/>
                <w:szCs w:val="12"/>
                <w:color w:val="auto"/>
                <w:w w:val="84"/>
              </w:rPr>
              <w:t>Aerospace and</w:t>
            </w:r>
          </w:p>
        </w:tc>
        <w:tc>
          <w:tcPr>
            <w:tcW w:w="1140" w:type="dxa"/>
            <w:vAlign w:val="bottom"/>
            <w:shd w:val="clear" w:color="auto" w:fill="CCEEFF"/>
          </w:tcPr>
          <w:p>
            <w:pPr>
              <w:jc w:val="right"/>
              <w:ind w:right="282"/>
              <w:spacing w:after="0" w:line="132"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53,071</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20,059,340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806,679</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9"/>
              </w:rPr>
              <w:t>Defense</w:t>
            </w:r>
          </w:p>
        </w:tc>
        <w:tc>
          <w:tcPr>
            <w:tcW w:w="1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20"/>
                <w:szCs w:val="20"/>
                <w:color w:val="auto"/>
              </w:rPr>
            </w:pPr>
            <w:r>
              <w:rPr>
                <w:rFonts w:ascii="Arial" w:cs="Arial" w:eastAsia="Arial" w:hAnsi="Arial"/>
                <w:sz w:val="12"/>
                <w:szCs w:val="12"/>
                <w:b w:val="1"/>
                <w:bCs w:val="1"/>
                <w:color w:val="auto"/>
                <w:w w:val="92"/>
              </w:rPr>
              <w:t xml:space="preserve">Common Equity/Partnership Interest/Warrants—3.0% </w:t>
            </w:r>
            <w:r>
              <w:rPr>
                <w:rFonts w:ascii="Arial" w:cs="Arial" w:eastAsia="Arial" w:hAnsi="Arial"/>
                <w:sz w:val="9"/>
                <w:szCs w:val="9"/>
                <w:b w:val="1"/>
                <w:bCs w:val="1"/>
                <w:color w:val="auto"/>
                <w:w w:val="92"/>
              </w:rPr>
              <w:t>(6)</w:t>
            </w: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880" w:type="dxa"/>
            <w:vAlign w:val="bottom"/>
            <w:shd w:val="clear" w:color="auto" w:fill="CCEEFF"/>
          </w:tcPr>
          <w:p>
            <w:pPr>
              <w:jc w:val="center"/>
              <w:ind w:right="222"/>
              <w:spacing w:after="0"/>
              <w:rPr>
                <w:sz w:val="20"/>
                <w:szCs w:val="20"/>
                <w:color w:val="auto"/>
              </w:rPr>
            </w:pPr>
            <w:r>
              <w:rPr>
                <w:rFonts w:ascii="Arial" w:cs="Arial" w:eastAsia="Arial" w:hAnsi="Arial"/>
                <w:sz w:val="12"/>
                <w:szCs w:val="12"/>
                <w:color w:val="auto"/>
                <w:w w:val="99"/>
              </w:rPr>
              <w:t>—</w:t>
            </w:r>
          </w:p>
        </w:tc>
        <w:tc>
          <w:tcPr>
            <w:tcW w:w="18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104,719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21,492,822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1,275,305</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880" w:type="dxa"/>
            <w:vAlign w:val="bottom"/>
          </w:tcPr>
          <w:p>
            <w:pPr>
              <w:jc w:val="center"/>
              <w:ind w:right="222"/>
              <w:spacing w:after="0"/>
              <w:rPr>
                <w:sz w:val="20"/>
                <w:szCs w:val="20"/>
                <w:color w:val="auto"/>
              </w:rPr>
            </w:pPr>
            <w:r>
              <w:rPr>
                <w:rFonts w:ascii="Arial" w:cs="Arial" w:eastAsia="Arial" w:hAnsi="Arial"/>
                <w:sz w:val="12"/>
                <w:szCs w:val="12"/>
                <w:color w:val="auto"/>
                <w:w w:val="86"/>
              </w:rPr>
              <w:t>11/05/2022</w:t>
            </w:r>
          </w:p>
        </w:tc>
        <w:tc>
          <w:tcPr>
            <w:tcW w:w="1880" w:type="dxa"/>
            <w:vAlign w:val="bottom"/>
          </w:tcPr>
          <w:p>
            <w:pPr>
              <w:jc w:val="center"/>
              <w:ind w:right="142"/>
              <w:spacing w:after="0"/>
              <w:rPr>
                <w:sz w:val="20"/>
                <w:szCs w:val="20"/>
                <w:color w:val="auto"/>
              </w:rPr>
            </w:pPr>
            <w:r>
              <w:rPr>
                <w:rFonts w:ascii="Arial" w:cs="Arial" w:eastAsia="Arial" w:hAnsi="Arial"/>
                <w:sz w:val="12"/>
                <w:szCs w:val="12"/>
                <w:color w:val="auto"/>
                <w:w w:val="86"/>
              </w:rPr>
              <w:t>Consumer Products</w:t>
            </w:r>
          </w:p>
        </w:tc>
        <w:tc>
          <w:tcPr>
            <w:tcW w:w="114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15,486</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188,439</w:t>
            </w:r>
          </w:p>
        </w:tc>
        <w:tc>
          <w:tcPr>
            <w:tcW w:w="0" w:type="dxa"/>
            <w:vAlign w:val="bottom"/>
          </w:tcPr>
          <w:p>
            <w:pPr>
              <w:spacing w:after="0"/>
              <w:rPr>
                <w:sz w:val="1"/>
                <w:szCs w:val="1"/>
                <w:color w:val="auto"/>
              </w:rPr>
            </w:pPr>
          </w:p>
        </w:tc>
      </w:tr>
      <w:tr>
        <w:trPr>
          <w:trHeight w:val="129"/>
        </w:trPr>
        <w:tc>
          <w:tcPr>
            <w:tcW w:w="29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EFF"/>
          </w:tcPr>
          <w:p>
            <w:pPr>
              <w:jc w:val="center"/>
              <w:ind w:right="222"/>
              <w:spacing w:after="0" w:line="129" w:lineRule="exact"/>
              <w:rPr>
                <w:sz w:val="20"/>
                <w:szCs w:val="20"/>
                <w:color w:val="auto"/>
              </w:rPr>
            </w:pPr>
            <w:r>
              <w:rPr>
                <w:rFonts w:ascii="Arial" w:cs="Arial" w:eastAsia="Arial" w:hAnsi="Arial"/>
                <w:sz w:val="12"/>
                <w:szCs w:val="12"/>
                <w:color w:val="auto"/>
                <w:w w:val="99"/>
              </w:rPr>
              <w:t>—</w:t>
            </w:r>
          </w:p>
        </w:tc>
        <w:tc>
          <w:tcPr>
            <w:tcW w:w="1880" w:type="dxa"/>
            <w:vAlign w:val="bottom"/>
            <w:shd w:val="clear" w:color="auto" w:fill="CCEEFF"/>
          </w:tcPr>
          <w:p>
            <w:pPr>
              <w:jc w:val="center"/>
              <w:ind w:right="142"/>
              <w:spacing w:after="0" w:line="129" w:lineRule="exact"/>
              <w:rPr>
                <w:sz w:val="20"/>
                <w:szCs w:val="20"/>
                <w:color w:val="auto"/>
              </w:rPr>
            </w:pPr>
            <w:r>
              <w:rPr>
                <w:rFonts w:ascii="Arial" w:cs="Arial" w:eastAsia="Arial" w:hAnsi="Arial"/>
                <w:sz w:val="12"/>
                <w:szCs w:val="12"/>
                <w:color w:val="auto"/>
                <w:w w:val="88"/>
              </w:rPr>
              <w:t>Environmental Services</w:t>
            </w:r>
          </w:p>
        </w:tc>
        <w:tc>
          <w:tcPr>
            <w:tcW w:w="1140" w:type="dxa"/>
            <w:vAlign w:val="bottom"/>
            <w:shd w:val="clear" w:color="auto" w:fill="CCEEFF"/>
          </w:tcPr>
          <w:p>
            <w:pPr>
              <w:jc w:val="right"/>
              <w:ind w:right="282"/>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143,668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11,960,702</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15,435,690</w:t>
            </w:r>
          </w:p>
        </w:tc>
        <w:tc>
          <w:tcPr>
            <w:tcW w:w="0" w:type="dxa"/>
            <w:vAlign w:val="bottom"/>
          </w:tcPr>
          <w:p>
            <w:pPr>
              <w:spacing w:after="0"/>
              <w:rPr>
                <w:sz w:val="1"/>
                <w:szCs w:val="1"/>
                <w:color w:val="auto"/>
              </w:rPr>
            </w:pPr>
          </w:p>
        </w:tc>
      </w:tr>
      <w:tr>
        <w:trPr>
          <w:trHeight w:val="141"/>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(EnviroSolutions Real Property Holdings, Inc.)</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880" w:type="dxa"/>
            <w:vAlign w:val="bottom"/>
          </w:tcPr>
          <w:p>
            <w:pPr>
              <w:jc w:val="center"/>
              <w:ind w:right="222"/>
              <w:spacing w:after="0" w:line="129" w:lineRule="exact"/>
              <w:rPr>
                <w:sz w:val="20"/>
                <w:szCs w:val="20"/>
                <w:color w:val="auto"/>
              </w:rPr>
            </w:pPr>
            <w:r>
              <w:rPr>
                <w:rFonts w:ascii="Arial" w:cs="Arial" w:eastAsia="Arial" w:hAnsi="Arial"/>
                <w:sz w:val="12"/>
                <w:szCs w:val="12"/>
                <w:color w:val="auto"/>
                <w:w w:val="99"/>
              </w:rPr>
              <w:t>—</w:t>
            </w:r>
          </w:p>
        </w:tc>
        <w:tc>
          <w:tcPr>
            <w:tcW w:w="1880" w:type="dxa"/>
            <w:vAlign w:val="bottom"/>
          </w:tcPr>
          <w:p>
            <w:pPr>
              <w:jc w:val="center"/>
              <w:ind w:right="142"/>
              <w:spacing w:after="0" w:line="129" w:lineRule="exact"/>
              <w:rPr>
                <w:sz w:val="20"/>
                <w:szCs w:val="20"/>
                <w:color w:val="auto"/>
              </w:rPr>
            </w:pPr>
            <w:r>
              <w:rPr>
                <w:rFonts w:ascii="Arial" w:cs="Arial" w:eastAsia="Arial" w:hAnsi="Arial"/>
                <w:sz w:val="12"/>
                <w:szCs w:val="12"/>
                <w:color w:val="auto"/>
                <w:w w:val="88"/>
              </w:rPr>
              <w:t>Leisure, Amusement,</w:t>
            </w:r>
          </w:p>
        </w:tc>
        <w:tc>
          <w:tcPr>
            <w:tcW w:w="1140" w:type="dxa"/>
            <w:vAlign w:val="bottom"/>
          </w:tcPr>
          <w:p>
            <w:pPr>
              <w:jc w:val="right"/>
              <w:ind w:right="282"/>
              <w:spacing w:after="0" w:line="129"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375,000</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3,750,000</w:t>
            </w:r>
          </w:p>
        </w:tc>
        <w:tc>
          <w:tcPr>
            <w:tcW w:w="120" w:type="dxa"/>
            <w:vAlign w:val="bottom"/>
          </w:tcPr>
          <w:p>
            <w:pPr>
              <w:spacing w:after="0"/>
              <w:rPr>
                <w:sz w:val="11"/>
                <w:szCs w:val="11"/>
                <w:color w:val="auto"/>
              </w:rPr>
            </w:pPr>
          </w:p>
        </w:tc>
        <w:tc>
          <w:tcPr>
            <w:tcW w:w="9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157,518</w:t>
            </w:r>
          </w:p>
        </w:tc>
        <w:tc>
          <w:tcPr>
            <w:tcW w:w="0" w:type="dxa"/>
            <w:vAlign w:val="bottom"/>
          </w:tcPr>
          <w:p>
            <w:pPr>
              <w:spacing w:after="0"/>
              <w:rPr>
                <w:sz w:val="1"/>
                <w:szCs w:val="1"/>
                <w:color w:val="auto"/>
              </w:rPr>
            </w:pPr>
          </w:p>
        </w:tc>
      </w:tr>
      <w:tr>
        <w:trPr>
          <w:trHeight w:val="151"/>
        </w:trPr>
        <w:tc>
          <w:tcPr>
            <w:tcW w:w="2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jc w:val="center"/>
              <w:ind w:right="142"/>
              <w:spacing w:after="0"/>
              <w:rPr>
                <w:sz w:val="20"/>
                <w:szCs w:val="20"/>
                <w:color w:val="auto"/>
              </w:rPr>
            </w:pPr>
            <w:r>
              <w:rPr>
                <w:rFonts w:ascii="Arial" w:cs="Arial" w:eastAsia="Arial" w:hAnsi="Arial"/>
                <w:sz w:val="12"/>
                <w:szCs w:val="12"/>
                <w:color w:val="auto"/>
                <w:w w:val="89"/>
              </w:rPr>
              <w:t>Motion Pictures and Entertainment</w:t>
            </w: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New Service Champ Holdings, Inc.</w:t>
            </w:r>
          </w:p>
        </w:tc>
        <w:tc>
          <w:tcPr>
            <w:tcW w:w="880" w:type="dxa"/>
            <w:vAlign w:val="bottom"/>
            <w:shd w:val="clear" w:color="auto" w:fill="CCEEFF"/>
          </w:tcPr>
          <w:p>
            <w:pPr>
              <w:jc w:val="center"/>
              <w:ind w:right="222"/>
              <w:spacing w:after="0" w:line="132" w:lineRule="exact"/>
              <w:rPr>
                <w:sz w:val="20"/>
                <w:szCs w:val="20"/>
                <w:color w:val="auto"/>
              </w:rPr>
            </w:pPr>
            <w:r>
              <w:rPr>
                <w:rFonts w:ascii="Arial" w:cs="Arial" w:eastAsia="Arial" w:hAnsi="Arial"/>
                <w:sz w:val="12"/>
                <w:szCs w:val="12"/>
                <w:color w:val="auto"/>
                <w:w w:val="99"/>
              </w:rPr>
              <w:t>—</w:t>
            </w:r>
          </w:p>
        </w:tc>
        <w:tc>
          <w:tcPr>
            <w:tcW w:w="1880" w:type="dxa"/>
            <w:vAlign w:val="bottom"/>
            <w:shd w:val="clear" w:color="auto" w:fill="CCEEFF"/>
          </w:tcPr>
          <w:p>
            <w:pPr>
              <w:jc w:val="center"/>
              <w:ind w:right="142"/>
              <w:spacing w:after="0" w:line="132" w:lineRule="exact"/>
              <w:rPr>
                <w:sz w:val="20"/>
                <w:szCs w:val="20"/>
                <w:color w:val="auto"/>
              </w:rPr>
            </w:pPr>
            <w:r>
              <w:rPr>
                <w:rFonts w:ascii="Arial" w:cs="Arial" w:eastAsia="Arial" w:hAnsi="Arial"/>
                <w:sz w:val="12"/>
                <w:szCs w:val="12"/>
                <w:color w:val="auto"/>
                <w:w w:val="89"/>
              </w:rPr>
              <w:t>Auto Sector</w:t>
            </w:r>
          </w:p>
        </w:tc>
        <w:tc>
          <w:tcPr>
            <w:tcW w:w="1140" w:type="dxa"/>
            <w:vAlign w:val="bottom"/>
            <w:shd w:val="clear" w:color="auto" w:fill="CCEEFF"/>
          </w:tcPr>
          <w:p>
            <w:pPr>
              <w:jc w:val="right"/>
              <w:ind w:right="282"/>
              <w:spacing w:after="0" w:line="132"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16,800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2,721,600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5,375,320</w:t>
            </w:r>
          </w:p>
        </w:tc>
        <w:tc>
          <w:tcPr>
            <w:tcW w:w="0" w:type="dxa"/>
            <w:vAlign w:val="bottom"/>
          </w:tcPr>
          <w:p>
            <w:pPr>
              <w:spacing w:after="0"/>
              <w:rPr>
                <w:sz w:val="1"/>
                <w:szCs w:val="1"/>
                <w:color w:val="auto"/>
              </w:rPr>
            </w:pPr>
          </w:p>
        </w:tc>
      </w:tr>
      <w:tr>
        <w:trPr>
          <w:trHeight w:val="141"/>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Champ, Inc.)</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880" w:type="dxa"/>
            <w:vAlign w:val="bottom"/>
          </w:tcPr>
          <w:p>
            <w:pPr>
              <w:jc w:val="center"/>
              <w:ind w:right="222"/>
              <w:spacing w:after="0"/>
              <w:rPr>
                <w:sz w:val="20"/>
                <w:szCs w:val="20"/>
                <w:color w:val="auto"/>
              </w:rPr>
            </w:pPr>
            <w:r>
              <w:rPr>
                <w:rFonts w:ascii="Arial" w:cs="Arial" w:eastAsia="Arial" w:hAnsi="Arial"/>
                <w:sz w:val="12"/>
                <w:szCs w:val="12"/>
                <w:color w:val="auto"/>
                <w:w w:val="99"/>
              </w:rPr>
              <w:t>—</w:t>
            </w:r>
          </w:p>
        </w:tc>
        <w:tc>
          <w:tcPr>
            <w:tcW w:w="1880" w:type="dxa"/>
            <w:vAlign w:val="bottom"/>
          </w:tcPr>
          <w:p>
            <w:pPr>
              <w:jc w:val="center"/>
              <w:ind w:right="142"/>
              <w:spacing w:after="0"/>
              <w:rPr>
                <w:sz w:val="20"/>
                <w:szCs w:val="20"/>
                <w:color w:val="auto"/>
              </w:rPr>
            </w:pPr>
            <w:r>
              <w:rPr>
                <w:rFonts w:ascii="Arial" w:cs="Arial" w:eastAsia="Arial" w:hAnsi="Arial"/>
                <w:sz w:val="12"/>
                <w:szCs w:val="12"/>
                <w:color w:val="auto"/>
                <w:w w:val="86"/>
              </w:rPr>
              <w:t>Aerospace and Defense</w:t>
            </w:r>
          </w:p>
        </w:tc>
        <w:tc>
          <w:tcPr>
            <w:tcW w:w="114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53,071</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202,620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9"/>
              </w:rPr>
              <w:t>Total Common Equity/Partnership Interest/Warrants</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40,127,744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22,432,272</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9"/>
              </w:rPr>
              <w:t>Total Investments in Non-Controlled, Affiliated Portfolio Companies</w:t>
            </w: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4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108,188,540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71,939,735</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6"/>
              </w:rPr>
              <w:t xml:space="preserve">Investments in Controlled, Affiliated Portfolio Companies—5.0% </w:t>
            </w:r>
            <w:r>
              <w:rPr>
                <w:rFonts w:ascii="Arial" w:cs="Arial" w:eastAsia="Arial" w:hAnsi="Arial"/>
                <w:sz w:val="9"/>
                <w:szCs w:val="9"/>
                <w:b w:val="1"/>
                <w:bCs w:val="1"/>
                <w:color w:val="auto"/>
                <w:w w:val="96"/>
              </w:rPr>
              <w:t>(1), (2)</w:t>
            </w: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b w:val="1"/>
                <w:bCs w:val="1"/>
                <w:color w:val="auto"/>
              </w:rPr>
              <w:t>First Lien Secured Debt—4.1%</w:t>
            </w: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Superior Digital Displays, LLC</w:t>
            </w:r>
          </w:p>
        </w:tc>
        <w:tc>
          <w:tcPr>
            <w:tcW w:w="880" w:type="dxa"/>
            <w:vAlign w:val="bottom"/>
            <w:shd w:val="clear" w:color="auto" w:fill="CCEEFF"/>
          </w:tcPr>
          <w:p>
            <w:pPr>
              <w:jc w:val="center"/>
              <w:ind w:right="242"/>
              <w:spacing w:after="0"/>
              <w:rPr>
                <w:sz w:val="20"/>
                <w:szCs w:val="20"/>
                <w:color w:val="auto"/>
              </w:rPr>
            </w:pPr>
            <w:r>
              <w:rPr>
                <w:rFonts w:ascii="Arial" w:cs="Arial" w:eastAsia="Arial" w:hAnsi="Arial"/>
                <w:sz w:val="12"/>
                <w:szCs w:val="12"/>
                <w:color w:val="auto"/>
                <w:w w:val="89"/>
              </w:rPr>
              <w:t>12/31/2018</w:t>
            </w:r>
          </w:p>
        </w:tc>
        <w:tc>
          <w:tcPr>
            <w:tcW w:w="1880" w:type="dxa"/>
            <w:vAlign w:val="bottom"/>
            <w:shd w:val="clear" w:color="auto" w:fill="CCEEFF"/>
          </w:tcPr>
          <w:p>
            <w:pPr>
              <w:jc w:val="center"/>
              <w:ind w:right="162"/>
              <w:spacing w:after="0"/>
              <w:rPr>
                <w:sz w:val="20"/>
                <w:szCs w:val="20"/>
                <w:color w:val="auto"/>
              </w:rPr>
            </w:pPr>
            <w:r>
              <w:rPr>
                <w:rFonts w:ascii="Arial" w:cs="Arial" w:eastAsia="Arial" w:hAnsi="Arial"/>
                <w:sz w:val="12"/>
                <w:szCs w:val="12"/>
                <w:color w:val="auto"/>
                <w:w w:val="91"/>
              </w:rPr>
              <w:t>Media</w:t>
            </w:r>
          </w:p>
        </w:tc>
        <w:tc>
          <w:tcPr>
            <w:tcW w:w="11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13.50%</w:t>
            </w:r>
          </w:p>
        </w:tc>
        <w:tc>
          <w:tcPr>
            <w:tcW w:w="10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L+1,250</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19,250,000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17,236,708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16,461,023</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Superior Digital Displays, LLC </w:t>
            </w:r>
            <w:r>
              <w:rPr>
                <w:rFonts w:ascii="Arial" w:cs="Arial" w:eastAsia="Arial" w:hAnsi="Arial"/>
                <w:sz w:val="9"/>
                <w:szCs w:val="9"/>
                <w:color w:val="auto"/>
              </w:rPr>
              <w:t>(9)</w:t>
            </w:r>
          </w:p>
        </w:tc>
        <w:tc>
          <w:tcPr>
            <w:tcW w:w="880" w:type="dxa"/>
            <w:vAlign w:val="bottom"/>
          </w:tcPr>
          <w:p>
            <w:pPr>
              <w:jc w:val="center"/>
              <w:ind w:right="242"/>
              <w:spacing w:after="0"/>
              <w:rPr>
                <w:sz w:val="20"/>
                <w:szCs w:val="20"/>
                <w:color w:val="auto"/>
              </w:rPr>
            </w:pPr>
            <w:r>
              <w:rPr>
                <w:rFonts w:ascii="Arial" w:cs="Arial" w:eastAsia="Arial" w:hAnsi="Arial"/>
                <w:sz w:val="12"/>
                <w:szCs w:val="12"/>
                <w:color w:val="auto"/>
                <w:w w:val="89"/>
              </w:rPr>
              <w:t>12/31/2018</w:t>
            </w:r>
          </w:p>
        </w:tc>
        <w:tc>
          <w:tcPr>
            <w:tcW w:w="1880" w:type="dxa"/>
            <w:vAlign w:val="bottom"/>
          </w:tcPr>
          <w:p>
            <w:pPr>
              <w:jc w:val="center"/>
              <w:ind w:right="162"/>
              <w:spacing w:after="0"/>
              <w:rPr>
                <w:sz w:val="20"/>
                <w:szCs w:val="20"/>
                <w:color w:val="auto"/>
              </w:rPr>
            </w:pPr>
            <w:r>
              <w:rPr>
                <w:rFonts w:ascii="Arial" w:cs="Arial" w:eastAsia="Arial" w:hAnsi="Arial"/>
                <w:sz w:val="12"/>
                <w:szCs w:val="12"/>
                <w:color w:val="auto"/>
                <w:w w:val="91"/>
              </w:rPr>
              <w:t>Media</w:t>
            </w:r>
          </w:p>
        </w:tc>
        <w:tc>
          <w:tcPr>
            <w:tcW w:w="1140" w:type="dxa"/>
            <w:vAlign w:val="bottom"/>
          </w:tcPr>
          <w:p>
            <w:pPr>
              <w:jc w:val="right"/>
              <w:ind w:right="282"/>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5,750,000</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5,159,437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4,916,929</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right="242"/>
              <w:spacing w:after="0"/>
              <w:rPr>
                <w:sz w:val="20"/>
                <w:szCs w:val="20"/>
                <w:color w:val="auto"/>
              </w:rPr>
            </w:pPr>
            <w:r>
              <w:rPr>
                <w:rFonts w:ascii="Arial" w:cs="Arial" w:eastAsia="Arial" w:hAnsi="Arial"/>
                <w:sz w:val="12"/>
                <w:szCs w:val="12"/>
                <w:color w:val="auto"/>
                <w:w w:val="89"/>
              </w:rPr>
              <w:t>06/30/2020</w:t>
            </w:r>
          </w:p>
        </w:tc>
        <w:tc>
          <w:tcPr>
            <w:tcW w:w="18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5"/>
              </w:rPr>
              <w:t>Business Services</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9,534,077</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31,646,145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30,912,029</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tcPr>
          <w:p>
            <w:pPr>
              <w:jc w:val="center"/>
              <w:ind w:right="222"/>
              <w:spacing w:after="0"/>
              <w:rPr>
                <w:sz w:val="20"/>
                <w:szCs w:val="20"/>
                <w:color w:val="auto"/>
              </w:rPr>
            </w:pPr>
            <w:r>
              <w:rPr>
                <w:rFonts w:ascii="Arial" w:cs="Arial" w:eastAsia="Arial" w:hAnsi="Arial"/>
                <w:sz w:val="12"/>
                <w:szCs w:val="12"/>
                <w:color w:val="auto"/>
                <w:w w:val="89"/>
              </w:rPr>
              <w:t>6/30/2020</w:t>
            </w:r>
          </w:p>
        </w:tc>
        <w:tc>
          <w:tcPr>
            <w:tcW w:w="1880" w:type="dxa"/>
            <w:vAlign w:val="bottom"/>
          </w:tcPr>
          <w:p>
            <w:pPr>
              <w:jc w:val="center"/>
              <w:ind w:right="142"/>
              <w:spacing w:after="0"/>
              <w:rPr>
                <w:sz w:val="20"/>
                <w:szCs w:val="20"/>
                <w:color w:val="auto"/>
              </w:rPr>
            </w:pPr>
            <w:r>
              <w:rPr>
                <w:rFonts w:ascii="Arial" w:cs="Arial" w:eastAsia="Arial" w:hAnsi="Arial"/>
                <w:sz w:val="12"/>
                <w:szCs w:val="12"/>
                <w:color w:val="auto"/>
                <w:w w:val="85"/>
              </w:rPr>
              <w:t>Business Services</w:t>
            </w: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1,979,975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(6)</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tcPr>
          <w:p>
            <w:pPr>
              <w:jc w:val="center"/>
              <w:ind w:right="222"/>
              <w:spacing w:after="0"/>
              <w:rPr>
                <w:sz w:val="20"/>
                <w:szCs w:val="20"/>
                <w:color w:val="auto"/>
              </w:rPr>
            </w:pPr>
            <w:r>
              <w:rPr>
                <w:rFonts w:ascii="Arial" w:cs="Arial" w:eastAsia="Arial" w:hAnsi="Arial"/>
                <w:sz w:val="12"/>
                <w:szCs w:val="12"/>
                <w:color w:val="auto"/>
                <w:w w:val="99"/>
              </w:rPr>
              <w:t>—</w:t>
            </w:r>
          </w:p>
        </w:tc>
        <w:tc>
          <w:tcPr>
            <w:tcW w:w="1880" w:type="dxa"/>
            <w:vAlign w:val="bottom"/>
          </w:tcPr>
          <w:p>
            <w:pPr>
              <w:jc w:val="center"/>
              <w:ind w:right="142"/>
              <w:spacing w:after="0"/>
              <w:rPr>
                <w:sz w:val="20"/>
                <w:szCs w:val="20"/>
                <w:color w:val="auto"/>
              </w:rPr>
            </w:pPr>
            <w:r>
              <w:rPr>
                <w:rFonts w:ascii="Arial" w:cs="Arial" w:eastAsia="Arial" w:hAnsi="Arial"/>
                <w:sz w:val="12"/>
                <w:szCs w:val="12"/>
                <w:color w:val="auto"/>
                <w:w w:val="85"/>
              </w:rPr>
              <w:t>Business Services</w:t>
            </w:r>
          </w:p>
        </w:tc>
        <w:tc>
          <w:tcPr>
            <w:tcW w:w="1140" w:type="dxa"/>
            <w:vAlign w:val="bottom"/>
          </w:tcPr>
          <w:p>
            <w:pPr>
              <w:jc w:val="right"/>
              <w:ind w:right="182"/>
              <w:spacing w:after="0"/>
              <w:rPr>
                <w:sz w:val="20"/>
                <w:szCs w:val="20"/>
                <w:color w:val="auto"/>
              </w:rPr>
            </w:pPr>
            <w:r>
              <w:rPr>
                <w:rFonts w:ascii="Arial" w:cs="Arial" w:eastAsia="Arial" w:hAnsi="Arial"/>
                <w:sz w:val="12"/>
                <w:szCs w:val="12"/>
                <w:color w:val="auto"/>
              </w:rPr>
              <w:t>14.00%</w:t>
            </w:r>
          </w:p>
        </w:tc>
        <w:tc>
          <w:tcPr>
            <w:tcW w:w="10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2,000,000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1,985,947</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Equity—0.3% </w:t>
            </w:r>
            <w:r>
              <w:rPr>
                <w:rFonts w:ascii="Arial" w:cs="Arial" w:eastAsia="Arial" w:hAnsi="Arial"/>
                <w:sz w:val="9"/>
                <w:szCs w:val="9"/>
                <w:b w:val="1"/>
                <w:bCs w:val="1"/>
                <w:color w:val="auto"/>
              </w:rPr>
              <w:t>(6)</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2"/>
                <w:szCs w:val="12"/>
                <w:color w:val="auto"/>
              </w:rPr>
              <w:t>Superior Digital Displays Holdings, Inc.</w:t>
            </w:r>
          </w:p>
        </w:tc>
        <w:tc>
          <w:tcPr>
            <w:tcW w:w="880" w:type="dxa"/>
            <w:vAlign w:val="bottom"/>
          </w:tcPr>
          <w:p>
            <w:pPr>
              <w:jc w:val="center"/>
              <w:ind w:right="222"/>
              <w:spacing w:after="0" w:line="129" w:lineRule="exact"/>
              <w:rPr>
                <w:sz w:val="20"/>
                <w:szCs w:val="20"/>
                <w:color w:val="auto"/>
              </w:rPr>
            </w:pPr>
            <w:r>
              <w:rPr>
                <w:rFonts w:ascii="Arial" w:cs="Arial" w:eastAsia="Arial" w:hAnsi="Arial"/>
                <w:sz w:val="12"/>
                <w:szCs w:val="12"/>
                <w:color w:val="auto"/>
                <w:w w:val="99"/>
              </w:rPr>
              <w:t>—</w:t>
            </w:r>
          </w:p>
        </w:tc>
        <w:tc>
          <w:tcPr>
            <w:tcW w:w="1880" w:type="dxa"/>
            <w:vAlign w:val="bottom"/>
          </w:tcPr>
          <w:p>
            <w:pPr>
              <w:jc w:val="center"/>
              <w:ind w:right="162"/>
              <w:spacing w:after="0" w:line="129" w:lineRule="exact"/>
              <w:rPr>
                <w:sz w:val="20"/>
                <w:szCs w:val="20"/>
                <w:color w:val="auto"/>
              </w:rPr>
            </w:pPr>
            <w:r>
              <w:rPr>
                <w:rFonts w:ascii="Arial" w:cs="Arial" w:eastAsia="Arial" w:hAnsi="Arial"/>
                <w:sz w:val="12"/>
                <w:szCs w:val="12"/>
                <w:color w:val="auto"/>
                <w:w w:val="91"/>
              </w:rPr>
              <w:t>Media</w:t>
            </w:r>
          </w:p>
        </w:tc>
        <w:tc>
          <w:tcPr>
            <w:tcW w:w="1140" w:type="dxa"/>
            <w:vAlign w:val="bottom"/>
          </w:tcPr>
          <w:p>
            <w:pPr>
              <w:jc w:val="right"/>
              <w:ind w:right="282"/>
              <w:spacing w:after="0" w:line="129"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4,750</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2,211,000</w:t>
            </w:r>
          </w:p>
        </w:tc>
        <w:tc>
          <w:tcPr>
            <w:tcW w:w="120" w:type="dxa"/>
            <w:vAlign w:val="bottom"/>
          </w:tcPr>
          <w:p>
            <w:pPr>
              <w:spacing w:after="0"/>
              <w:rPr>
                <w:sz w:val="11"/>
                <w:szCs w:val="11"/>
                <w:color w:val="auto"/>
              </w:rPr>
            </w:pPr>
          </w:p>
        </w:tc>
        <w:tc>
          <w:tcPr>
            <w:tcW w:w="9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2,113,140</w:t>
            </w:r>
          </w:p>
        </w:tc>
        <w:tc>
          <w:tcPr>
            <w:tcW w:w="0" w:type="dxa"/>
            <w:vAlign w:val="bottom"/>
          </w:tcPr>
          <w:p>
            <w:pPr>
              <w:spacing w:after="0"/>
              <w:rPr>
                <w:sz w:val="1"/>
                <w:szCs w:val="1"/>
                <w:color w:val="auto"/>
              </w:rPr>
            </w:pPr>
          </w:p>
        </w:tc>
      </w:tr>
      <w:tr>
        <w:trPr>
          <w:trHeight w:val="141"/>
        </w:trPr>
        <w:tc>
          <w:tcPr>
            <w:tcW w:w="2960" w:type="dxa"/>
            <w:vAlign w:val="bottom"/>
          </w:tcPr>
          <w:p>
            <w:pPr>
              <w:ind w:left="120"/>
              <w:spacing w:after="0"/>
              <w:rPr>
                <w:sz w:val="20"/>
                <w:szCs w:val="20"/>
                <w:color w:val="auto"/>
              </w:rPr>
            </w:pPr>
            <w:r>
              <w:rPr>
                <w:rFonts w:ascii="Arial" w:cs="Arial" w:eastAsia="Arial" w:hAnsi="Arial"/>
                <w:sz w:val="12"/>
                <w:szCs w:val="12"/>
                <w:color w:val="auto"/>
              </w:rPr>
              <w:t>(Superior Digital Displays, LLC)</w:t>
            </w: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right="222"/>
              <w:spacing w:after="0"/>
              <w:rPr>
                <w:sz w:val="20"/>
                <w:szCs w:val="20"/>
                <w:color w:val="auto"/>
              </w:rPr>
            </w:pPr>
            <w:r>
              <w:rPr>
                <w:rFonts w:ascii="Arial" w:cs="Arial" w:eastAsia="Arial" w:hAnsi="Arial"/>
                <w:sz w:val="12"/>
                <w:szCs w:val="12"/>
                <w:color w:val="auto"/>
                <w:w w:val="99"/>
              </w:rPr>
              <w:t>—</w:t>
            </w:r>
          </w:p>
        </w:tc>
        <w:tc>
          <w:tcPr>
            <w:tcW w:w="18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5"/>
              </w:rPr>
              <w:t>Business Services</w:t>
            </w:r>
          </w:p>
        </w:tc>
        <w:tc>
          <w:tcPr>
            <w:tcW w:w="114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Total Common Equity</w:t>
            </w: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2,211,100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2,113,140</w:t>
            </w:r>
          </w:p>
        </w:tc>
        <w:tc>
          <w:tcPr>
            <w:tcW w:w="0" w:type="dxa"/>
            <w:vAlign w:val="bottom"/>
          </w:tcPr>
          <w:p>
            <w:pPr>
              <w:spacing w:after="0"/>
              <w:rPr>
                <w:sz w:val="1"/>
                <w:szCs w:val="1"/>
                <w:color w:val="auto"/>
              </w:rPr>
            </w:pPr>
          </w:p>
        </w:tc>
      </w:tr>
      <w:tr>
        <w:trPr>
          <w:trHeight w:val="30"/>
        </w:trPr>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38,107,245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36,991,091</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Investments—158.8%</w:t>
            </w: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w w:val="91"/>
              </w:rPr>
              <w:t>1,174,420,817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1,198,407,555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Equivalents—8.6%</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w w:val="92"/>
              </w:rPr>
              <w:t>BlackRock Liquidity Funds, Temp Cash, Institutional Shares</w:t>
            </w: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1,186,186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1,186,186</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 and Cash</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63,163,423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63,204,601</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64,349,609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64,390,787</w:t>
            </w:r>
          </w:p>
        </w:tc>
        <w:tc>
          <w:tcPr>
            <w:tcW w:w="0" w:type="dxa"/>
            <w:vAlign w:val="bottom"/>
          </w:tcPr>
          <w:p>
            <w:pPr>
              <w:spacing w:after="0"/>
              <w:rPr>
                <w:sz w:val="1"/>
                <w:szCs w:val="1"/>
                <w:color w:val="auto"/>
              </w:rPr>
            </w:pPr>
          </w:p>
        </w:tc>
      </w:tr>
      <w:tr>
        <w:trPr>
          <w:trHeight w:val="30"/>
        </w:trPr>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Equivalents—167.4%</w:t>
            </w:r>
          </w:p>
        </w:tc>
        <w:tc>
          <w:tcPr>
            <w:tcW w:w="8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1,238,770,426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1,262,798,342</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Assets—(67.4%)</w:t>
            </w: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(508,325,549)</w:t>
            </w:r>
          </w:p>
        </w:tc>
        <w:tc>
          <w:tcPr>
            <w:tcW w:w="0" w:type="dxa"/>
            <w:vAlign w:val="bottom"/>
          </w:tcPr>
          <w:p>
            <w:pPr>
              <w:spacing w:after="0"/>
              <w:rPr>
                <w:sz w:val="1"/>
                <w:szCs w:val="1"/>
                <w:color w:val="auto"/>
              </w:rPr>
            </w:pPr>
          </w:p>
        </w:tc>
      </w:tr>
      <w:tr>
        <w:trPr>
          <w:trHeight w:val="152"/>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8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754,472,793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8516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40" w:right="16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 The spread provided includes payment-in-kind, or PIK, interest and other fee rates, if any.</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or a revolving line of credit that is currently an unfunded investment. This security does not earn a basis point spread above an index while it is unfunded.</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is held through a consolidated taxable subsidiary (See Note 1).</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 amount is denominated in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180"/>
          </w:cols>
          <w:pgMar w:left="32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ind w:right="-219"/>
        <w:spacing w:after="0"/>
        <w:rPr>
          <w:sz w:val="20"/>
          <w:szCs w:val="20"/>
          <w:color w:val="auto"/>
        </w:rPr>
      </w:pPr>
      <w:r>
        <w:rPr>
          <w:rFonts w:ascii="Arial" w:cs="Arial" w:eastAsia="Arial" w:hAnsi="Arial"/>
          <w:sz w:val="14"/>
          <w:szCs w:val="14"/>
          <w:b w:val="1"/>
          <w:bCs w:val="1"/>
          <w:color w:val="auto"/>
        </w:rPr>
        <w:t>SEPTEMBER 30,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82"/>
              </w:rPr>
              <w:t>Basis Point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auto"/>
                <w:w w:val="83"/>
              </w:rPr>
              <w:t>Spread</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spacing w:after="0"/>
              <w:rPr>
                <w:sz w:val="11"/>
                <w:szCs w:val="11"/>
                <w:color w:val="auto"/>
              </w:rPr>
            </w:pPr>
          </w:p>
        </w:tc>
        <w:tc>
          <w:tcPr>
            <w:tcW w:w="2060" w:type="dxa"/>
            <w:vAlign w:val="bottom"/>
            <w:vMerge w:val="restart"/>
          </w:tcPr>
          <w:p>
            <w:pPr>
              <w:jc w:val="center"/>
              <w:ind w:right="2"/>
              <w:spacing w:after="0"/>
              <w:rPr>
                <w:sz w:val="20"/>
                <w:szCs w:val="20"/>
                <w:color w:val="auto"/>
              </w:rPr>
            </w:pPr>
            <w:r>
              <w:rPr>
                <w:rFonts w:ascii="Arial" w:cs="Arial" w:eastAsia="Arial" w:hAnsi="Arial"/>
                <w:sz w:val="12"/>
                <w:szCs w:val="12"/>
                <w:b w:val="1"/>
                <w:bCs w:val="1"/>
                <w:color w:val="auto"/>
                <w:w w:val="92"/>
              </w:rPr>
              <w:t>Industry</w:t>
            </w:r>
          </w:p>
        </w:tc>
        <w:tc>
          <w:tcPr>
            <w:tcW w:w="1140" w:type="dxa"/>
            <w:vAlign w:val="bottom"/>
          </w:tcPr>
          <w:p>
            <w:pPr>
              <w:jc w:val="right"/>
              <w:ind w:right="422"/>
              <w:spacing w:after="0" w:line="135" w:lineRule="exact"/>
              <w:rPr>
                <w:sz w:val="20"/>
                <w:szCs w:val="20"/>
                <w:color w:val="auto"/>
              </w:rPr>
            </w:pPr>
            <w:r>
              <w:rPr>
                <w:rFonts w:ascii="Arial" w:cs="Arial" w:eastAsia="Arial" w:hAnsi="Arial"/>
                <w:sz w:val="12"/>
                <w:szCs w:val="12"/>
                <w:b w:val="1"/>
                <w:bCs w:val="1"/>
                <w:color w:val="auto"/>
              </w:rPr>
              <w:t>Current</w:t>
            </w:r>
          </w:p>
        </w:tc>
        <w:tc>
          <w:tcPr>
            <w:tcW w:w="116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auto"/>
                <w:w w:val="87"/>
              </w:rPr>
              <w:t>Above</w:t>
            </w:r>
          </w:p>
        </w:tc>
        <w:tc>
          <w:tcPr>
            <w:tcW w:w="940" w:type="dxa"/>
            <w:vAlign w:val="bottom"/>
          </w:tcPr>
          <w:p>
            <w:pPr>
              <w:jc w:val="right"/>
              <w:ind w:right="40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vMerge w:val="continue"/>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060" w:type="dxa"/>
            <w:vAlign w:val="bottom"/>
            <w:vMerge w:val="continue"/>
          </w:tcPr>
          <w:p>
            <w:pPr>
              <w:spacing w:after="0"/>
              <w:rPr>
                <w:sz w:val="12"/>
                <w:szCs w:val="12"/>
                <w:color w:val="auto"/>
              </w:rPr>
            </w:pPr>
          </w:p>
        </w:tc>
        <w:tc>
          <w:tcPr>
            <w:tcW w:w="1140" w:type="dxa"/>
            <w:vAlign w:val="bottom"/>
          </w:tcPr>
          <w:p>
            <w:pPr>
              <w:jc w:val="right"/>
              <w:ind w:right="422"/>
              <w:spacing w:after="0"/>
              <w:rPr>
                <w:sz w:val="20"/>
                <w:szCs w:val="20"/>
                <w:color w:val="auto"/>
              </w:rPr>
            </w:pPr>
            <w:r>
              <w:rPr>
                <w:rFonts w:ascii="Arial" w:cs="Arial" w:eastAsia="Arial" w:hAnsi="Arial"/>
                <w:sz w:val="12"/>
                <w:szCs w:val="12"/>
                <w:b w:val="1"/>
                <w:bCs w:val="1"/>
                <w:color w:val="auto"/>
              </w:rPr>
              <w:t>Coupon</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94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8"/>
        </w:trPr>
        <w:tc>
          <w:tcPr>
            <w:tcW w:w="57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Companies—138.9% </w:t>
            </w:r>
            <w:r>
              <w:rPr>
                <w:rFonts w:ascii="Arial" w:cs="Arial" w:eastAsia="Arial" w:hAnsi="Arial"/>
                <w:sz w:val="9"/>
                <w:szCs w:val="9"/>
                <w:b w:val="1"/>
                <w:bCs w:val="1"/>
                <w:color w:val="auto"/>
              </w:rPr>
              <w:t>(1), (2)</w:t>
            </w:r>
          </w:p>
        </w:tc>
        <w:tc>
          <w:tcPr>
            <w:tcW w:w="11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Debt—41.3%</w:t>
            </w:r>
          </w:p>
        </w:tc>
        <w:tc>
          <w:tcPr>
            <w:tcW w:w="9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06/21/2017</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9"/>
              </w:rPr>
              <w:t>Communications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11.25%</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23,912,894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23,012,057</w:t>
            </w: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25,347,668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9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12/21/2016</w:t>
            </w:r>
          </w:p>
        </w:tc>
        <w:tc>
          <w:tcPr>
            <w:tcW w:w="206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1"/>
              </w:rPr>
              <w:t>Retail</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12.50%</w:t>
            </w:r>
          </w:p>
        </w:tc>
        <w:tc>
          <w:tcPr>
            <w:tcW w:w="11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L+1,225</w:t>
            </w: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14,550,084</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14,310,552</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14,694,828</w:t>
            </w: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(PIK 1.50 %)</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CEVA Group PLC </w:t>
            </w:r>
            <w:r>
              <w:rPr>
                <w:rFonts w:ascii="Arial" w:cs="Arial" w:eastAsia="Arial" w:hAnsi="Arial"/>
                <w:sz w:val="9"/>
                <w:szCs w:val="9"/>
                <w:color w:val="auto"/>
              </w:rPr>
              <w:t>(5), (10)</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10/01/2016</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6"/>
              </w:rPr>
              <w:t>Cargo Transport</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11.63%</w:t>
            </w:r>
          </w:p>
        </w:tc>
        <w:tc>
          <w:tcPr>
            <w:tcW w:w="116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7,500,000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7,385,251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7,725,000</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11/20/2014</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Communications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10,000,000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10,750,000</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Cydcor LLC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06/12/2017</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9.75%</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L+725</w:t>
            </w:r>
            <w:r>
              <w:rPr>
                <w:rFonts w:ascii="Arial" w:cs="Arial" w:eastAsia="Arial" w:hAnsi="Arial"/>
                <w:sz w:val="9"/>
                <w:szCs w:val="9"/>
                <w:color w:val="auto"/>
              </w:rPr>
              <w:t>(8)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7,342,967</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7,342,967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7,342,967</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9"/>
                <w:szCs w:val="9"/>
                <w:color w:val="auto"/>
              </w:rPr>
              <w:t>(5)</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12/01/2016</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12,000,000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11,835,907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12,900,000</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03/30/2017</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9"/>
              </w:rPr>
              <w:t>Auto Sector</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11.50%</w:t>
            </w:r>
          </w:p>
        </w:tc>
        <w:tc>
          <w:tcPr>
            <w:tcW w:w="116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11,500,000</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11,326,110</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12,391,250</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InfuSystem Holdings, Inc.</w:t>
            </w:r>
          </w:p>
        </w:tc>
        <w:tc>
          <w:tcPr>
            <w:tcW w:w="9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11/30/2016</w:t>
            </w:r>
          </w:p>
        </w:tc>
        <w:tc>
          <w:tcPr>
            <w:tcW w:w="206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11.95%</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P+625</w:t>
            </w:r>
            <w:r>
              <w:rPr>
                <w:rFonts w:ascii="Arial" w:cs="Arial" w:eastAsia="Arial" w:hAnsi="Arial"/>
                <w:sz w:val="9"/>
                <w:szCs w:val="9"/>
                <w:color w:val="auto"/>
              </w:rPr>
              <w:t>(8)</w:t>
            </w: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11,600,000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11,600,000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11,708,430</w:t>
            </w: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Childcare</w:t>
            </w:r>
          </w:p>
        </w:tc>
        <w:tc>
          <w:tcPr>
            <w:tcW w:w="1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Instant Web, Inc.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08/07/2014</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91"/>
              </w:rPr>
              <w:t>Printing and Publishing</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14.50%</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23,934,268</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23,788,980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22,976,897</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08/07/2014</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Printing and Publishing</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3.55%</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L+338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18,199,679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13,917,288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14,559,743</w:t>
            </w:r>
          </w:p>
        </w:tc>
        <w:tc>
          <w:tcPr>
            <w:tcW w:w="0" w:type="dxa"/>
            <w:vAlign w:val="bottom"/>
          </w:tcPr>
          <w:p>
            <w:pPr>
              <w:spacing w:after="0"/>
              <w:rPr>
                <w:sz w:val="1"/>
                <w:szCs w:val="1"/>
                <w:color w:val="auto"/>
              </w:rPr>
            </w:pPr>
          </w:p>
        </w:tc>
      </w:tr>
      <w:tr>
        <w:trPr>
          <w:trHeight w:val="129"/>
        </w:trPr>
        <w:tc>
          <w:tcPr>
            <w:tcW w:w="2800" w:type="dxa"/>
            <w:vAlign w:val="bottom"/>
          </w:tcPr>
          <w:p>
            <w:pPr>
              <w:spacing w:after="0" w:line="129" w:lineRule="exact"/>
              <w:rPr>
                <w:sz w:val="20"/>
                <w:szCs w:val="20"/>
                <w:color w:val="auto"/>
              </w:rPr>
            </w:pPr>
            <w:r>
              <w:rPr>
                <w:rFonts w:ascii="Arial" w:cs="Arial" w:eastAsia="Arial" w:hAnsi="Arial"/>
                <w:sz w:val="12"/>
                <w:szCs w:val="12"/>
                <w:color w:val="auto"/>
              </w:rPr>
              <w:t>Interactive Health Solutions, Inc.</w:t>
            </w:r>
          </w:p>
        </w:tc>
        <w:tc>
          <w:tcPr>
            <w:tcW w:w="920" w:type="dxa"/>
            <w:vAlign w:val="bottom"/>
          </w:tcPr>
          <w:p>
            <w:pPr>
              <w:jc w:val="center"/>
              <w:spacing w:after="0" w:line="129" w:lineRule="exact"/>
              <w:rPr>
                <w:sz w:val="20"/>
                <w:szCs w:val="20"/>
                <w:color w:val="auto"/>
              </w:rPr>
            </w:pPr>
            <w:r>
              <w:rPr>
                <w:rFonts w:ascii="Arial" w:cs="Arial" w:eastAsia="Arial" w:hAnsi="Arial"/>
                <w:sz w:val="12"/>
                <w:szCs w:val="12"/>
                <w:color w:val="auto"/>
                <w:w w:val="89"/>
              </w:rPr>
              <w:t>10/04/2016</w:t>
            </w:r>
          </w:p>
        </w:tc>
        <w:tc>
          <w:tcPr>
            <w:tcW w:w="206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18,050,000</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17,770,705</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18,050,000</w:t>
            </w:r>
          </w:p>
        </w:tc>
        <w:tc>
          <w:tcPr>
            <w:tcW w:w="0" w:type="dxa"/>
            <w:vAlign w:val="bottom"/>
          </w:tcPr>
          <w:p>
            <w:pPr>
              <w:spacing w:after="0"/>
              <w:rPr>
                <w:sz w:val="1"/>
                <w:szCs w:val="1"/>
                <w:color w:val="auto"/>
              </w:rPr>
            </w:pPr>
          </w:p>
        </w:tc>
      </w:tr>
      <w:tr>
        <w:trPr>
          <w:trHeight w:val="151"/>
        </w:trPr>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6"/>
              </w:rPr>
              <w:t>Childcare</w:t>
            </w: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Jackson Hewitt Tax Service Inc.</w:t>
            </w:r>
          </w:p>
        </w:tc>
        <w:tc>
          <w:tcPr>
            <w:tcW w:w="9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9"/>
              </w:rPr>
              <w:t>10/16/2017</w:t>
            </w:r>
          </w:p>
        </w:tc>
        <w:tc>
          <w:tcPr>
            <w:tcW w:w="206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6"/>
              </w:rPr>
              <w:t>Personal, Food and Miscellaneous</w:t>
            </w:r>
          </w:p>
        </w:tc>
        <w:tc>
          <w:tcPr>
            <w:tcW w:w="11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10.00%</w:t>
            </w:r>
          </w:p>
        </w:tc>
        <w:tc>
          <w:tcPr>
            <w:tcW w:w="116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4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8,355,469</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8,349,704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8,230,137</w:t>
            </w:r>
          </w:p>
        </w:tc>
        <w:tc>
          <w:tcPr>
            <w:tcW w:w="0" w:type="dxa"/>
            <w:vAlign w:val="bottom"/>
          </w:tcPr>
          <w:p>
            <w:pPr>
              <w:spacing w:after="0"/>
              <w:rPr>
                <w:sz w:val="1"/>
                <w:szCs w:val="1"/>
                <w:color w:val="auto"/>
              </w:rPr>
            </w:pPr>
          </w:p>
        </w:tc>
      </w:tr>
      <w:tr>
        <w:trPr>
          <w:trHeight w:val="141"/>
        </w:trPr>
        <w:tc>
          <w:tcPr>
            <w:tcW w:w="2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Services</w:t>
            </w:r>
          </w:p>
        </w:tc>
        <w:tc>
          <w:tcPr>
            <w:tcW w:w="1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08/19/2019</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7"/>
              </w:rPr>
              <w:t>Chemicals, Plastics and Rubber</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L+900</w:t>
            </w:r>
            <w:r>
              <w:rPr>
                <w:rFonts w:ascii="Arial" w:cs="Arial" w:eastAsia="Arial" w:hAnsi="Arial"/>
                <w:sz w:val="9"/>
                <w:szCs w:val="9"/>
                <w:color w:val="auto"/>
              </w:rPr>
              <w:t>(8)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22,342,352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21,899,258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22,007,217</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9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08/01/2014</w:t>
            </w:r>
          </w:p>
        </w:tc>
        <w:tc>
          <w:tcPr>
            <w:tcW w:w="206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0"/>
              </w:rPr>
              <w:t>Other Media</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6.00 %</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L+500</w:t>
            </w:r>
            <w:r>
              <w:rPr>
                <w:rFonts w:ascii="Arial" w:cs="Arial" w:eastAsia="Arial" w:hAnsi="Arial"/>
                <w:sz w:val="9"/>
                <w:szCs w:val="9"/>
                <w:color w:val="auto"/>
              </w:rPr>
              <w:t>(8)</w:t>
            </w: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37,950,152</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36,110,124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37,523,212</w:t>
            </w: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(PIK 2.00 %)</w:t>
            </w: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20" w:type="dxa"/>
            <w:vAlign w:val="bottom"/>
          </w:tcPr>
          <w:p>
            <w:pPr>
              <w:jc w:val="center"/>
              <w:spacing w:after="0" w:line="129" w:lineRule="exact"/>
              <w:rPr>
                <w:sz w:val="20"/>
                <w:szCs w:val="20"/>
                <w:color w:val="auto"/>
              </w:rPr>
            </w:pPr>
            <w:r>
              <w:rPr>
                <w:rFonts w:ascii="Arial" w:cs="Arial" w:eastAsia="Arial" w:hAnsi="Arial"/>
                <w:sz w:val="12"/>
                <w:szCs w:val="12"/>
                <w:color w:val="auto"/>
                <w:w w:val="89"/>
              </w:rPr>
              <w:t>12/16/2019</w:t>
            </w:r>
          </w:p>
        </w:tc>
        <w:tc>
          <w:tcPr>
            <w:tcW w:w="206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0"/>
              </w:rPr>
              <w:t>Mining, Steel, Iron and Non-</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11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14,250,000</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14,096,169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15,176,250</w:t>
            </w:r>
          </w:p>
        </w:tc>
        <w:tc>
          <w:tcPr>
            <w:tcW w:w="0" w:type="dxa"/>
            <w:vAlign w:val="bottom"/>
          </w:tcPr>
          <w:p>
            <w:pPr>
              <w:spacing w:after="0"/>
              <w:rPr>
                <w:sz w:val="1"/>
                <w:szCs w:val="1"/>
                <w:color w:val="auto"/>
              </w:rPr>
            </w:pPr>
          </w:p>
        </w:tc>
      </w:tr>
      <w:tr>
        <w:trPr>
          <w:trHeight w:val="151"/>
        </w:trPr>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8"/>
              </w:rPr>
              <w:t>Precious Metals</w:t>
            </w: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04/30/2018</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12.00%</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34,270,800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33,766,321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34,270,800</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07/06/2017</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3"/>
              </w:rPr>
              <w:t>Insurance</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12,451,096</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12,451,096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12,388,840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278,962,489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288,043,239</w:t>
            </w:r>
          </w:p>
        </w:tc>
        <w:tc>
          <w:tcPr>
            <w:tcW w:w="0" w:type="dxa"/>
            <w:vAlign w:val="bottom"/>
          </w:tcPr>
          <w:p>
            <w:pPr>
              <w:spacing w:after="0"/>
              <w:rPr>
                <w:sz w:val="1"/>
                <w:szCs w:val="1"/>
                <w:color w:val="auto"/>
              </w:rPr>
            </w:pPr>
          </w:p>
        </w:tc>
      </w:tr>
      <w:tr>
        <w:trPr>
          <w:trHeight w:val="152"/>
        </w:trPr>
        <w:tc>
          <w:tcPr>
            <w:tcW w:w="2800" w:type="dxa"/>
            <w:vAlign w:val="bottom"/>
          </w:tcPr>
          <w:p>
            <w:pPr>
              <w:spacing w:after="0"/>
              <w:rPr>
                <w:sz w:val="20"/>
                <w:szCs w:val="20"/>
                <w:color w:val="auto"/>
              </w:rPr>
            </w:pPr>
            <w:r>
              <w:rPr>
                <w:rFonts w:ascii="Arial" w:cs="Arial" w:eastAsia="Arial" w:hAnsi="Arial"/>
                <w:sz w:val="12"/>
                <w:szCs w:val="12"/>
                <w:b w:val="1"/>
                <w:bCs w:val="1"/>
                <w:color w:val="auto"/>
              </w:rPr>
              <w:t>Second Lien Secured Debt—48.9%</w:t>
            </w: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9"/>
              </w:rPr>
              <w:t>09/01/2017</w:t>
            </w:r>
          </w:p>
        </w:tc>
        <w:tc>
          <w:tcPr>
            <w:tcW w:w="206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8"/>
              </w:rPr>
              <w:t>Diversified Natural Resources,</w:t>
            </w:r>
          </w:p>
        </w:tc>
        <w:tc>
          <w:tcPr>
            <w:tcW w:w="11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11.50%</w:t>
            </w:r>
          </w:p>
        </w:tc>
        <w:tc>
          <w:tcPr>
            <w:tcW w:w="116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25,400,000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25,400,000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25,971,500</w:t>
            </w: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Precious Metals and Minerals</w:t>
            </w:r>
          </w:p>
        </w:tc>
        <w:tc>
          <w:tcPr>
            <w:tcW w:w="1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10/01/2020</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11.75%</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18,750,000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18,375,000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18,687,563</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10/23/2019</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2"/>
              </w:rPr>
              <w:t>Energy / Utilities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11.00%</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42,278,570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41,471,524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43,159,233</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Carolina Beverage Group, LLC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08/01/2018</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5"/>
              </w:rPr>
              <w:t>Beverage, Food and Tobacco</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10.63%</w:t>
            </w:r>
          </w:p>
        </w:tc>
        <w:tc>
          <w:tcPr>
            <w:tcW w:w="116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13,125,000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13,125,000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13,420,313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9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11/04/2021</w:t>
            </w:r>
          </w:p>
        </w:tc>
        <w:tc>
          <w:tcPr>
            <w:tcW w:w="206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9.75%</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19,000,000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18,620,000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18,905,000</w:t>
            </w: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Childcare</w:t>
            </w:r>
          </w:p>
        </w:tc>
        <w:tc>
          <w:tcPr>
            <w:tcW w:w="1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08/16/2018</w:t>
            </w: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92"/>
              </w:rPr>
              <w:t>Energy / Utilities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116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45,000,000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44,599,796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46,575,000</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06/14/2019</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Electronics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6,900,000</w:t>
            </w:r>
          </w:p>
        </w:tc>
        <w:tc>
          <w:tcPr>
            <w:tcW w:w="0" w:type="dxa"/>
            <w:vAlign w:val="bottom"/>
          </w:tcPr>
          <w:p>
            <w:pPr>
              <w:spacing w:after="0"/>
              <w:rPr>
                <w:sz w:val="1"/>
                <w:szCs w:val="1"/>
                <w:color w:val="auto"/>
              </w:rPr>
            </w:pPr>
          </w:p>
        </w:tc>
      </w:tr>
      <w:tr>
        <w:trPr>
          <w:trHeight w:val="129"/>
        </w:trPr>
        <w:tc>
          <w:tcPr>
            <w:tcW w:w="2800" w:type="dxa"/>
            <w:vAlign w:val="bottom"/>
          </w:tcPr>
          <w:p>
            <w:pPr>
              <w:spacing w:after="0" w:line="129" w:lineRule="exact"/>
              <w:rPr>
                <w:sz w:val="20"/>
                <w:szCs w:val="20"/>
                <w:color w:val="auto"/>
              </w:rPr>
            </w:pPr>
            <w:r>
              <w:rPr>
                <w:rFonts w:ascii="Arial" w:cs="Arial" w:eastAsia="Arial" w:hAnsi="Arial"/>
                <w:sz w:val="12"/>
                <w:szCs w:val="12"/>
                <w:color w:val="auto"/>
              </w:rPr>
              <w:t>Intermediate Transportation 100, L.L.C.</w:t>
            </w:r>
          </w:p>
        </w:tc>
        <w:tc>
          <w:tcPr>
            <w:tcW w:w="920" w:type="dxa"/>
            <w:vAlign w:val="bottom"/>
          </w:tcPr>
          <w:p>
            <w:pPr>
              <w:jc w:val="center"/>
              <w:spacing w:after="0" w:line="129" w:lineRule="exact"/>
              <w:rPr>
                <w:sz w:val="20"/>
                <w:szCs w:val="20"/>
                <w:color w:val="auto"/>
              </w:rPr>
            </w:pPr>
            <w:r>
              <w:rPr>
                <w:rFonts w:ascii="Arial" w:cs="Arial" w:eastAsia="Arial" w:hAnsi="Arial"/>
                <w:sz w:val="12"/>
                <w:szCs w:val="12"/>
                <w:color w:val="auto"/>
                <w:w w:val="89"/>
              </w:rPr>
              <w:t>03/01/2017</w:t>
            </w:r>
          </w:p>
        </w:tc>
        <w:tc>
          <w:tcPr>
            <w:tcW w:w="206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Cargo Transport</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11.00%</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3,544,833</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3,544,836</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3,544,833</w:t>
            </w:r>
          </w:p>
        </w:tc>
        <w:tc>
          <w:tcPr>
            <w:tcW w:w="0" w:type="dxa"/>
            <w:vAlign w:val="bottom"/>
          </w:tcPr>
          <w:p>
            <w:pPr>
              <w:spacing w:after="0"/>
              <w:rPr>
                <w:sz w:val="1"/>
                <w:szCs w:val="1"/>
                <w:color w:val="auto"/>
              </w:rPr>
            </w:pPr>
          </w:p>
        </w:tc>
      </w:tr>
      <w:tr>
        <w:trPr>
          <w:trHeight w:val="151"/>
        </w:trPr>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(PIK 11.00 %)</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Jacobs Entertainment, Inc.</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10/29/2019</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Hotels, Motels, Inns and Gaming</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13.00%</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38,950,000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38,287,499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39,096,063</w:t>
            </w:r>
          </w:p>
        </w:tc>
        <w:tc>
          <w:tcPr>
            <w:tcW w:w="0" w:type="dxa"/>
            <w:vAlign w:val="bottom"/>
          </w:tcPr>
          <w:p>
            <w:pPr>
              <w:spacing w:after="0"/>
              <w:rPr>
                <w:sz w:val="1"/>
                <w:szCs w:val="1"/>
                <w:color w:val="auto"/>
              </w:rPr>
            </w:pPr>
          </w:p>
        </w:tc>
      </w:tr>
      <w:tr>
        <w:trPr>
          <w:trHeight w:val="129"/>
        </w:trPr>
        <w:tc>
          <w:tcPr>
            <w:tcW w:w="280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920" w:type="dxa"/>
            <w:vAlign w:val="bottom"/>
          </w:tcPr>
          <w:p>
            <w:pPr>
              <w:jc w:val="center"/>
              <w:spacing w:after="0" w:line="129" w:lineRule="exact"/>
              <w:rPr>
                <w:sz w:val="20"/>
                <w:szCs w:val="20"/>
                <w:color w:val="auto"/>
              </w:rPr>
            </w:pPr>
            <w:r>
              <w:rPr>
                <w:rFonts w:ascii="Arial" w:cs="Arial" w:eastAsia="Arial" w:hAnsi="Arial"/>
                <w:sz w:val="12"/>
                <w:szCs w:val="12"/>
                <w:color w:val="auto"/>
                <w:w w:val="89"/>
              </w:rPr>
              <w:t>12/20/2016</w:t>
            </w:r>
          </w:p>
        </w:tc>
        <w:tc>
          <w:tcPr>
            <w:tcW w:w="206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10.50%</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33,750,000</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33,265,829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33,187,388</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6"/>
              </w:rPr>
              <w:t>Services</w:t>
            </w: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w w:val="98"/>
              </w:rPr>
              <w:t xml:space="preserve">Linc USA GP and Linc Energy Finance (USA), Inc. </w:t>
            </w:r>
            <w:r>
              <w:rPr>
                <w:rFonts w:ascii="Arial" w:cs="Arial" w:eastAsia="Arial" w:hAnsi="Arial"/>
                <w:sz w:val="9"/>
                <w:szCs w:val="9"/>
                <w:color w:val="auto"/>
                <w:w w:val="98"/>
              </w:rPr>
              <w:t>(5)</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10/31/2017</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Oil and Gas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12.50%</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11,875,000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11,511,878</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13,062,500</w:t>
            </w:r>
          </w:p>
        </w:tc>
        <w:tc>
          <w:tcPr>
            <w:tcW w:w="0" w:type="dxa"/>
            <w:vAlign w:val="bottom"/>
          </w:tcPr>
          <w:p>
            <w:pPr>
              <w:spacing w:after="0"/>
              <w:rPr>
                <w:sz w:val="1"/>
                <w:szCs w:val="1"/>
                <w:color w:val="auto"/>
              </w:rPr>
            </w:pPr>
          </w:p>
        </w:tc>
      </w:tr>
      <w:tr>
        <w:trPr>
          <w:trHeight w:val="129"/>
        </w:trPr>
        <w:tc>
          <w:tcPr>
            <w:tcW w:w="280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920" w:type="dxa"/>
            <w:vAlign w:val="bottom"/>
          </w:tcPr>
          <w:p>
            <w:pPr>
              <w:jc w:val="center"/>
              <w:spacing w:after="0" w:line="129" w:lineRule="exact"/>
              <w:rPr>
                <w:sz w:val="20"/>
                <w:szCs w:val="20"/>
                <w:color w:val="auto"/>
              </w:rPr>
            </w:pPr>
            <w:r>
              <w:rPr>
                <w:rFonts w:ascii="Arial" w:cs="Arial" w:eastAsia="Arial" w:hAnsi="Arial"/>
                <w:sz w:val="12"/>
                <w:szCs w:val="12"/>
                <w:color w:val="auto"/>
                <w:w w:val="89"/>
              </w:rPr>
              <w:t>07/01/2020</w:t>
            </w:r>
          </w:p>
        </w:tc>
        <w:tc>
          <w:tcPr>
            <w:tcW w:w="206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9.75%</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56,750,000</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55,923,621</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56,040,625</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tcPr>
          <w:p>
            <w:pPr>
              <w:jc w:val="center"/>
              <w:ind w:right="2"/>
              <w:spacing w:after="0"/>
              <w:rPr>
                <w:sz w:val="20"/>
                <w:szCs w:val="20"/>
                <w:color w:val="auto"/>
              </w:rPr>
            </w:pPr>
            <w:r>
              <w:rPr>
                <w:rFonts w:ascii="Arial" w:cs="Arial" w:eastAsia="Arial" w:hAnsi="Arial"/>
                <w:sz w:val="12"/>
                <w:szCs w:val="12"/>
                <w:color w:val="auto"/>
                <w:w w:val="86"/>
              </w:rPr>
              <w:t>Services</w:t>
            </w: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12/15/2014</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Other Media</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9.50%</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L+550</w:t>
            </w:r>
            <w:r>
              <w:rPr>
                <w:rFonts w:ascii="Arial" w:cs="Arial" w:eastAsia="Arial" w:hAnsi="Arial"/>
                <w:sz w:val="9"/>
                <w:szCs w:val="9"/>
                <w:color w:val="auto"/>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2,395,378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2,395,378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2,371,424</w:t>
            </w:r>
          </w:p>
        </w:tc>
        <w:tc>
          <w:tcPr>
            <w:tcW w:w="0" w:type="dxa"/>
            <w:vAlign w:val="bottom"/>
          </w:tcPr>
          <w:p>
            <w:pPr>
              <w:spacing w:after="0"/>
              <w:rPr>
                <w:sz w:val="1"/>
                <w:szCs w:val="1"/>
                <w:color w:val="auto"/>
              </w:rPr>
            </w:pPr>
          </w:p>
        </w:tc>
      </w:tr>
      <w:tr>
        <w:trPr>
          <w:trHeight w:val="129"/>
        </w:trPr>
        <w:tc>
          <w:tcPr>
            <w:tcW w:w="280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920" w:type="dxa"/>
            <w:vAlign w:val="bottom"/>
          </w:tcPr>
          <w:p>
            <w:pPr>
              <w:jc w:val="center"/>
              <w:spacing w:after="0" w:line="129" w:lineRule="exact"/>
              <w:rPr>
                <w:sz w:val="20"/>
                <w:szCs w:val="20"/>
                <w:color w:val="auto"/>
              </w:rPr>
            </w:pPr>
            <w:r>
              <w:rPr>
                <w:rFonts w:ascii="Arial" w:cs="Arial" w:eastAsia="Arial" w:hAnsi="Arial"/>
                <w:sz w:val="12"/>
                <w:szCs w:val="12"/>
                <w:color w:val="auto"/>
                <w:w w:val="89"/>
              </w:rPr>
              <w:t>12/15/2015</w:t>
            </w:r>
          </w:p>
        </w:tc>
        <w:tc>
          <w:tcPr>
            <w:tcW w:w="206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0"/>
              </w:rPr>
              <w:t>Other Media</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11.50 %</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P+750</w:t>
            </w:r>
            <w:r>
              <w:rPr>
                <w:rFonts w:ascii="Arial" w:cs="Arial" w:eastAsia="Arial" w:hAnsi="Arial"/>
                <w:sz w:val="9"/>
                <w:szCs w:val="9"/>
                <w:color w:val="auto"/>
              </w:rPr>
              <w:t>(8)</w:t>
            </w: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2,502,333</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2,502,333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2,452,286</w:t>
            </w:r>
          </w:p>
        </w:tc>
        <w:tc>
          <w:tcPr>
            <w:tcW w:w="0" w:type="dxa"/>
            <w:vAlign w:val="bottom"/>
          </w:tcPr>
          <w:p>
            <w:pPr>
              <w:spacing w:after="0"/>
              <w:rPr>
                <w:sz w:val="1"/>
                <w:szCs w:val="1"/>
                <w:color w:val="auto"/>
              </w:rPr>
            </w:pPr>
          </w:p>
        </w:tc>
      </w:tr>
      <w:tr>
        <w:trPr>
          <w:trHeight w:val="151"/>
        </w:trPr>
        <w:tc>
          <w:tcPr>
            <w:tcW w:w="2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(PIK 11.50 %)</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ROC Finance LLC and ROC Finance 1 Corp.</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08/31/2018</w:t>
            </w:r>
          </w:p>
        </w:tc>
        <w:tc>
          <w:tcPr>
            <w:tcW w:w="206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Hotels, Motels, Inns and Gaming</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12.13%</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16,000,000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15,785,252</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17,720,000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8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5"/>
              </w:rPr>
              <w:t>332,007,946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341,093,728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jc w:val="center"/>
              <w:ind w:right="82"/>
              <w:spacing w:after="0"/>
              <w:rPr>
                <w:sz w:val="20"/>
                <w:szCs w:val="20"/>
                <w:color w:val="auto"/>
              </w:rPr>
            </w:pPr>
            <w:r>
              <w:rPr>
                <w:rFonts w:ascii="Arial" w:cs="Arial" w:eastAsia="Arial" w:hAnsi="Arial"/>
                <w:sz w:val="12"/>
                <w:szCs w:val="12"/>
                <w:b w:val="1"/>
                <w:bCs w:val="1"/>
                <w:color w:val="auto"/>
                <w:w w:val="85"/>
              </w:rPr>
              <w:t>Basis Point</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8"/>
              </w:rPr>
              <w:t>Spread</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spacing w:after="0"/>
              <w:rPr>
                <w:sz w:val="11"/>
                <w:szCs w:val="11"/>
                <w:color w:val="auto"/>
              </w:rPr>
            </w:pPr>
          </w:p>
        </w:tc>
        <w:tc>
          <w:tcPr>
            <w:tcW w:w="1920" w:type="dxa"/>
            <w:vAlign w:val="bottom"/>
            <w:vMerge w:val="restart"/>
          </w:tcPr>
          <w:p>
            <w:pPr>
              <w:jc w:val="center"/>
              <w:ind w:right="22"/>
              <w:spacing w:after="0"/>
              <w:rPr>
                <w:sz w:val="20"/>
                <w:szCs w:val="20"/>
                <w:color w:val="auto"/>
              </w:rPr>
            </w:pPr>
            <w:r>
              <w:rPr>
                <w:rFonts w:ascii="Arial" w:cs="Arial" w:eastAsia="Arial" w:hAnsi="Arial"/>
                <w:sz w:val="12"/>
                <w:szCs w:val="12"/>
                <w:b w:val="1"/>
                <w:bCs w:val="1"/>
                <w:color w:val="auto"/>
                <w:w w:val="92"/>
              </w:rPr>
              <w:t>Industry</w:t>
            </w:r>
          </w:p>
        </w:tc>
        <w:tc>
          <w:tcPr>
            <w:tcW w:w="1200" w:type="dxa"/>
            <w:vAlign w:val="bottom"/>
          </w:tcPr>
          <w:p>
            <w:pPr>
              <w:jc w:val="right"/>
              <w:ind w:right="482"/>
              <w:spacing w:after="0" w:line="135" w:lineRule="exact"/>
              <w:rPr>
                <w:sz w:val="20"/>
                <w:szCs w:val="20"/>
                <w:color w:val="auto"/>
              </w:rPr>
            </w:pPr>
            <w:r>
              <w:rPr>
                <w:rFonts w:ascii="Arial" w:cs="Arial" w:eastAsia="Arial" w:hAnsi="Arial"/>
                <w:sz w:val="12"/>
                <w:szCs w:val="12"/>
                <w:b w:val="1"/>
                <w:bCs w:val="1"/>
                <w:color w:val="auto"/>
              </w:rPr>
              <w:t>Current</w:t>
            </w:r>
          </w:p>
        </w:tc>
        <w:tc>
          <w:tcPr>
            <w:tcW w:w="106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7"/>
              </w:rPr>
              <w:t>Above</w:t>
            </w:r>
          </w:p>
        </w:tc>
        <w:tc>
          <w:tcPr>
            <w:tcW w:w="1000" w:type="dxa"/>
            <w:vAlign w:val="bottom"/>
          </w:tcPr>
          <w:p>
            <w:pPr>
              <w:jc w:val="right"/>
              <w:ind w:right="422"/>
              <w:spacing w:after="0" w:line="135" w:lineRule="exact"/>
              <w:rPr>
                <w:sz w:val="20"/>
                <w:szCs w:val="20"/>
                <w:color w:val="auto"/>
              </w:rPr>
            </w:pPr>
            <w:r>
              <w:rPr>
                <w:rFonts w:ascii="Arial" w:cs="Arial" w:eastAsia="Arial" w:hAnsi="Arial"/>
                <w:sz w:val="12"/>
                <w:szCs w:val="12"/>
                <w:b w:val="1"/>
                <w:bCs w:val="1"/>
                <w:color w:val="auto"/>
              </w:rPr>
              <w:t>Par /</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60" w:type="dxa"/>
            <w:vAlign w:val="bottom"/>
            <w:vMerge w:val="continue"/>
          </w:tcPr>
          <w:p>
            <w:pPr>
              <w:spacing w:after="0"/>
              <w:rPr>
                <w:sz w:val="12"/>
                <w:szCs w:val="12"/>
                <w:color w:val="auto"/>
              </w:rPr>
            </w:pPr>
          </w:p>
        </w:tc>
        <w:tc>
          <w:tcPr>
            <w:tcW w:w="1160" w:type="dxa"/>
            <w:vAlign w:val="bottom"/>
          </w:tcPr>
          <w:p>
            <w:pPr>
              <w:ind w:left="480"/>
              <w:spacing w:after="0"/>
              <w:rPr>
                <w:sz w:val="20"/>
                <w:szCs w:val="20"/>
                <w:color w:val="auto"/>
              </w:rPr>
            </w:pPr>
            <w:r>
              <w:rPr>
                <w:rFonts w:ascii="Arial" w:cs="Arial" w:eastAsia="Arial" w:hAnsi="Arial"/>
                <w:sz w:val="12"/>
                <w:szCs w:val="12"/>
                <w:b w:val="1"/>
                <w:bCs w:val="1"/>
                <w:color w:val="auto"/>
              </w:rPr>
              <w:t>Maturity</w:t>
            </w:r>
          </w:p>
        </w:tc>
        <w:tc>
          <w:tcPr>
            <w:tcW w:w="1920" w:type="dxa"/>
            <w:vAlign w:val="bottom"/>
            <w:vMerge w:val="continue"/>
          </w:tcPr>
          <w:p>
            <w:pPr>
              <w:spacing w:after="0"/>
              <w:rPr>
                <w:sz w:val="12"/>
                <w:szCs w:val="12"/>
                <w:color w:val="auto"/>
              </w:rPr>
            </w:pPr>
          </w:p>
        </w:tc>
        <w:tc>
          <w:tcPr>
            <w:tcW w:w="1200" w:type="dxa"/>
            <w:vAlign w:val="bottom"/>
          </w:tcPr>
          <w:p>
            <w:pPr>
              <w:jc w:val="right"/>
              <w:ind w:right="502"/>
              <w:spacing w:after="0"/>
              <w:rPr>
                <w:sz w:val="20"/>
                <w:szCs w:val="20"/>
                <w:color w:val="auto"/>
              </w:rPr>
            </w:pPr>
            <w:r>
              <w:rPr>
                <w:rFonts w:ascii="Arial" w:cs="Arial" w:eastAsia="Arial" w:hAnsi="Arial"/>
                <w:sz w:val="12"/>
                <w:szCs w:val="12"/>
                <w:b w:val="1"/>
                <w:bCs w:val="1"/>
                <w:color w:val="auto"/>
              </w:rPr>
              <w:t>Coupon</w:t>
            </w:r>
          </w:p>
        </w:tc>
        <w:tc>
          <w:tcPr>
            <w:tcW w:w="1060" w:type="dxa"/>
            <w:vAlign w:val="bottom"/>
          </w:tcPr>
          <w:p>
            <w:pPr>
              <w:jc w:val="center"/>
              <w:ind w:right="1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1000" w:type="dxa"/>
            <w:vAlign w:val="bottom"/>
          </w:tcPr>
          <w:p>
            <w:pPr>
              <w:jc w:val="right"/>
              <w:ind w:right="382"/>
              <w:spacing w:after="0"/>
              <w:rPr>
                <w:sz w:val="20"/>
                <w:szCs w:val="20"/>
                <w:color w:val="auto"/>
              </w:rPr>
            </w:pPr>
            <w:r>
              <w:rPr>
                <w:rFonts w:ascii="Arial" w:cs="Arial" w:eastAsia="Arial" w:hAnsi="Arial"/>
                <w:sz w:val="12"/>
                <w:szCs w:val="12"/>
                <w:b w:val="1"/>
                <w:bCs w:val="1"/>
                <w:color w:val="auto"/>
              </w:rPr>
              <w:t>Shares</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Notes—37.4%</w:t>
            </w:r>
          </w:p>
        </w:tc>
        <w:tc>
          <w:tcPr>
            <w:tcW w:w="1160" w:type="dxa"/>
            <w:vAlign w:val="bottom"/>
            <w:tcBorders>
              <w:top w:val="single" w:sz="8" w:color="auto"/>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Acentia, LLC</w:t>
            </w:r>
          </w:p>
        </w:tc>
        <w:tc>
          <w:tcPr>
            <w:tcW w:w="1160" w:type="dxa"/>
            <w:vAlign w:val="bottom"/>
          </w:tcPr>
          <w:p>
            <w:pPr>
              <w:jc w:val="center"/>
              <w:ind w:left="202"/>
              <w:spacing w:after="0"/>
              <w:rPr>
                <w:sz w:val="20"/>
                <w:szCs w:val="20"/>
                <w:color w:val="auto"/>
              </w:rPr>
            </w:pPr>
            <w:r>
              <w:rPr>
                <w:rFonts w:ascii="Arial" w:cs="Arial" w:eastAsia="Arial" w:hAnsi="Arial"/>
                <w:sz w:val="12"/>
                <w:szCs w:val="12"/>
                <w:color w:val="auto"/>
                <w:w w:val="89"/>
              </w:rPr>
              <w:t>10/02/2017</w:t>
            </w:r>
          </w:p>
        </w:tc>
        <w:tc>
          <w:tcPr>
            <w:tcW w:w="1920" w:type="dxa"/>
            <w:vAlign w:val="bottom"/>
          </w:tcPr>
          <w:p>
            <w:pPr>
              <w:jc w:val="center"/>
              <w:ind w:right="22"/>
              <w:spacing w:after="0"/>
              <w:rPr>
                <w:sz w:val="20"/>
                <w:szCs w:val="20"/>
                <w:color w:val="auto"/>
              </w:rPr>
            </w:pPr>
            <w:r>
              <w:rPr>
                <w:rFonts w:ascii="Arial" w:cs="Arial" w:eastAsia="Arial" w:hAnsi="Arial"/>
                <w:sz w:val="12"/>
                <w:szCs w:val="12"/>
                <w:color w:val="auto"/>
                <w:w w:val="88"/>
              </w:rPr>
              <w:t>Electronics</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13.75%</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19,000,000</w:t>
            </w:r>
          </w:p>
        </w:tc>
        <w:tc>
          <w:tcPr>
            <w:tcW w:w="660" w:type="dxa"/>
            <w:vAlign w:val="bottom"/>
          </w:tcPr>
          <w:p>
            <w:pPr>
              <w:jc w:val="right"/>
              <w:spacing w:after="0"/>
              <w:rPr>
                <w:sz w:val="20"/>
                <w:szCs w:val="20"/>
                <w:color w:val="auto"/>
              </w:rPr>
            </w:pPr>
            <w:r>
              <w:rPr>
                <w:rFonts w:ascii="Arial" w:cs="Arial" w:eastAsia="Arial" w:hAnsi="Arial"/>
                <w:sz w:val="12"/>
                <w:szCs w:val="12"/>
                <w:color w:val="auto"/>
                <w:w w:val="87"/>
              </w:rPr>
              <w:t>$  18,629,082</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w w:val="87"/>
              </w:rPr>
              <w:t>$  18,879,139</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160" w:type="dxa"/>
            <w:vAlign w:val="bottom"/>
            <w:shd w:val="clear" w:color="auto" w:fill="CCEEFF"/>
          </w:tcPr>
          <w:p>
            <w:pPr>
              <w:jc w:val="center"/>
              <w:ind w:left="202"/>
              <w:spacing w:after="0"/>
              <w:rPr>
                <w:sz w:val="20"/>
                <w:szCs w:val="20"/>
                <w:color w:val="auto"/>
              </w:rPr>
            </w:pPr>
            <w:r>
              <w:rPr>
                <w:rFonts w:ascii="Arial" w:cs="Arial" w:eastAsia="Arial" w:hAnsi="Arial"/>
                <w:sz w:val="12"/>
                <w:szCs w:val="12"/>
                <w:color w:val="auto"/>
                <w:w w:val="89"/>
              </w:rPr>
              <w:t>11/15/2015</w:t>
            </w:r>
          </w:p>
        </w:tc>
        <w:tc>
          <w:tcPr>
            <w:tcW w:w="19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Consumer Products</w:t>
            </w: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11.63%</w:t>
            </w:r>
          </w:p>
        </w:tc>
        <w:tc>
          <w:tcPr>
            <w:tcW w:w="10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35,552,000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34,570,664</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20,442,400</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160" w:type="dxa"/>
            <w:vAlign w:val="bottom"/>
          </w:tcPr>
          <w:p>
            <w:pPr>
              <w:jc w:val="center"/>
              <w:ind w:left="202"/>
              <w:spacing w:after="0"/>
              <w:rPr>
                <w:sz w:val="20"/>
                <w:szCs w:val="20"/>
                <w:color w:val="auto"/>
              </w:rPr>
            </w:pPr>
            <w:r>
              <w:rPr>
                <w:rFonts w:ascii="Arial" w:cs="Arial" w:eastAsia="Arial" w:hAnsi="Arial"/>
                <w:sz w:val="12"/>
                <w:szCs w:val="12"/>
                <w:color w:val="auto"/>
                <w:w w:val="89"/>
              </w:rPr>
              <w:t>02/15/2019</w:t>
            </w:r>
          </w:p>
        </w:tc>
        <w:tc>
          <w:tcPr>
            <w:tcW w:w="1920" w:type="dxa"/>
            <w:vAlign w:val="bottom"/>
          </w:tcPr>
          <w:p>
            <w:pPr>
              <w:jc w:val="center"/>
              <w:ind w:right="42"/>
              <w:spacing w:after="0"/>
              <w:rPr>
                <w:sz w:val="20"/>
                <w:szCs w:val="20"/>
                <w:color w:val="auto"/>
              </w:rPr>
            </w:pPr>
            <w:r>
              <w:rPr>
                <w:rFonts w:ascii="Arial" w:cs="Arial" w:eastAsia="Arial" w:hAnsi="Arial"/>
                <w:sz w:val="12"/>
                <w:szCs w:val="12"/>
                <w:color w:val="auto"/>
                <w:w w:val="88"/>
              </w:rPr>
              <w:t>Financial Services</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12.00%</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8,930,000</w:t>
            </w:r>
          </w:p>
        </w:tc>
        <w:tc>
          <w:tcPr>
            <w:tcW w:w="660" w:type="dxa"/>
            <w:vAlign w:val="bottom"/>
          </w:tcPr>
          <w:p>
            <w:pPr>
              <w:jc w:val="right"/>
              <w:spacing w:after="0"/>
              <w:rPr>
                <w:sz w:val="20"/>
                <w:szCs w:val="20"/>
                <w:color w:val="auto"/>
              </w:rPr>
            </w:pPr>
            <w:r>
              <w:rPr>
                <w:rFonts w:ascii="Arial" w:cs="Arial" w:eastAsia="Arial" w:hAnsi="Arial"/>
                <w:sz w:val="12"/>
                <w:szCs w:val="12"/>
                <w:color w:val="auto"/>
              </w:rPr>
              <w:t>8,773,751</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8,888,617</w:t>
            </w:r>
          </w:p>
        </w:tc>
        <w:tc>
          <w:tcPr>
            <w:tcW w:w="0" w:type="dxa"/>
            <w:vAlign w:val="bottom"/>
          </w:tcPr>
          <w:p>
            <w:pPr>
              <w:spacing w:after="0"/>
              <w:rPr>
                <w:sz w:val="1"/>
                <w:szCs w:val="1"/>
                <w:color w:val="auto"/>
              </w:rPr>
            </w:pPr>
          </w:p>
        </w:tc>
      </w:tr>
      <w:tr>
        <w:trPr>
          <w:trHeight w:val="129"/>
        </w:trPr>
        <w:tc>
          <w:tcPr>
            <w:tcW w:w="29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160" w:type="dxa"/>
            <w:vAlign w:val="bottom"/>
            <w:shd w:val="clear" w:color="auto" w:fill="CCEEFF"/>
          </w:tcPr>
          <w:p>
            <w:pPr>
              <w:jc w:val="center"/>
              <w:ind w:left="202"/>
              <w:spacing w:after="0" w:line="129" w:lineRule="exact"/>
              <w:rPr>
                <w:sz w:val="20"/>
                <w:szCs w:val="20"/>
                <w:color w:val="auto"/>
              </w:rPr>
            </w:pPr>
            <w:r>
              <w:rPr>
                <w:rFonts w:ascii="Arial" w:cs="Arial" w:eastAsia="Arial" w:hAnsi="Arial"/>
                <w:sz w:val="12"/>
                <w:szCs w:val="12"/>
                <w:color w:val="auto"/>
                <w:w w:val="89"/>
              </w:rPr>
              <w:t>03/26/2018</w:t>
            </w:r>
          </w:p>
        </w:tc>
        <w:tc>
          <w:tcPr>
            <w:tcW w:w="19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8"/>
              </w:rPr>
              <w:t>Electronics</w:t>
            </w:r>
          </w:p>
        </w:tc>
        <w:tc>
          <w:tcPr>
            <w:tcW w:w="120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12.00%</w:t>
            </w:r>
          </w:p>
        </w:tc>
        <w:tc>
          <w:tcPr>
            <w:tcW w:w="1060" w:type="dxa"/>
            <w:vAlign w:val="bottom"/>
            <w:shd w:val="clear" w:color="auto" w:fill="CCEEFF"/>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23,514,494</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23,114,286</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23,867,211</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1.00%)</w:t>
            </w: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1160" w:type="dxa"/>
            <w:vAlign w:val="bottom"/>
          </w:tcPr>
          <w:p>
            <w:pPr>
              <w:jc w:val="center"/>
              <w:ind w:left="202"/>
              <w:spacing w:after="0" w:line="129" w:lineRule="exact"/>
              <w:rPr>
                <w:sz w:val="20"/>
                <w:szCs w:val="20"/>
                <w:color w:val="auto"/>
              </w:rPr>
            </w:pPr>
            <w:r>
              <w:rPr>
                <w:rFonts w:ascii="Arial" w:cs="Arial" w:eastAsia="Arial" w:hAnsi="Arial"/>
                <w:sz w:val="12"/>
                <w:szCs w:val="12"/>
                <w:color w:val="auto"/>
                <w:w w:val="89"/>
              </w:rPr>
              <w:t>10/26/2018</w:t>
            </w:r>
          </w:p>
        </w:tc>
        <w:tc>
          <w:tcPr>
            <w:tcW w:w="19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5"/>
              </w:rPr>
              <w:t>Personal, Food and</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12.25%</w:t>
            </w:r>
          </w:p>
        </w:tc>
        <w:tc>
          <w:tcPr>
            <w:tcW w:w="1060" w:type="dxa"/>
            <w:vAlign w:val="bottom"/>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10,600,000</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10,399,101</w:t>
            </w:r>
          </w:p>
        </w:tc>
        <w:tc>
          <w:tcPr>
            <w:tcW w:w="2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10,653,423</w:t>
            </w:r>
          </w:p>
        </w:tc>
        <w:tc>
          <w:tcPr>
            <w:tcW w:w="0" w:type="dxa"/>
            <w:vAlign w:val="bottom"/>
          </w:tcPr>
          <w:p>
            <w:pPr>
              <w:spacing w:after="0"/>
              <w:rPr>
                <w:sz w:val="1"/>
                <w:szCs w:val="1"/>
                <w:color w:val="auto"/>
              </w:rPr>
            </w:pPr>
          </w:p>
        </w:tc>
      </w:tr>
      <w:tr>
        <w:trPr>
          <w:trHeight w:val="151"/>
        </w:trPr>
        <w:tc>
          <w:tcPr>
            <w:tcW w:w="2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20" w:type="dxa"/>
            <w:vAlign w:val="bottom"/>
          </w:tcPr>
          <w:p>
            <w:pPr>
              <w:jc w:val="center"/>
              <w:ind w:right="42"/>
              <w:spacing w:after="0"/>
              <w:rPr>
                <w:sz w:val="20"/>
                <w:szCs w:val="20"/>
                <w:color w:val="auto"/>
              </w:rPr>
            </w:pPr>
            <w:r>
              <w:rPr>
                <w:rFonts w:ascii="Arial" w:cs="Arial" w:eastAsia="Arial" w:hAnsi="Arial"/>
                <w:sz w:val="12"/>
                <w:szCs w:val="12"/>
                <w:color w:val="auto"/>
                <w:w w:val="87"/>
              </w:rPr>
              <w:t>Miscellaneous Services</w:t>
            </w: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Escort, Inc.</w:t>
            </w:r>
          </w:p>
        </w:tc>
        <w:tc>
          <w:tcPr>
            <w:tcW w:w="1160" w:type="dxa"/>
            <w:vAlign w:val="bottom"/>
            <w:shd w:val="clear" w:color="auto" w:fill="CCEEFF"/>
          </w:tcPr>
          <w:p>
            <w:pPr>
              <w:jc w:val="center"/>
              <w:ind w:left="202"/>
              <w:spacing w:after="0" w:line="132" w:lineRule="exact"/>
              <w:rPr>
                <w:sz w:val="20"/>
                <w:szCs w:val="20"/>
                <w:color w:val="auto"/>
              </w:rPr>
            </w:pPr>
            <w:r>
              <w:rPr>
                <w:rFonts w:ascii="Arial" w:cs="Arial" w:eastAsia="Arial" w:hAnsi="Arial"/>
                <w:sz w:val="12"/>
                <w:szCs w:val="12"/>
                <w:color w:val="auto"/>
                <w:w w:val="89"/>
              </w:rPr>
              <w:t>06/01/2016</w:t>
            </w:r>
          </w:p>
        </w:tc>
        <w:tc>
          <w:tcPr>
            <w:tcW w:w="192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8"/>
              </w:rPr>
              <w:t>Electronics</w:t>
            </w:r>
          </w:p>
        </w:tc>
        <w:tc>
          <w:tcPr>
            <w:tcW w:w="120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14.75%</w:t>
            </w:r>
          </w:p>
        </w:tc>
        <w:tc>
          <w:tcPr>
            <w:tcW w:w="1060" w:type="dxa"/>
            <w:vAlign w:val="bottom"/>
            <w:shd w:val="clear" w:color="auto" w:fill="CCEEFF"/>
          </w:tcPr>
          <w:p>
            <w:pPr>
              <w:ind w:left="740"/>
              <w:spacing w:after="0" w:line="132"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25,965,563</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25,579,621</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26,484,875</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2.75%)</w:t>
            </w: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160" w:type="dxa"/>
            <w:vAlign w:val="bottom"/>
          </w:tcPr>
          <w:p>
            <w:pPr>
              <w:jc w:val="center"/>
              <w:ind w:left="202"/>
              <w:spacing w:after="0" w:line="129" w:lineRule="exact"/>
              <w:rPr>
                <w:sz w:val="20"/>
                <w:szCs w:val="20"/>
                <w:color w:val="auto"/>
              </w:rPr>
            </w:pPr>
            <w:r>
              <w:rPr>
                <w:rFonts w:ascii="Arial" w:cs="Arial" w:eastAsia="Arial" w:hAnsi="Arial"/>
                <w:sz w:val="12"/>
                <w:szCs w:val="12"/>
                <w:color w:val="auto"/>
                <w:w w:val="89"/>
              </w:rPr>
              <w:t>06/30/2017</w:t>
            </w:r>
          </w:p>
        </w:tc>
        <w:tc>
          <w:tcPr>
            <w:tcW w:w="19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93"/>
              </w:rPr>
              <w:t>Distribution</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14.00%</w:t>
            </w:r>
          </w:p>
        </w:tc>
        <w:tc>
          <w:tcPr>
            <w:tcW w:w="1060" w:type="dxa"/>
            <w:vAlign w:val="bottom"/>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17,517,386</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17,160,955</w:t>
            </w:r>
          </w:p>
        </w:tc>
        <w:tc>
          <w:tcPr>
            <w:tcW w:w="2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17,517,386</w:t>
            </w:r>
          </w:p>
        </w:tc>
        <w:tc>
          <w:tcPr>
            <w:tcW w:w="0" w:type="dxa"/>
            <w:vAlign w:val="bottom"/>
          </w:tcPr>
          <w:p>
            <w:pPr>
              <w:spacing w:after="0"/>
              <w:rPr>
                <w:sz w:val="1"/>
                <w:szCs w:val="1"/>
                <w:color w:val="auto"/>
              </w:rPr>
            </w:pPr>
          </w:p>
        </w:tc>
      </w:tr>
      <w:tr>
        <w:trPr>
          <w:trHeight w:val="151"/>
        </w:trPr>
        <w:tc>
          <w:tcPr>
            <w:tcW w:w="2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0" w:type="dxa"/>
            <w:vAlign w:val="bottom"/>
          </w:tcPr>
          <w:p>
            <w:pPr>
              <w:jc w:val="right"/>
              <w:ind w:right="182"/>
              <w:spacing w:after="0"/>
              <w:rPr>
                <w:sz w:val="20"/>
                <w:szCs w:val="20"/>
                <w:color w:val="auto"/>
              </w:rPr>
            </w:pPr>
            <w:r>
              <w:rPr>
                <w:rFonts w:ascii="Arial" w:cs="Arial" w:eastAsia="Arial" w:hAnsi="Arial"/>
                <w:sz w:val="12"/>
                <w:szCs w:val="12"/>
                <w:color w:val="auto"/>
              </w:rPr>
              <w:t>(PIK 2.00%)</w:t>
            </w: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Learning Care Group (US) Inc.</w:t>
            </w:r>
          </w:p>
        </w:tc>
        <w:tc>
          <w:tcPr>
            <w:tcW w:w="1160" w:type="dxa"/>
            <w:vAlign w:val="bottom"/>
            <w:shd w:val="clear" w:color="auto" w:fill="CCEEFF"/>
          </w:tcPr>
          <w:p>
            <w:pPr>
              <w:jc w:val="center"/>
              <w:ind w:left="202"/>
              <w:spacing w:after="0" w:line="132" w:lineRule="exact"/>
              <w:rPr>
                <w:sz w:val="20"/>
                <w:szCs w:val="20"/>
                <w:color w:val="auto"/>
              </w:rPr>
            </w:pPr>
            <w:r>
              <w:rPr>
                <w:rFonts w:ascii="Arial" w:cs="Arial" w:eastAsia="Arial" w:hAnsi="Arial"/>
                <w:sz w:val="12"/>
                <w:szCs w:val="12"/>
                <w:color w:val="auto"/>
                <w:w w:val="89"/>
              </w:rPr>
              <w:t>05/08/2020</w:t>
            </w:r>
          </w:p>
        </w:tc>
        <w:tc>
          <w:tcPr>
            <w:tcW w:w="192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9"/>
              </w:rPr>
              <w:t>Education</w:t>
            </w:r>
          </w:p>
        </w:tc>
        <w:tc>
          <w:tcPr>
            <w:tcW w:w="120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15.00%</w:t>
            </w:r>
          </w:p>
        </w:tc>
        <w:tc>
          <w:tcPr>
            <w:tcW w:w="1060" w:type="dxa"/>
            <w:vAlign w:val="bottom"/>
            <w:shd w:val="clear" w:color="auto" w:fill="CCEEFF"/>
          </w:tcPr>
          <w:p>
            <w:pPr>
              <w:ind w:left="740"/>
              <w:spacing w:after="0" w:line="132"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7,215,989</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6,754,246</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7,215,989</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15.00%)</w:t>
            </w: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160" w:type="dxa"/>
            <w:vAlign w:val="bottom"/>
          </w:tcPr>
          <w:p>
            <w:pPr>
              <w:jc w:val="center"/>
              <w:ind w:left="202"/>
              <w:spacing w:after="0"/>
              <w:rPr>
                <w:sz w:val="20"/>
                <w:szCs w:val="20"/>
                <w:color w:val="auto"/>
              </w:rPr>
            </w:pPr>
            <w:r>
              <w:rPr>
                <w:rFonts w:ascii="Arial" w:cs="Arial" w:eastAsia="Arial" w:hAnsi="Arial"/>
                <w:sz w:val="12"/>
                <w:szCs w:val="12"/>
                <w:color w:val="auto"/>
                <w:w w:val="89"/>
              </w:rPr>
              <w:t>01/19/2019</w:t>
            </w:r>
          </w:p>
        </w:tc>
        <w:tc>
          <w:tcPr>
            <w:tcW w:w="1920" w:type="dxa"/>
            <w:vAlign w:val="bottom"/>
          </w:tcPr>
          <w:p>
            <w:pPr>
              <w:jc w:val="center"/>
              <w:ind w:right="22"/>
              <w:spacing w:after="0"/>
              <w:rPr>
                <w:sz w:val="20"/>
                <w:szCs w:val="20"/>
                <w:color w:val="auto"/>
              </w:rPr>
            </w:pPr>
            <w:r>
              <w:rPr>
                <w:rFonts w:ascii="Arial" w:cs="Arial" w:eastAsia="Arial" w:hAnsi="Arial"/>
                <w:sz w:val="12"/>
                <w:szCs w:val="12"/>
                <w:color w:val="auto"/>
                <w:w w:val="87"/>
              </w:rPr>
              <w:t>Chemicals, Plastics and Rubber</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12.50%</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30,000,000</w:t>
            </w:r>
          </w:p>
        </w:tc>
        <w:tc>
          <w:tcPr>
            <w:tcW w:w="660" w:type="dxa"/>
            <w:vAlign w:val="bottom"/>
          </w:tcPr>
          <w:p>
            <w:pPr>
              <w:jc w:val="right"/>
              <w:spacing w:after="0"/>
              <w:rPr>
                <w:sz w:val="20"/>
                <w:szCs w:val="20"/>
                <w:color w:val="auto"/>
              </w:rPr>
            </w:pPr>
            <w:r>
              <w:rPr>
                <w:rFonts w:ascii="Arial" w:cs="Arial" w:eastAsia="Arial" w:hAnsi="Arial"/>
                <w:sz w:val="12"/>
                <w:szCs w:val="12"/>
                <w:color w:val="auto"/>
              </w:rPr>
              <w:t>30,000,000</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30,525,000</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LTI Flexible Products, Inc. </w:t>
            </w:r>
            <w:r>
              <w:rPr>
                <w:rFonts w:ascii="Arial" w:cs="Arial" w:eastAsia="Arial" w:hAnsi="Arial"/>
                <w:sz w:val="9"/>
                <w:szCs w:val="9"/>
                <w:color w:val="auto"/>
              </w:rPr>
              <w:t>(9)</w:t>
            </w:r>
          </w:p>
        </w:tc>
        <w:tc>
          <w:tcPr>
            <w:tcW w:w="1160" w:type="dxa"/>
            <w:vAlign w:val="bottom"/>
            <w:shd w:val="clear" w:color="auto" w:fill="CCEEFF"/>
          </w:tcPr>
          <w:p>
            <w:pPr>
              <w:jc w:val="center"/>
              <w:ind w:left="202"/>
              <w:spacing w:after="0"/>
              <w:rPr>
                <w:sz w:val="20"/>
                <w:szCs w:val="20"/>
                <w:color w:val="auto"/>
              </w:rPr>
            </w:pPr>
            <w:r>
              <w:rPr>
                <w:rFonts w:ascii="Arial" w:cs="Arial" w:eastAsia="Arial" w:hAnsi="Arial"/>
                <w:sz w:val="12"/>
                <w:szCs w:val="12"/>
                <w:color w:val="auto"/>
                <w:w w:val="89"/>
              </w:rPr>
              <w:t>01/11/2014</w:t>
            </w:r>
          </w:p>
        </w:tc>
        <w:tc>
          <w:tcPr>
            <w:tcW w:w="19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Chemicals, Plastics and Rubber</w:t>
            </w:r>
          </w:p>
        </w:tc>
        <w:tc>
          <w:tcPr>
            <w:tcW w:w="120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5,000,000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4,825,000</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5,087,500</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MSPark, Inc.</w:t>
            </w:r>
          </w:p>
        </w:tc>
        <w:tc>
          <w:tcPr>
            <w:tcW w:w="1160" w:type="dxa"/>
            <w:vAlign w:val="bottom"/>
          </w:tcPr>
          <w:p>
            <w:pPr>
              <w:jc w:val="center"/>
              <w:ind w:left="202"/>
              <w:spacing w:after="0"/>
              <w:rPr>
                <w:sz w:val="20"/>
                <w:szCs w:val="20"/>
                <w:color w:val="auto"/>
              </w:rPr>
            </w:pPr>
            <w:r>
              <w:rPr>
                <w:rFonts w:ascii="Arial" w:cs="Arial" w:eastAsia="Arial" w:hAnsi="Arial"/>
                <w:sz w:val="12"/>
                <w:szCs w:val="12"/>
                <w:color w:val="auto"/>
                <w:w w:val="89"/>
              </w:rPr>
              <w:t>06/15/2017</w:t>
            </w:r>
          </w:p>
        </w:tc>
        <w:tc>
          <w:tcPr>
            <w:tcW w:w="1920" w:type="dxa"/>
            <w:vAlign w:val="bottom"/>
          </w:tcPr>
          <w:p>
            <w:pPr>
              <w:jc w:val="center"/>
              <w:ind w:right="42"/>
              <w:spacing w:after="0"/>
              <w:rPr>
                <w:sz w:val="20"/>
                <w:szCs w:val="20"/>
                <w:color w:val="auto"/>
              </w:rPr>
            </w:pPr>
            <w:r>
              <w:rPr>
                <w:rFonts w:ascii="Arial" w:cs="Arial" w:eastAsia="Arial" w:hAnsi="Arial"/>
                <w:sz w:val="12"/>
                <w:szCs w:val="12"/>
                <w:color w:val="auto"/>
                <w:w w:val="89"/>
              </w:rPr>
              <w:t>Printing and Publishing</w:t>
            </w:r>
          </w:p>
        </w:tc>
        <w:tc>
          <w:tcPr>
            <w:tcW w:w="1200" w:type="dxa"/>
            <w:vAlign w:val="bottom"/>
          </w:tcPr>
          <w:p>
            <w:pPr>
              <w:jc w:val="right"/>
              <w:ind w:right="10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15,000,000</w:t>
            </w:r>
          </w:p>
        </w:tc>
        <w:tc>
          <w:tcPr>
            <w:tcW w:w="660" w:type="dxa"/>
            <w:vAlign w:val="bottom"/>
          </w:tcPr>
          <w:p>
            <w:pPr>
              <w:jc w:val="right"/>
              <w:spacing w:after="0"/>
              <w:rPr>
                <w:sz w:val="20"/>
                <w:szCs w:val="20"/>
                <w:color w:val="auto"/>
              </w:rPr>
            </w:pPr>
            <w:r>
              <w:rPr>
                <w:rFonts w:ascii="Arial" w:cs="Arial" w:eastAsia="Arial" w:hAnsi="Arial"/>
                <w:sz w:val="12"/>
                <w:szCs w:val="12"/>
                <w:color w:val="auto"/>
              </w:rPr>
              <w:t>14,691,342</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14,700,000</w:t>
            </w:r>
          </w:p>
        </w:tc>
        <w:tc>
          <w:tcPr>
            <w:tcW w:w="0" w:type="dxa"/>
            <w:vAlign w:val="bottom"/>
          </w:tcPr>
          <w:p>
            <w:pPr>
              <w:spacing w:after="0"/>
              <w:rPr>
                <w:sz w:val="1"/>
                <w:szCs w:val="1"/>
                <w:color w:val="auto"/>
              </w:rPr>
            </w:pPr>
          </w:p>
        </w:tc>
      </w:tr>
      <w:tr>
        <w:trPr>
          <w:trHeight w:val="129"/>
        </w:trPr>
        <w:tc>
          <w:tcPr>
            <w:tcW w:w="29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Varel International Energy Mezzanine Funding Corp.</w:t>
            </w:r>
          </w:p>
        </w:tc>
        <w:tc>
          <w:tcPr>
            <w:tcW w:w="1160" w:type="dxa"/>
            <w:vAlign w:val="bottom"/>
            <w:shd w:val="clear" w:color="auto" w:fill="CCEEFF"/>
          </w:tcPr>
          <w:p>
            <w:pPr>
              <w:jc w:val="center"/>
              <w:ind w:left="202"/>
              <w:spacing w:after="0" w:line="129" w:lineRule="exact"/>
              <w:rPr>
                <w:sz w:val="20"/>
                <w:szCs w:val="20"/>
                <w:color w:val="auto"/>
              </w:rPr>
            </w:pPr>
            <w:r>
              <w:rPr>
                <w:rFonts w:ascii="Arial" w:cs="Arial" w:eastAsia="Arial" w:hAnsi="Arial"/>
                <w:sz w:val="12"/>
                <w:szCs w:val="12"/>
                <w:color w:val="auto"/>
                <w:w w:val="89"/>
              </w:rPr>
              <w:t>01/15/2018</w:t>
            </w:r>
          </w:p>
        </w:tc>
        <w:tc>
          <w:tcPr>
            <w:tcW w:w="19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8"/>
              </w:rPr>
              <w:t>Oil and Gas</w:t>
            </w:r>
          </w:p>
        </w:tc>
        <w:tc>
          <w:tcPr>
            <w:tcW w:w="120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14.00%</w:t>
            </w:r>
          </w:p>
        </w:tc>
        <w:tc>
          <w:tcPr>
            <w:tcW w:w="1060" w:type="dxa"/>
            <w:vAlign w:val="bottom"/>
            <w:shd w:val="clear" w:color="auto" w:fill="CCEEFF"/>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37,070,637</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36,441,726</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36,720,586</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4.00%)</w:t>
            </w: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Vestcom International, Inc.</w:t>
            </w:r>
          </w:p>
        </w:tc>
        <w:tc>
          <w:tcPr>
            <w:tcW w:w="1160" w:type="dxa"/>
            <w:vAlign w:val="bottom"/>
          </w:tcPr>
          <w:p>
            <w:pPr>
              <w:jc w:val="center"/>
              <w:ind w:left="202"/>
              <w:spacing w:after="0"/>
              <w:rPr>
                <w:sz w:val="20"/>
                <w:szCs w:val="20"/>
                <w:color w:val="auto"/>
              </w:rPr>
            </w:pPr>
            <w:r>
              <w:rPr>
                <w:rFonts w:ascii="Arial" w:cs="Arial" w:eastAsia="Arial" w:hAnsi="Arial"/>
                <w:sz w:val="12"/>
                <w:szCs w:val="12"/>
                <w:color w:val="auto"/>
                <w:w w:val="89"/>
              </w:rPr>
              <w:t>06/27/2019</w:t>
            </w:r>
          </w:p>
        </w:tc>
        <w:tc>
          <w:tcPr>
            <w:tcW w:w="1920" w:type="dxa"/>
            <w:vAlign w:val="bottom"/>
          </w:tcPr>
          <w:p>
            <w:pPr>
              <w:jc w:val="center"/>
              <w:ind w:right="42"/>
              <w:spacing w:after="0"/>
              <w:rPr>
                <w:sz w:val="20"/>
                <w:szCs w:val="20"/>
                <w:color w:val="auto"/>
              </w:rPr>
            </w:pPr>
            <w:r>
              <w:rPr>
                <w:rFonts w:ascii="Arial" w:cs="Arial" w:eastAsia="Arial" w:hAnsi="Arial"/>
                <w:sz w:val="12"/>
                <w:szCs w:val="12"/>
                <w:color w:val="auto"/>
                <w:w w:val="89"/>
              </w:rPr>
              <w:t>Printing and Publishing</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12.00%</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39,892,933</w:t>
            </w:r>
          </w:p>
        </w:tc>
        <w:tc>
          <w:tcPr>
            <w:tcW w:w="660" w:type="dxa"/>
            <w:vAlign w:val="bottom"/>
          </w:tcPr>
          <w:p>
            <w:pPr>
              <w:jc w:val="right"/>
              <w:spacing w:after="0"/>
              <w:rPr>
                <w:sz w:val="20"/>
                <w:szCs w:val="20"/>
                <w:color w:val="auto"/>
              </w:rPr>
            </w:pPr>
            <w:r>
              <w:rPr>
                <w:rFonts w:ascii="Arial" w:cs="Arial" w:eastAsia="Arial" w:hAnsi="Arial"/>
                <w:sz w:val="12"/>
                <w:szCs w:val="12"/>
                <w:color w:val="auto"/>
              </w:rPr>
              <w:t>39,147,926</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39,827,248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1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270,087,700</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5"/>
              </w:rPr>
              <w:t>260,809,374</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 —1.2% </w:t>
            </w:r>
            <w:r>
              <w:rPr>
                <w:rFonts w:ascii="Arial" w:cs="Arial" w:eastAsia="Arial" w:hAnsi="Arial"/>
                <w:sz w:val="9"/>
                <w:szCs w:val="9"/>
                <w:b w:val="1"/>
                <w:bCs w:val="1"/>
                <w:color w:val="auto"/>
              </w:rPr>
              <w:t>(6)</w:t>
            </w:r>
          </w:p>
        </w:tc>
        <w:tc>
          <w:tcPr>
            <w:tcW w:w="1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AH Holdings, Inc.</w:t>
            </w:r>
          </w:p>
        </w:tc>
        <w:tc>
          <w:tcPr>
            <w:tcW w:w="1160" w:type="dxa"/>
            <w:vAlign w:val="bottom"/>
            <w:shd w:val="clear" w:color="auto" w:fill="CCEEFF"/>
          </w:tcPr>
          <w:p>
            <w:pPr>
              <w:jc w:val="center"/>
              <w:ind w:left="222"/>
              <w:spacing w:after="0" w:line="132" w:lineRule="exact"/>
              <w:rPr>
                <w:sz w:val="20"/>
                <w:szCs w:val="20"/>
                <w:color w:val="auto"/>
              </w:rPr>
            </w:pPr>
            <w:r>
              <w:rPr>
                <w:rFonts w:ascii="Arial" w:cs="Arial" w:eastAsia="Arial" w:hAnsi="Arial"/>
                <w:sz w:val="12"/>
                <w:szCs w:val="12"/>
                <w:color w:val="auto"/>
                <w:w w:val="99"/>
              </w:rPr>
              <w:t>—</w:t>
            </w:r>
          </w:p>
        </w:tc>
        <w:tc>
          <w:tcPr>
            <w:tcW w:w="192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7"/>
              </w:rPr>
              <w:t>Healthcare, Education and</w:t>
            </w:r>
          </w:p>
        </w:tc>
        <w:tc>
          <w:tcPr>
            <w:tcW w:w="120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6.00%</w:t>
            </w:r>
          </w:p>
        </w:tc>
        <w:tc>
          <w:tcPr>
            <w:tcW w:w="1060" w:type="dxa"/>
            <w:vAlign w:val="bottom"/>
            <w:shd w:val="clear" w:color="auto" w:fill="CCEEFF"/>
          </w:tcPr>
          <w:p>
            <w:pPr>
              <w:ind w:left="740"/>
              <w:spacing w:after="0" w:line="132"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211</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500,000</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815,133</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9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0"/>
              </w:rPr>
              <w:t>Childcare</w:t>
            </w:r>
          </w:p>
        </w:tc>
        <w:tc>
          <w:tcPr>
            <w:tcW w:w="1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AHC Mezzanine, LLC</w:t>
            </w:r>
          </w:p>
        </w:tc>
        <w:tc>
          <w:tcPr>
            <w:tcW w:w="1160" w:type="dxa"/>
            <w:vAlign w:val="bottom"/>
          </w:tcPr>
          <w:p>
            <w:pPr>
              <w:jc w:val="center"/>
              <w:ind w:left="222"/>
              <w:spacing w:after="0"/>
              <w:rPr>
                <w:sz w:val="20"/>
                <w:szCs w:val="20"/>
                <w:color w:val="auto"/>
              </w:rPr>
            </w:pPr>
            <w:r>
              <w:rPr>
                <w:rFonts w:ascii="Arial" w:cs="Arial" w:eastAsia="Arial" w:hAnsi="Arial"/>
                <w:sz w:val="12"/>
                <w:szCs w:val="12"/>
                <w:color w:val="auto"/>
                <w:w w:val="99"/>
              </w:rPr>
              <w:t>—</w:t>
            </w:r>
          </w:p>
        </w:tc>
        <w:tc>
          <w:tcPr>
            <w:tcW w:w="1920" w:type="dxa"/>
            <w:vAlign w:val="bottom"/>
          </w:tcPr>
          <w:p>
            <w:pPr>
              <w:jc w:val="center"/>
              <w:ind w:right="22"/>
              <w:spacing w:after="0"/>
              <w:rPr>
                <w:sz w:val="20"/>
                <w:szCs w:val="20"/>
                <w:color w:val="auto"/>
              </w:rPr>
            </w:pPr>
            <w:r>
              <w:rPr>
                <w:rFonts w:ascii="Arial" w:cs="Arial" w:eastAsia="Arial" w:hAnsi="Arial"/>
                <w:sz w:val="12"/>
                <w:szCs w:val="12"/>
                <w:color w:val="auto"/>
                <w:w w:val="90"/>
              </w:rPr>
              <w:t>Other Media</w:t>
            </w:r>
          </w:p>
        </w:tc>
        <w:tc>
          <w:tcPr>
            <w:tcW w:w="120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7,505</w:t>
            </w:r>
          </w:p>
        </w:tc>
        <w:tc>
          <w:tcPr>
            <w:tcW w:w="660" w:type="dxa"/>
            <w:vAlign w:val="bottom"/>
          </w:tcPr>
          <w:p>
            <w:pPr>
              <w:jc w:val="right"/>
              <w:spacing w:after="0"/>
              <w:rPr>
                <w:sz w:val="20"/>
                <w:szCs w:val="20"/>
                <w:color w:val="auto"/>
              </w:rPr>
            </w:pPr>
            <w:r>
              <w:rPr>
                <w:rFonts w:ascii="Arial" w:cs="Arial" w:eastAsia="Arial" w:hAnsi="Arial"/>
                <w:sz w:val="12"/>
                <w:szCs w:val="12"/>
                <w:color w:val="auto"/>
              </w:rPr>
              <w:t>318,896</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9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160" w:type="dxa"/>
            <w:vAlign w:val="bottom"/>
            <w:shd w:val="clear" w:color="auto" w:fill="CCEEFF"/>
          </w:tcPr>
          <w:p>
            <w:pPr>
              <w:jc w:val="center"/>
              <w:ind w:left="222"/>
              <w:spacing w:after="0" w:line="129" w:lineRule="exact"/>
              <w:rPr>
                <w:sz w:val="20"/>
                <w:szCs w:val="20"/>
                <w:color w:val="auto"/>
              </w:rPr>
            </w:pPr>
            <w:r>
              <w:rPr>
                <w:rFonts w:ascii="Arial" w:cs="Arial" w:eastAsia="Arial" w:hAnsi="Arial"/>
                <w:sz w:val="12"/>
                <w:szCs w:val="12"/>
                <w:color w:val="auto"/>
                <w:w w:val="99"/>
              </w:rPr>
              <w:t>—</w:t>
            </w:r>
          </w:p>
        </w:tc>
        <w:tc>
          <w:tcPr>
            <w:tcW w:w="192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8"/>
              </w:rPr>
              <w:t>Financial Services</w:t>
            </w:r>
          </w:p>
        </w:tc>
        <w:tc>
          <w:tcPr>
            <w:tcW w:w="1200" w:type="dxa"/>
            <w:vAlign w:val="bottom"/>
            <w:shd w:val="clear" w:color="auto" w:fill="CCEEFF"/>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949</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949,050</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805,697</w:t>
            </w:r>
          </w:p>
        </w:tc>
        <w:tc>
          <w:tcPr>
            <w:tcW w:w="0" w:type="dxa"/>
            <w:vAlign w:val="bottom"/>
          </w:tcPr>
          <w:p>
            <w:pPr>
              <w:spacing w:after="0"/>
              <w:rPr>
                <w:sz w:val="1"/>
                <w:szCs w:val="1"/>
                <w:color w:val="auto"/>
              </w:rPr>
            </w:pPr>
          </w:p>
        </w:tc>
      </w:tr>
      <w:tr>
        <w:trPr>
          <w:trHeight w:val="141"/>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(Alegeus Technologies, LLC)</w:t>
            </w:r>
          </w:p>
        </w:tc>
        <w:tc>
          <w:tcPr>
            <w:tcW w:w="11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160" w:type="dxa"/>
            <w:vAlign w:val="bottom"/>
          </w:tcPr>
          <w:p>
            <w:pPr>
              <w:jc w:val="center"/>
              <w:ind w:left="222"/>
              <w:spacing w:after="0" w:line="129" w:lineRule="exact"/>
              <w:rPr>
                <w:sz w:val="20"/>
                <w:szCs w:val="20"/>
                <w:color w:val="auto"/>
              </w:rPr>
            </w:pPr>
            <w:r>
              <w:rPr>
                <w:rFonts w:ascii="Arial" w:cs="Arial" w:eastAsia="Arial" w:hAnsi="Arial"/>
                <w:sz w:val="12"/>
                <w:szCs w:val="12"/>
                <w:color w:val="auto"/>
                <w:w w:val="99"/>
              </w:rPr>
              <w:t>—</w:t>
            </w:r>
          </w:p>
        </w:tc>
        <w:tc>
          <w:tcPr>
            <w:tcW w:w="19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7"/>
              </w:rPr>
              <w:t>Healthcare, Education and</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60" w:type="dxa"/>
            <w:vAlign w:val="bottom"/>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76,357</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765,307</w:t>
            </w:r>
          </w:p>
        </w:tc>
        <w:tc>
          <w:tcPr>
            <w:tcW w:w="2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1,187,410</w:t>
            </w:r>
          </w:p>
        </w:tc>
        <w:tc>
          <w:tcPr>
            <w:tcW w:w="0" w:type="dxa"/>
            <w:vAlign w:val="bottom"/>
          </w:tcPr>
          <w:p>
            <w:pPr>
              <w:spacing w:after="0"/>
              <w:rPr>
                <w:sz w:val="1"/>
                <w:szCs w:val="1"/>
                <w:color w:val="auto"/>
              </w:rPr>
            </w:pPr>
          </w:p>
        </w:tc>
      </w:tr>
      <w:tr>
        <w:trPr>
          <w:trHeight w:val="151"/>
        </w:trPr>
        <w:tc>
          <w:tcPr>
            <w:tcW w:w="2960" w:type="dxa"/>
            <w:vAlign w:val="bottom"/>
          </w:tcPr>
          <w:p>
            <w:pPr>
              <w:ind w:left="120"/>
              <w:spacing w:after="0"/>
              <w:rPr>
                <w:sz w:val="20"/>
                <w:szCs w:val="20"/>
                <w:color w:val="auto"/>
              </w:rPr>
            </w:pPr>
            <w:r>
              <w:rPr>
                <w:rFonts w:ascii="Arial" w:cs="Arial" w:eastAsia="Arial" w:hAnsi="Arial"/>
                <w:sz w:val="12"/>
                <w:szCs w:val="12"/>
                <w:color w:val="auto"/>
              </w:rPr>
              <w:t>(Interactive Health Solutions, Inc.)</w:t>
            </w:r>
          </w:p>
        </w:tc>
        <w:tc>
          <w:tcPr>
            <w:tcW w:w="1160" w:type="dxa"/>
            <w:vAlign w:val="bottom"/>
          </w:tcPr>
          <w:p>
            <w:pPr>
              <w:spacing w:after="0"/>
              <w:rPr>
                <w:sz w:val="13"/>
                <w:szCs w:val="13"/>
                <w:color w:val="auto"/>
              </w:rPr>
            </w:pPr>
          </w:p>
        </w:tc>
        <w:tc>
          <w:tcPr>
            <w:tcW w:w="1920" w:type="dxa"/>
            <w:vAlign w:val="bottom"/>
          </w:tcPr>
          <w:p>
            <w:pPr>
              <w:jc w:val="center"/>
              <w:ind w:right="42"/>
              <w:spacing w:after="0"/>
              <w:rPr>
                <w:sz w:val="20"/>
                <w:szCs w:val="20"/>
                <w:color w:val="auto"/>
              </w:rPr>
            </w:pPr>
            <w:r>
              <w:rPr>
                <w:rFonts w:ascii="Arial" w:cs="Arial" w:eastAsia="Arial" w:hAnsi="Arial"/>
                <w:sz w:val="12"/>
                <w:szCs w:val="12"/>
                <w:color w:val="auto"/>
                <w:w w:val="90"/>
              </w:rPr>
              <w:t>Childcare</w:t>
            </w: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160" w:type="dxa"/>
            <w:vAlign w:val="bottom"/>
            <w:shd w:val="clear" w:color="auto" w:fill="CCEEFF"/>
          </w:tcPr>
          <w:p>
            <w:pPr>
              <w:jc w:val="center"/>
              <w:ind w:left="222"/>
              <w:spacing w:after="0" w:line="132" w:lineRule="exact"/>
              <w:rPr>
                <w:sz w:val="20"/>
                <w:szCs w:val="20"/>
                <w:color w:val="auto"/>
              </w:rPr>
            </w:pPr>
            <w:r>
              <w:rPr>
                <w:rFonts w:ascii="Arial" w:cs="Arial" w:eastAsia="Arial" w:hAnsi="Arial"/>
                <w:sz w:val="12"/>
                <w:szCs w:val="12"/>
                <w:color w:val="auto"/>
                <w:w w:val="99"/>
              </w:rPr>
              <w:t>—</w:t>
            </w:r>
          </w:p>
        </w:tc>
        <w:tc>
          <w:tcPr>
            <w:tcW w:w="192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7"/>
              </w:rPr>
              <w:t>Healthcare, Education and</w:t>
            </w:r>
          </w:p>
        </w:tc>
        <w:tc>
          <w:tcPr>
            <w:tcW w:w="1200" w:type="dxa"/>
            <w:vAlign w:val="bottom"/>
            <w:shd w:val="clear" w:color="auto" w:fill="CCEEFF"/>
          </w:tcPr>
          <w:p>
            <w:pPr>
              <w:jc w:val="right"/>
              <w:ind w:right="322"/>
              <w:spacing w:after="0" w:line="132" w:lineRule="exact"/>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ind w:left="740"/>
              <w:spacing w:after="0" w:line="132" w:lineRule="exact"/>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38,179</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382,654</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593,705</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(Interactive Health Solutions, Inc.)</w:t>
            </w:r>
          </w:p>
        </w:tc>
        <w:tc>
          <w:tcPr>
            <w:tcW w:w="1160" w:type="dxa"/>
            <w:vAlign w:val="bottom"/>
            <w:shd w:val="clear" w:color="auto" w:fill="CCEEFF"/>
          </w:tcPr>
          <w:p>
            <w:pPr>
              <w:spacing w:after="0"/>
              <w:rPr>
                <w:sz w:val="13"/>
                <w:szCs w:val="13"/>
                <w:color w:val="auto"/>
              </w:rPr>
            </w:pPr>
          </w:p>
        </w:tc>
        <w:tc>
          <w:tcPr>
            <w:tcW w:w="19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0"/>
              </w:rPr>
              <w:t>Childcare</w:t>
            </w:r>
          </w:p>
        </w:tc>
        <w:tc>
          <w:tcPr>
            <w:tcW w:w="1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160" w:type="dxa"/>
            <w:vAlign w:val="bottom"/>
          </w:tcPr>
          <w:p>
            <w:pPr>
              <w:jc w:val="center"/>
              <w:ind w:left="222"/>
              <w:spacing w:after="0" w:line="129" w:lineRule="exact"/>
              <w:rPr>
                <w:sz w:val="20"/>
                <w:szCs w:val="20"/>
                <w:color w:val="auto"/>
              </w:rPr>
            </w:pPr>
            <w:r>
              <w:rPr>
                <w:rFonts w:ascii="Arial" w:cs="Arial" w:eastAsia="Arial" w:hAnsi="Arial"/>
                <w:sz w:val="12"/>
                <w:szCs w:val="12"/>
                <w:color w:val="auto"/>
                <w:w w:val="99"/>
              </w:rPr>
              <w:t>—</w:t>
            </w:r>
          </w:p>
        </w:tc>
        <w:tc>
          <w:tcPr>
            <w:tcW w:w="19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8"/>
              </w:rPr>
              <w:t>Electronics</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60" w:type="dxa"/>
            <w:vAlign w:val="bottom"/>
          </w:tcPr>
          <w:p>
            <w:pPr>
              <w:ind w:left="740"/>
              <w:spacing w:after="0" w:line="129"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2,375</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2,375,000</w:t>
            </w:r>
          </w:p>
        </w:tc>
        <w:tc>
          <w:tcPr>
            <w:tcW w:w="2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2,584,106</w:t>
            </w:r>
          </w:p>
        </w:tc>
        <w:tc>
          <w:tcPr>
            <w:tcW w:w="0" w:type="dxa"/>
            <w:vAlign w:val="bottom"/>
          </w:tcPr>
          <w:p>
            <w:pPr>
              <w:spacing w:after="0"/>
              <w:rPr>
                <w:sz w:val="1"/>
                <w:szCs w:val="1"/>
                <w:color w:val="auto"/>
              </w:rPr>
            </w:pPr>
          </w:p>
        </w:tc>
      </w:tr>
      <w:tr>
        <w:trPr>
          <w:trHeight w:val="141"/>
        </w:trPr>
        <w:tc>
          <w:tcPr>
            <w:tcW w:w="2960" w:type="dxa"/>
            <w:vAlign w:val="bottom"/>
          </w:tcPr>
          <w:p>
            <w:pPr>
              <w:ind w:left="120"/>
              <w:spacing w:after="0"/>
              <w:rPr>
                <w:sz w:val="20"/>
                <w:szCs w:val="20"/>
                <w:color w:val="auto"/>
              </w:rPr>
            </w:pPr>
            <w:r>
              <w:rPr>
                <w:rFonts w:ascii="Arial" w:cs="Arial" w:eastAsia="Arial" w:hAnsi="Arial"/>
                <w:sz w:val="12"/>
                <w:szCs w:val="12"/>
                <w:color w:val="auto"/>
              </w:rPr>
              <w:t>(Convergint Technologies LLC)</w:t>
            </w:r>
          </w:p>
        </w:tc>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Holdings, LLC</w:t>
            </w:r>
          </w:p>
        </w:tc>
        <w:tc>
          <w:tcPr>
            <w:tcW w:w="116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99"/>
              </w:rPr>
              <w:t>—</w:t>
            </w:r>
          </w:p>
        </w:tc>
        <w:tc>
          <w:tcPr>
            <w:tcW w:w="19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5"/>
              </w:rPr>
              <w:t>Business Services</w:t>
            </w: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9.00%</w:t>
            </w:r>
          </w:p>
        </w:tc>
        <w:tc>
          <w:tcPr>
            <w:tcW w:w="10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326,215</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326,215</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326,215</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HW Topco, Inc.</w:t>
            </w:r>
          </w:p>
        </w:tc>
        <w:tc>
          <w:tcPr>
            <w:tcW w:w="1160" w:type="dxa"/>
            <w:vAlign w:val="bottom"/>
          </w:tcPr>
          <w:p>
            <w:pPr>
              <w:jc w:val="center"/>
              <w:ind w:left="222"/>
              <w:spacing w:after="0"/>
              <w:rPr>
                <w:sz w:val="20"/>
                <w:szCs w:val="20"/>
                <w:color w:val="auto"/>
              </w:rPr>
            </w:pPr>
            <w:r>
              <w:rPr>
                <w:rFonts w:ascii="Arial" w:cs="Arial" w:eastAsia="Arial" w:hAnsi="Arial"/>
                <w:sz w:val="12"/>
                <w:szCs w:val="12"/>
                <w:color w:val="auto"/>
                <w:w w:val="99"/>
              </w:rPr>
              <w:t>—</w:t>
            </w:r>
          </w:p>
        </w:tc>
        <w:tc>
          <w:tcPr>
            <w:tcW w:w="1920" w:type="dxa"/>
            <w:vAlign w:val="bottom"/>
          </w:tcPr>
          <w:p>
            <w:pPr>
              <w:jc w:val="center"/>
              <w:ind w:right="22"/>
              <w:spacing w:after="0"/>
              <w:rPr>
                <w:sz w:val="20"/>
                <w:szCs w:val="20"/>
                <w:color w:val="auto"/>
              </w:rPr>
            </w:pPr>
            <w:r>
              <w:rPr>
                <w:rFonts w:ascii="Arial" w:cs="Arial" w:eastAsia="Arial" w:hAnsi="Arial"/>
                <w:sz w:val="12"/>
                <w:szCs w:val="12"/>
                <w:color w:val="auto"/>
                <w:w w:val="90"/>
              </w:rPr>
              <w:t>Other Media</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8.00%</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3,591</w:t>
            </w:r>
          </w:p>
        </w:tc>
        <w:tc>
          <w:tcPr>
            <w:tcW w:w="660" w:type="dxa"/>
            <w:vAlign w:val="bottom"/>
          </w:tcPr>
          <w:p>
            <w:pPr>
              <w:jc w:val="right"/>
              <w:spacing w:after="0"/>
              <w:rPr>
                <w:sz w:val="20"/>
                <w:szCs w:val="20"/>
                <w:color w:val="auto"/>
              </w:rPr>
            </w:pPr>
            <w:r>
              <w:rPr>
                <w:rFonts w:ascii="Arial" w:cs="Arial" w:eastAsia="Arial" w:hAnsi="Arial"/>
                <w:sz w:val="12"/>
                <w:szCs w:val="12"/>
                <w:color w:val="auto"/>
              </w:rPr>
              <w:t>24,177</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35,091</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16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99"/>
              </w:rPr>
              <w:t>—</w:t>
            </w:r>
          </w:p>
        </w:tc>
        <w:tc>
          <w:tcPr>
            <w:tcW w:w="19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7"/>
              </w:rPr>
              <w:t>Insurance</w:t>
            </w:r>
          </w:p>
        </w:tc>
        <w:tc>
          <w:tcPr>
            <w:tcW w:w="120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686</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685,820</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160" w:type="dxa"/>
            <w:vAlign w:val="bottom"/>
          </w:tcPr>
          <w:p>
            <w:pPr>
              <w:jc w:val="center"/>
              <w:ind w:left="222"/>
              <w:spacing w:after="0"/>
              <w:rPr>
                <w:sz w:val="20"/>
                <w:szCs w:val="20"/>
                <w:color w:val="auto"/>
              </w:rPr>
            </w:pPr>
            <w:r>
              <w:rPr>
                <w:rFonts w:ascii="Arial" w:cs="Arial" w:eastAsia="Arial" w:hAnsi="Arial"/>
                <w:sz w:val="12"/>
                <w:szCs w:val="12"/>
                <w:color w:val="auto"/>
                <w:w w:val="99"/>
              </w:rPr>
              <w:t>—</w:t>
            </w:r>
          </w:p>
        </w:tc>
        <w:tc>
          <w:tcPr>
            <w:tcW w:w="1920" w:type="dxa"/>
            <w:vAlign w:val="bottom"/>
          </w:tcPr>
          <w:p>
            <w:pPr>
              <w:jc w:val="center"/>
              <w:ind w:right="42"/>
              <w:spacing w:after="0"/>
              <w:rPr>
                <w:sz w:val="20"/>
                <w:szCs w:val="20"/>
                <w:color w:val="auto"/>
              </w:rPr>
            </w:pPr>
            <w:r>
              <w:rPr>
                <w:rFonts w:ascii="Arial" w:cs="Arial" w:eastAsia="Arial" w:hAnsi="Arial"/>
                <w:sz w:val="12"/>
                <w:szCs w:val="12"/>
                <w:color w:val="auto"/>
                <w:w w:val="87"/>
              </w:rPr>
              <w:t>Insurance</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6.50%</w:t>
            </w:r>
          </w:p>
        </w:tc>
        <w:tc>
          <w:tcPr>
            <w:tcW w:w="1060" w:type="dxa"/>
            <w:vAlign w:val="bottom"/>
          </w:tcPr>
          <w:p>
            <w:pPr>
              <w:ind w:left="7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02"/>
              <w:spacing w:after="0"/>
              <w:rPr>
                <w:sz w:val="20"/>
                <w:szCs w:val="20"/>
                <w:color w:val="auto"/>
              </w:rPr>
            </w:pPr>
            <w:r>
              <w:rPr>
                <w:rFonts w:ascii="Arial" w:cs="Arial" w:eastAsia="Arial" w:hAnsi="Arial"/>
                <w:sz w:val="12"/>
                <w:szCs w:val="12"/>
                <w:color w:val="auto"/>
              </w:rPr>
              <w:t>1,312</w:t>
            </w:r>
          </w:p>
        </w:tc>
        <w:tc>
          <w:tcPr>
            <w:tcW w:w="660" w:type="dxa"/>
            <w:vAlign w:val="bottom"/>
          </w:tcPr>
          <w:p>
            <w:pPr>
              <w:jc w:val="right"/>
              <w:spacing w:after="0"/>
              <w:rPr>
                <w:sz w:val="20"/>
                <w:szCs w:val="20"/>
                <w:color w:val="auto"/>
              </w:rPr>
            </w:pPr>
            <w:r>
              <w:rPr>
                <w:rFonts w:ascii="Arial" w:cs="Arial" w:eastAsia="Arial" w:hAnsi="Arial"/>
                <w:sz w:val="12"/>
                <w:szCs w:val="12"/>
                <w:color w:val="auto"/>
              </w:rPr>
              <w:t>1,312,006</w:t>
            </w:r>
          </w:p>
        </w:tc>
        <w:tc>
          <w:tcPr>
            <w:tcW w:w="2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862,664</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VRide Holdings, Inc.</w:t>
            </w:r>
          </w:p>
        </w:tc>
        <w:tc>
          <w:tcPr>
            <w:tcW w:w="116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99"/>
              </w:rPr>
              <w:t>—</w:t>
            </w:r>
          </w:p>
        </w:tc>
        <w:tc>
          <w:tcPr>
            <w:tcW w:w="19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Personal Transportation</w:t>
            </w: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8.00%</w:t>
            </w:r>
          </w:p>
        </w:tc>
        <w:tc>
          <w:tcPr>
            <w:tcW w:w="10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1,824,167</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156,029</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9,463,292</w:t>
            </w:r>
          </w:p>
        </w:tc>
        <w:tc>
          <w:tcPr>
            <w:tcW w:w="2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8,051,870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jc w:val="center"/>
              <w:ind w:left="522"/>
              <w:spacing w:after="0"/>
              <w:rPr>
                <w:sz w:val="20"/>
                <w:szCs w:val="20"/>
                <w:color w:val="auto"/>
              </w:rPr>
            </w:pPr>
            <w:r>
              <w:rPr>
                <w:rFonts w:ascii="Arial" w:cs="Arial" w:eastAsia="Arial" w:hAnsi="Arial"/>
                <w:sz w:val="12"/>
                <w:szCs w:val="12"/>
                <w:b w:val="1"/>
                <w:bCs w:val="1"/>
                <w:color w:val="auto"/>
                <w:w w:val="85"/>
              </w:rPr>
              <w:t>Basis Point</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jc w:val="center"/>
              <w:ind w:left="522"/>
              <w:spacing w:after="0" w:line="135" w:lineRule="exact"/>
              <w:rPr>
                <w:sz w:val="20"/>
                <w:szCs w:val="20"/>
                <w:color w:val="auto"/>
              </w:rPr>
            </w:pPr>
            <w:r>
              <w:rPr>
                <w:rFonts w:ascii="Arial" w:cs="Arial" w:eastAsia="Arial" w:hAnsi="Arial"/>
                <w:sz w:val="12"/>
                <w:szCs w:val="12"/>
                <w:b w:val="1"/>
                <w:bCs w:val="1"/>
                <w:color w:val="auto"/>
                <w:w w:val="88"/>
              </w:rPr>
              <w:t>Spread</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spacing w:after="0"/>
              <w:rPr>
                <w:sz w:val="11"/>
                <w:szCs w:val="11"/>
                <w:color w:val="auto"/>
              </w:rPr>
            </w:pPr>
          </w:p>
        </w:tc>
        <w:tc>
          <w:tcPr>
            <w:tcW w:w="1900" w:type="dxa"/>
            <w:vAlign w:val="bottom"/>
            <w:vMerge w:val="restart"/>
          </w:tcPr>
          <w:p>
            <w:pPr>
              <w:jc w:val="center"/>
              <w:ind w:right="82"/>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2"/>
              </w:rPr>
              <w:t>Current</w:t>
            </w:r>
          </w:p>
        </w:tc>
        <w:tc>
          <w:tcPr>
            <w:tcW w:w="1140" w:type="dxa"/>
            <w:vAlign w:val="bottom"/>
          </w:tcPr>
          <w:p>
            <w:pPr>
              <w:jc w:val="center"/>
              <w:ind w:left="522"/>
              <w:spacing w:after="0" w:line="135" w:lineRule="exact"/>
              <w:rPr>
                <w:sz w:val="20"/>
                <w:szCs w:val="20"/>
                <w:color w:val="auto"/>
              </w:rPr>
            </w:pPr>
            <w:r>
              <w:rPr>
                <w:rFonts w:ascii="Arial" w:cs="Arial" w:eastAsia="Arial" w:hAnsi="Arial"/>
                <w:sz w:val="12"/>
                <w:szCs w:val="12"/>
                <w:b w:val="1"/>
                <w:bCs w:val="1"/>
                <w:color w:val="auto"/>
                <w:w w:val="87"/>
              </w:rPr>
              <w:t>Above</w:t>
            </w:r>
          </w:p>
        </w:tc>
        <w:tc>
          <w:tcPr>
            <w:tcW w:w="380" w:type="dxa"/>
            <w:vAlign w:val="bottom"/>
          </w:tcPr>
          <w:p>
            <w:pPr>
              <w:spacing w:after="0"/>
              <w:rPr>
                <w:sz w:val="11"/>
                <w:szCs w:val="11"/>
                <w:color w:val="auto"/>
              </w:rPr>
            </w:pPr>
          </w:p>
        </w:tc>
        <w:tc>
          <w:tcPr>
            <w:tcW w:w="940" w:type="dxa"/>
            <w:vAlign w:val="bottom"/>
          </w:tcPr>
          <w:p>
            <w:pPr>
              <w:jc w:val="right"/>
              <w:ind w:right="342"/>
              <w:spacing w:after="0" w:line="135" w:lineRule="exact"/>
              <w:rPr>
                <w:sz w:val="20"/>
                <w:szCs w:val="20"/>
                <w:color w:val="auto"/>
              </w:rPr>
            </w:pPr>
            <w:r>
              <w:rPr>
                <w:rFonts w:ascii="Arial" w:cs="Arial" w:eastAsia="Arial" w:hAnsi="Arial"/>
                <w:sz w:val="12"/>
                <w:szCs w:val="12"/>
                <w:b w:val="1"/>
                <w:bCs w:val="1"/>
                <w:color w:val="auto"/>
              </w:rPr>
              <w:t>Par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vMerge w:val="continue"/>
          </w:tcPr>
          <w:p>
            <w:pPr>
              <w:spacing w:after="0"/>
              <w:rPr>
                <w:sz w:val="12"/>
                <w:szCs w:val="12"/>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Maturity</w:t>
            </w:r>
          </w:p>
        </w:tc>
        <w:tc>
          <w:tcPr>
            <w:tcW w:w="1900" w:type="dxa"/>
            <w:vAlign w:val="bottom"/>
            <w:vMerge w:val="continue"/>
          </w:tcPr>
          <w:p>
            <w:pPr>
              <w:spacing w:after="0"/>
              <w:rPr>
                <w:sz w:val="12"/>
                <w:szCs w:val="12"/>
                <w:color w:val="auto"/>
              </w:rPr>
            </w:pPr>
          </w:p>
        </w:tc>
        <w:tc>
          <w:tcPr>
            <w:tcW w:w="660" w:type="dxa"/>
            <w:vAlign w:val="bottom"/>
          </w:tcPr>
          <w:p>
            <w:pPr>
              <w:ind w:left="240"/>
              <w:spacing w:after="0"/>
              <w:rPr>
                <w:sz w:val="20"/>
                <w:szCs w:val="20"/>
                <w:color w:val="auto"/>
              </w:rPr>
            </w:pPr>
            <w:r>
              <w:rPr>
                <w:rFonts w:ascii="Arial" w:cs="Arial" w:eastAsia="Arial" w:hAnsi="Arial"/>
                <w:sz w:val="12"/>
                <w:szCs w:val="12"/>
                <w:b w:val="1"/>
                <w:bCs w:val="1"/>
                <w:color w:val="auto"/>
                <w:w w:val="88"/>
              </w:rPr>
              <w:t>Coupon</w:t>
            </w:r>
          </w:p>
        </w:tc>
        <w:tc>
          <w:tcPr>
            <w:tcW w:w="1140" w:type="dxa"/>
            <w:vAlign w:val="bottom"/>
          </w:tcPr>
          <w:p>
            <w:pPr>
              <w:jc w:val="center"/>
              <w:ind w:left="5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380" w:type="dxa"/>
            <w:vAlign w:val="bottom"/>
          </w:tcPr>
          <w:p>
            <w:pPr>
              <w:spacing w:after="0"/>
              <w:rPr>
                <w:sz w:val="12"/>
                <w:szCs w:val="12"/>
                <w:color w:val="auto"/>
              </w:rPr>
            </w:pPr>
          </w:p>
        </w:tc>
        <w:tc>
          <w:tcPr>
            <w:tcW w:w="940" w:type="dxa"/>
            <w:vAlign w:val="bottom"/>
          </w:tcPr>
          <w:p>
            <w:pPr>
              <w:jc w:val="right"/>
              <w:ind w:right="302"/>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8"/>
        </w:trPr>
        <w:tc>
          <w:tcPr>
            <w:tcW w:w="37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Equity/Warrants/Partnership Interests—10.1% </w:t>
            </w:r>
            <w:r>
              <w:rPr>
                <w:rFonts w:ascii="Arial" w:cs="Arial" w:eastAsia="Arial" w:hAnsi="Arial"/>
                <w:sz w:val="9"/>
                <w:szCs w:val="9"/>
                <w:b w:val="1"/>
                <w:bCs w:val="1"/>
                <w:color w:val="auto"/>
              </w:rPr>
              <w:t>(6)</w:t>
            </w:r>
          </w:p>
        </w:tc>
        <w:tc>
          <w:tcPr>
            <w:tcW w:w="19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900" w:type="dxa"/>
            <w:vAlign w:val="bottom"/>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8"/>
              </w:rPr>
              <w:t>Electronics</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1,998</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2,000,000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1,572,603</w:t>
            </w: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AH Holdings, Inc. (Warrants)</w:t>
            </w:r>
          </w:p>
        </w:tc>
        <w:tc>
          <w:tcPr>
            <w:tcW w:w="900" w:type="dxa"/>
            <w:vAlign w:val="bottom"/>
            <w:shd w:val="clear" w:color="auto" w:fill="CCEEFF"/>
          </w:tcPr>
          <w:p>
            <w:pPr>
              <w:jc w:val="center"/>
              <w:ind w:right="62"/>
              <w:spacing w:after="0" w:line="129" w:lineRule="exact"/>
              <w:rPr>
                <w:sz w:val="20"/>
                <w:szCs w:val="20"/>
                <w:color w:val="auto"/>
              </w:rPr>
            </w:pPr>
            <w:r>
              <w:rPr>
                <w:rFonts w:ascii="Arial" w:cs="Arial" w:eastAsia="Arial" w:hAnsi="Arial"/>
                <w:sz w:val="12"/>
                <w:szCs w:val="12"/>
                <w:color w:val="auto"/>
                <w:w w:val="89"/>
              </w:rPr>
              <w:t>03/23/2021</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7"/>
              </w:rPr>
              <w:t>Healthcare, Education and</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753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2,499,319</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86"/>
              </w:rPr>
              <w:t>Childcare</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90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102"/>
              <w:spacing w:after="0" w:line="129" w:lineRule="exact"/>
              <w:rPr>
                <w:sz w:val="20"/>
                <w:szCs w:val="20"/>
                <w:color w:val="auto"/>
              </w:rPr>
            </w:pPr>
            <w:r>
              <w:rPr>
                <w:rFonts w:ascii="Arial" w:cs="Arial" w:eastAsia="Arial" w:hAnsi="Arial"/>
                <w:sz w:val="12"/>
                <w:szCs w:val="12"/>
                <w:color w:val="auto"/>
                <w:w w:val="88"/>
              </w:rPr>
              <w:t>Financial Services</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950</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807</w:t>
            </w:r>
          </w:p>
        </w:tc>
        <w:tc>
          <w:tcPr>
            <w:tcW w:w="0" w:type="dxa"/>
            <w:vAlign w:val="bottom"/>
          </w:tcPr>
          <w:p>
            <w:pPr>
              <w:spacing w:after="0"/>
              <w:rPr>
                <w:sz w:val="1"/>
                <w:szCs w:val="1"/>
                <w:color w:val="auto"/>
              </w:rPr>
            </w:pPr>
          </w:p>
        </w:tc>
      </w:tr>
      <w:tr>
        <w:trPr>
          <w:trHeight w:val="141"/>
        </w:trPr>
        <w:tc>
          <w:tcPr>
            <w:tcW w:w="286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Autumn Games, LLC</w:t>
            </w:r>
          </w:p>
        </w:tc>
        <w:tc>
          <w:tcPr>
            <w:tcW w:w="90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88"/>
              </w:rPr>
              <w:t>Broadcasting and Entertainment</w:t>
            </w: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1,333,330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3,000,000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900" w:type="dxa"/>
            <w:vAlign w:val="bottom"/>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93"/>
              </w:rPr>
              <w:t>Distribution</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1,505,000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1,505,000</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2,308,777</w:t>
            </w: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90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7"/>
              </w:rPr>
              <w:t>Healthcare, Education and</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23,416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234,693</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364,156</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(Interactive Health Solutions, Inc.)</w:t>
            </w:r>
          </w:p>
        </w:tc>
        <w:tc>
          <w:tcPr>
            <w:tcW w:w="9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86"/>
              </w:rPr>
              <w:t>Childcare</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90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line="129" w:lineRule="exact"/>
              <w:rPr>
                <w:sz w:val="20"/>
                <w:szCs w:val="20"/>
                <w:color w:val="auto"/>
              </w:rPr>
            </w:pPr>
            <w:r>
              <w:rPr>
                <w:rFonts w:ascii="Arial" w:cs="Arial" w:eastAsia="Arial" w:hAnsi="Arial"/>
                <w:sz w:val="12"/>
                <w:szCs w:val="12"/>
                <w:color w:val="auto"/>
                <w:w w:val="87"/>
              </w:rPr>
              <w:t>Healthcare, Education and</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11,708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117,346</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182,078</w:t>
            </w:r>
          </w:p>
        </w:tc>
        <w:tc>
          <w:tcPr>
            <w:tcW w:w="0" w:type="dxa"/>
            <w:vAlign w:val="bottom"/>
          </w:tcPr>
          <w:p>
            <w:pPr>
              <w:spacing w:after="0"/>
              <w:rPr>
                <w:sz w:val="1"/>
                <w:szCs w:val="1"/>
                <w:color w:val="auto"/>
              </w:rPr>
            </w:pPr>
          </w:p>
        </w:tc>
      </w:tr>
      <w:tr>
        <w:trPr>
          <w:trHeight w:val="151"/>
        </w:trPr>
        <w:tc>
          <w:tcPr>
            <w:tcW w:w="2860" w:type="dxa"/>
            <w:vAlign w:val="bottom"/>
          </w:tcPr>
          <w:p>
            <w:pPr>
              <w:ind w:left="120"/>
              <w:spacing w:after="0"/>
              <w:rPr>
                <w:sz w:val="20"/>
                <w:szCs w:val="20"/>
                <w:color w:val="auto"/>
              </w:rPr>
            </w:pPr>
            <w:r>
              <w:rPr>
                <w:rFonts w:ascii="Arial" w:cs="Arial" w:eastAsia="Arial" w:hAnsi="Arial"/>
                <w:sz w:val="12"/>
                <w:szCs w:val="12"/>
                <w:color w:val="auto"/>
              </w:rPr>
              <w:t>(Interactive Health Solutions, Inc.)</w:t>
            </w:r>
          </w:p>
        </w:tc>
        <w:tc>
          <w:tcPr>
            <w:tcW w:w="900" w:type="dxa"/>
            <w:vAlign w:val="bottom"/>
          </w:tcPr>
          <w:p>
            <w:pPr>
              <w:spacing w:after="0"/>
              <w:rPr>
                <w:sz w:val="13"/>
                <w:szCs w:val="13"/>
                <w:color w:val="auto"/>
              </w:rPr>
            </w:pP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6"/>
              </w:rPr>
              <w:t>Childcare</w:t>
            </w: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32" w:lineRule="exact"/>
              <w:rPr>
                <w:sz w:val="20"/>
                <w:szCs w:val="20"/>
                <w:color w:val="auto"/>
              </w:rPr>
            </w:pPr>
            <w:r>
              <w:rPr>
                <w:rFonts w:ascii="Arial" w:cs="Arial" w:eastAsia="Arial" w:hAnsi="Arial"/>
                <w:sz w:val="12"/>
                <w:szCs w:val="12"/>
                <w:color w:val="auto"/>
                <w:w w:val="88"/>
              </w:rPr>
              <w:t>Electronics</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2,375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212,881</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(Convergint Technologies LLC)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CT Technologies Holdings, LLC</w:t>
            </w:r>
          </w:p>
        </w:tc>
        <w:tc>
          <w:tcPr>
            <w:tcW w:w="900" w:type="dxa"/>
            <w:vAlign w:val="bottom"/>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5"/>
              </w:rPr>
              <w:t>Business Services</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5,556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1,918,346</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7,285,399</w:t>
            </w: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HW Topco, Inc.</w:t>
            </w:r>
          </w:p>
        </w:tc>
        <w:tc>
          <w:tcPr>
            <w:tcW w:w="90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90"/>
              </w:rPr>
              <w:t>Other Media</w:t>
            </w: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386,770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2,697,835</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3,400,855</w:t>
            </w: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Kadmon Holdings, LLC, Class A</w:t>
            </w:r>
          </w:p>
        </w:tc>
        <w:tc>
          <w:tcPr>
            <w:tcW w:w="90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line="129" w:lineRule="exact"/>
              <w:rPr>
                <w:sz w:val="20"/>
                <w:szCs w:val="20"/>
                <w:color w:val="auto"/>
              </w:rPr>
            </w:pPr>
            <w:r>
              <w:rPr>
                <w:rFonts w:ascii="Arial" w:cs="Arial" w:eastAsia="Arial" w:hAnsi="Arial"/>
                <w:sz w:val="12"/>
                <w:szCs w:val="12"/>
                <w:color w:val="auto"/>
                <w:w w:val="87"/>
              </w:rPr>
              <w:t>Healthcare, Education and</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1,079,920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1,236,832</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11,085,403</w:t>
            </w: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6"/>
              </w:rPr>
              <w:t>Childcare</w:t>
            </w: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Kadmon Holdings, LLC, Class D</w:t>
            </w:r>
          </w:p>
        </w:tc>
        <w:tc>
          <w:tcPr>
            <w:tcW w:w="90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32" w:lineRule="exact"/>
              <w:rPr>
                <w:sz w:val="20"/>
                <w:szCs w:val="20"/>
                <w:color w:val="auto"/>
              </w:rPr>
            </w:pPr>
            <w:r>
              <w:rPr>
                <w:rFonts w:ascii="Arial" w:cs="Arial" w:eastAsia="Arial" w:hAnsi="Arial"/>
                <w:sz w:val="12"/>
                <w:szCs w:val="12"/>
                <w:color w:val="auto"/>
                <w:w w:val="87"/>
              </w:rPr>
              <w:t>Healthcare, Education and</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1,079,920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2"/>
                <w:szCs w:val="12"/>
                <w:color w:val="auto"/>
              </w:rPr>
              <w:t>1,028,807</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86"/>
              </w:rPr>
              <w:t>Childcare</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Learning Care Group (US) Inc. (Warrants)</w:t>
            </w:r>
          </w:p>
        </w:tc>
        <w:tc>
          <w:tcPr>
            <w:tcW w:w="900" w:type="dxa"/>
            <w:vAlign w:val="bottom"/>
          </w:tcPr>
          <w:p>
            <w:pPr>
              <w:jc w:val="center"/>
              <w:ind w:right="62"/>
              <w:spacing w:after="0"/>
              <w:rPr>
                <w:sz w:val="20"/>
                <w:szCs w:val="20"/>
                <w:color w:val="auto"/>
              </w:rPr>
            </w:pPr>
            <w:r>
              <w:rPr>
                <w:rFonts w:ascii="Arial" w:cs="Arial" w:eastAsia="Arial" w:hAnsi="Arial"/>
                <w:sz w:val="12"/>
                <w:szCs w:val="12"/>
                <w:color w:val="auto"/>
                <w:w w:val="89"/>
              </w:rPr>
              <w:t>04/27/2020</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9"/>
              </w:rPr>
              <w:t>Education</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6,649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779,920</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4,300,696</w:t>
            </w: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90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8"/>
              </w:rPr>
              <w:t>Oil and Gas</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1,221,932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3,057,500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7,539,320</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(Eureka Hunter Pipeline, LLC)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900" w:type="dxa"/>
            <w:vAlign w:val="bottom"/>
          </w:tcPr>
          <w:p>
            <w:pPr>
              <w:jc w:val="center"/>
              <w:ind w:right="62"/>
              <w:spacing w:after="0" w:line="129" w:lineRule="exact"/>
              <w:rPr>
                <w:sz w:val="20"/>
                <w:szCs w:val="20"/>
                <w:color w:val="auto"/>
              </w:rPr>
            </w:pPr>
            <w:r>
              <w:rPr>
                <w:rFonts w:ascii="Arial" w:cs="Arial" w:eastAsia="Arial" w:hAnsi="Arial"/>
                <w:sz w:val="12"/>
                <w:szCs w:val="12"/>
                <w:color w:val="auto"/>
                <w:w w:val="89"/>
              </w:rPr>
              <w:t>10/14/2013</w:t>
            </w:r>
          </w:p>
        </w:tc>
        <w:tc>
          <w:tcPr>
            <w:tcW w:w="1900" w:type="dxa"/>
            <w:vAlign w:val="bottom"/>
          </w:tcPr>
          <w:p>
            <w:pPr>
              <w:jc w:val="center"/>
              <w:ind w:right="82"/>
              <w:spacing w:after="0" w:line="129" w:lineRule="exact"/>
              <w:rPr>
                <w:sz w:val="20"/>
                <w:szCs w:val="20"/>
                <w:color w:val="auto"/>
              </w:rPr>
            </w:pPr>
            <w:r>
              <w:rPr>
                <w:rFonts w:ascii="Arial" w:cs="Arial" w:eastAsia="Arial" w:hAnsi="Arial"/>
                <w:sz w:val="12"/>
                <w:szCs w:val="12"/>
                <w:color w:val="auto"/>
                <w:w w:val="88"/>
              </w:rPr>
              <w:t>Oil and Gas</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122,193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105,697</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860" w:type="dxa"/>
            <w:vAlign w:val="bottom"/>
          </w:tcPr>
          <w:p>
            <w:pPr>
              <w:ind w:left="120"/>
              <w:spacing w:after="0"/>
              <w:rPr>
                <w:sz w:val="20"/>
                <w:szCs w:val="20"/>
                <w:color w:val="auto"/>
              </w:rPr>
            </w:pPr>
            <w:r>
              <w:rPr>
                <w:rFonts w:ascii="Arial" w:cs="Arial" w:eastAsia="Arial" w:hAnsi="Arial"/>
                <w:sz w:val="12"/>
                <w:szCs w:val="12"/>
                <w:color w:val="auto"/>
              </w:rPr>
              <w:t>(Warrants) (Eureka Hunter Pipeline, LLC)</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900" w:type="dxa"/>
            <w:vAlign w:val="bottom"/>
            <w:shd w:val="clear" w:color="auto" w:fill="CCEEFF"/>
          </w:tcPr>
          <w:p>
            <w:pPr>
              <w:jc w:val="center"/>
              <w:ind w:right="62"/>
              <w:spacing w:after="0" w:line="129" w:lineRule="exact"/>
              <w:rPr>
                <w:sz w:val="20"/>
                <w:szCs w:val="20"/>
                <w:color w:val="auto"/>
              </w:rPr>
            </w:pPr>
            <w:r>
              <w:rPr>
                <w:rFonts w:ascii="Arial" w:cs="Arial" w:eastAsia="Arial" w:hAnsi="Arial"/>
                <w:sz w:val="12"/>
                <w:szCs w:val="12"/>
                <w:color w:val="auto"/>
                <w:w w:val="89"/>
              </w:rPr>
              <w:t>04/16/2016</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8"/>
              </w:rPr>
              <w:t>Oil and Gas</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122,193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182,499</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205,667</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(Warrants) (Eureka Hunter Pipeline, LLC)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90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line="129" w:lineRule="exact"/>
              <w:rPr>
                <w:sz w:val="20"/>
                <w:szCs w:val="20"/>
                <w:color w:val="auto"/>
              </w:rPr>
            </w:pPr>
            <w:r>
              <w:rPr>
                <w:rFonts w:ascii="Arial" w:cs="Arial" w:eastAsia="Arial" w:hAnsi="Arial"/>
                <w:sz w:val="12"/>
                <w:szCs w:val="12"/>
                <w:color w:val="auto"/>
                <w:w w:val="93"/>
              </w:rPr>
              <w:t>Distribution</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1,850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1,850,294</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1,845,784</w:t>
            </w:r>
          </w:p>
        </w:tc>
        <w:tc>
          <w:tcPr>
            <w:tcW w:w="0" w:type="dxa"/>
            <w:vAlign w:val="bottom"/>
          </w:tcPr>
          <w:p>
            <w:pPr>
              <w:spacing w:after="0"/>
              <w:rPr>
                <w:sz w:val="1"/>
                <w:szCs w:val="1"/>
                <w:color w:val="auto"/>
              </w:rPr>
            </w:pPr>
          </w:p>
        </w:tc>
      </w:tr>
      <w:tr>
        <w:trPr>
          <w:trHeight w:val="141"/>
        </w:trPr>
        <w:tc>
          <w:tcPr>
            <w:tcW w:w="2860" w:type="dxa"/>
            <w:vAlign w:val="bottom"/>
          </w:tcPr>
          <w:p>
            <w:pPr>
              <w:ind w:left="120"/>
              <w:spacing w:after="0"/>
              <w:rPr>
                <w:sz w:val="20"/>
                <w:szCs w:val="20"/>
                <w:color w:val="auto"/>
              </w:rPr>
            </w:pPr>
            <w:r>
              <w:rPr>
                <w:rFonts w:ascii="Arial" w:cs="Arial" w:eastAsia="Arial" w:hAnsi="Arial"/>
                <w:sz w:val="12"/>
                <w:szCs w:val="12"/>
                <w:color w:val="auto"/>
              </w:rPr>
              <w:t>(JF Acquisition, LLC)</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MidOcean PPL Holdings, Corp.</w:t>
            </w:r>
          </w:p>
        </w:tc>
        <w:tc>
          <w:tcPr>
            <w:tcW w:w="90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3,000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3,000,000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5,441,976</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EFF"/>
          </w:tcPr>
          <w:p>
            <w:pPr>
              <w:spacing w:after="0"/>
              <w:rPr>
                <w:sz w:val="13"/>
                <w:szCs w:val="13"/>
                <w:color w:val="auto"/>
              </w:rPr>
            </w:pP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86"/>
              </w:rPr>
              <w:t>Services</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Paradigm Acquisition Corp.</w:t>
            </w:r>
          </w:p>
        </w:tc>
        <w:tc>
          <w:tcPr>
            <w:tcW w:w="90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line="129" w:lineRule="exact"/>
              <w:rPr>
                <w:sz w:val="20"/>
                <w:szCs w:val="20"/>
                <w:color w:val="auto"/>
              </w:rPr>
            </w:pPr>
            <w:r>
              <w:rPr>
                <w:rFonts w:ascii="Arial" w:cs="Arial" w:eastAsia="Arial" w:hAnsi="Arial"/>
                <w:sz w:val="12"/>
                <w:szCs w:val="12"/>
                <w:color w:val="auto"/>
                <w:w w:val="87"/>
              </w:rPr>
              <w:t>Healthcare, Education and</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20,000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2,000,000</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3,720,481</w:t>
            </w: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6"/>
              </w:rPr>
              <w:t>Childcare</w:t>
            </w: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QMG HoldCo, LLC, Class A</w:t>
            </w:r>
          </w:p>
        </w:tc>
        <w:tc>
          <w:tcPr>
            <w:tcW w:w="90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32" w:lineRule="exact"/>
              <w:rPr>
                <w:sz w:val="20"/>
                <w:szCs w:val="20"/>
                <w:color w:val="auto"/>
              </w:rPr>
            </w:pPr>
            <w:r>
              <w:rPr>
                <w:rFonts w:ascii="Arial" w:cs="Arial" w:eastAsia="Arial" w:hAnsi="Arial"/>
                <w:sz w:val="12"/>
                <w:szCs w:val="12"/>
                <w:color w:val="auto"/>
                <w:w w:val="90"/>
              </w:rPr>
              <w:t>Other Media</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32"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4,325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2"/>
                <w:szCs w:val="12"/>
                <w:color w:val="auto"/>
              </w:rPr>
              <w:t>1,306,167</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2,073,419</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(Questex Media Group, LLC)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90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line="129" w:lineRule="exact"/>
              <w:rPr>
                <w:sz w:val="20"/>
                <w:szCs w:val="20"/>
                <w:color w:val="auto"/>
              </w:rPr>
            </w:pPr>
            <w:r>
              <w:rPr>
                <w:rFonts w:ascii="Arial" w:cs="Arial" w:eastAsia="Arial" w:hAnsi="Arial"/>
                <w:sz w:val="12"/>
                <w:szCs w:val="12"/>
                <w:color w:val="auto"/>
                <w:w w:val="90"/>
              </w:rPr>
              <w:t>Other Media</w:t>
            </w:r>
          </w:p>
        </w:tc>
        <w:tc>
          <w:tcPr>
            <w:tcW w:w="660" w:type="dxa"/>
            <w:vAlign w:val="bottom"/>
          </w:tcPr>
          <w:p>
            <w:pPr>
              <w:spacing w:after="0"/>
              <w:rPr>
                <w:sz w:val="11"/>
                <w:szCs w:val="11"/>
                <w:color w:val="auto"/>
              </w:rPr>
            </w:pPr>
          </w:p>
        </w:tc>
        <w:tc>
          <w:tcPr>
            <w:tcW w:w="114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531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254,563</w:t>
            </w:r>
          </w:p>
        </w:tc>
        <w:tc>
          <w:tcPr>
            <w:tcW w:w="0" w:type="dxa"/>
            <w:vAlign w:val="bottom"/>
          </w:tcPr>
          <w:p>
            <w:pPr>
              <w:spacing w:after="0"/>
              <w:rPr>
                <w:sz w:val="1"/>
                <w:szCs w:val="1"/>
                <w:color w:val="auto"/>
              </w:rPr>
            </w:pPr>
          </w:p>
        </w:tc>
      </w:tr>
      <w:tr>
        <w:trPr>
          <w:trHeight w:val="141"/>
        </w:trPr>
        <w:tc>
          <w:tcPr>
            <w:tcW w:w="2860" w:type="dxa"/>
            <w:vAlign w:val="bottom"/>
          </w:tcPr>
          <w:p>
            <w:pPr>
              <w:ind w:left="120"/>
              <w:spacing w:after="0"/>
              <w:rPr>
                <w:sz w:val="20"/>
                <w:szCs w:val="20"/>
                <w:color w:val="auto"/>
              </w:rPr>
            </w:pPr>
            <w:r>
              <w:rPr>
                <w:rFonts w:ascii="Arial" w:cs="Arial" w:eastAsia="Arial" w:hAnsi="Arial"/>
                <w:sz w:val="12"/>
                <w:szCs w:val="12"/>
                <w:color w:val="auto"/>
              </w:rPr>
              <w:t>(Questex Media Group, LLC)</w:t>
            </w:r>
          </w:p>
        </w:tc>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SPG Boyd Holdings Corp.</w:t>
            </w:r>
          </w:p>
        </w:tc>
        <w:tc>
          <w:tcPr>
            <w:tcW w:w="90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8"/>
              </w:rPr>
              <w:t>Chemical, Plastic and Rubber</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300,000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3,000,000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5,571,120</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(LTI Flexible Products, Inc.)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900" w:type="dxa"/>
            <w:vAlign w:val="bottom"/>
          </w:tcPr>
          <w:p>
            <w:pPr>
              <w:jc w:val="center"/>
              <w:ind w:right="62"/>
              <w:spacing w:after="0"/>
              <w:rPr>
                <w:sz w:val="20"/>
                <w:szCs w:val="20"/>
                <w:color w:val="auto"/>
              </w:rPr>
            </w:pPr>
            <w:r>
              <w:rPr>
                <w:rFonts w:ascii="Arial" w:cs="Arial" w:eastAsia="Arial" w:hAnsi="Arial"/>
                <w:sz w:val="12"/>
                <w:szCs w:val="12"/>
                <w:color w:val="auto"/>
                <w:w w:val="89"/>
              </w:rPr>
              <w:t>12/29/2019</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5"/>
              </w:rPr>
              <w:t>Business Services</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3,500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29,400</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606,681</w:t>
            </w: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90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86"/>
              </w:rPr>
              <w:t>Cargo Transport</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137,923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2,111,588</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379,453</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(Intermediate Transportation 100, L.L.C.)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TZ Holdings, L.P.</w:t>
            </w:r>
          </w:p>
        </w:tc>
        <w:tc>
          <w:tcPr>
            <w:tcW w:w="900" w:type="dxa"/>
            <w:vAlign w:val="bottom"/>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3"/>
              </w:rPr>
              <w:t>Insurance</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9,567</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0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line="129" w:lineRule="exact"/>
              <w:rPr>
                <w:sz w:val="20"/>
                <w:szCs w:val="20"/>
                <w:color w:val="auto"/>
              </w:rPr>
            </w:pPr>
            <w:r>
              <w:rPr>
                <w:rFonts w:ascii="Arial" w:cs="Arial" w:eastAsia="Arial" w:hAnsi="Arial"/>
                <w:sz w:val="12"/>
                <w:szCs w:val="12"/>
                <w:color w:val="auto"/>
                <w:w w:val="91"/>
              </w:rPr>
              <w:t>Printing and Publishing</w:t>
            </w:r>
          </w:p>
        </w:tc>
        <w:tc>
          <w:tcPr>
            <w:tcW w:w="660" w:type="dxa"/>
            <w:vAlign w:val="bottom"/>
            <w:shd w:val="clear" w:color="auto" w:fill="CCEEFF"/>
          </w:tcPr>
          <w:p>
            <w:pPr>
              <w:spacing w:after="0"/>
              <w:rPr>
                <w:sz w:val="11"/>
                <w:szCs w:val="11"/>
                <w:color w:val="auto"/>
              </w:rPr>
            </w:pPr>
          </w:p>
        </w:tc>
        <w:tc>
          <w:tcPr>
            <w:tcW w:w="114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211,797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2,325,555</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2,626,512</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(Vestcom International, Inc.)</w:t>
            </w:r>
          </w:p>
        </w:tc>
        <w:tc>
          <w:tcPr>
            <w:tcW w:w="9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VRide Holdings Inc.</w:t>
            </w:r>
          </w:p>
        </w:tc>
        <w:tc>
          <w:tcPr>
            <w:tcW w:w="900" w:type="dxa"/>
            <w:vAlign w:val="bottom"/>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tcPr>
          <w:p>
            <w:pPr>
              <w:jc w:val="center"/>
              <w:ind w:right="82"/>
              <w:spacing w:after="0"/>
              <w:rPr>
                <w:sz w:val="20"/>
                <w:szCs w:val="20"/>
                <w:color w:val="auto"/>
              </w:rPr>
            </w:pPr>
            <w:r>
              <w:rPr>
                <w:rFonts w:ascii="Arial" w:cs="Arial" w:eastAsia="Arial" w:hAnsi="Arial"/>
                <w:sz w:val="12"/>
                <w:szCs w:val="12"/>
                <w:color w:val="auto"/>
                <w:w w:val="87"/>
              </w:rPr>
              <w:t>Personal Transportation</w:t>
            </w:r>
          </w:p>
        </w:tc>
        <w:tc>
          <w:tcPr>
            <w:tcW w:w="66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2"/>
              <w:spacing w:after="0"/>
              <w:rPr>
                <w:sz w:val="20"/>
                <w:szCs w:val="20"/>
                <w:color w:val="auto"/>
              </w:rPr>
            </w:pPr>
            <w:r>
              <w:rPr>
                <w:rFonts w:ascii="Arial" w:cs="Arial" w:eastAsia="Arial" w:hAnsi="Arial"/>
                <w:sz w:val="12"/>
                <w:szCs w:val="12"/>
                <w:color w:val="auto"/>
              </w:rPr>
              <w:t>9,166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9,166</w:t>
            </w:r>
          </w:p>
        </w:tc>
        <w:tc>
          <w:tcPr>
            <w:tcW w:w="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90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9"/>
              </w:rPr>
              <w:t>—</w:t>
            </w:r>
          </w:p>
        </w:tc>
        <w:tc>
          <w:tcPr>
            <w:tcW w:w="1900" w:type="dxa"/>
            <w:vAlign w:val="bottom"/>
            <w:shd w:val="clear" w:color="auto" w:fill="CCEEFF"/>
          </w:tcPr>
          <w:p>
            <w:pPr>
              <w:jc w:val="center"/>
              <w:ind w:right="82"/>
              <w:spacing w:after="0"/>
              <w:rPr>
                <w:sz w:val="20"/>
                <w:szCs w:val="20"/>
                <w:color w:val="auto"/>
              </w:rPr>
            </w:pPr>
            <w:r>
              <w:rPr>
                <w:rFonts w:ascii="Arial" w:cs="Arial" w:eastAsia="Arial" w:hAnsi="Arial"/>
                <w:sz w:val="12"/>
                <w:szCs w:val="12"/>
                <w:color w:val="auto"/>
                <w:w w:val="85"/>
              </w:rPr>
              <w:t>Business Services</w:t>
            </w: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35,526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4,050,000</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5,966,074</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w w:val="93"/>
              </w:rPr>
              <w:t>Total Common Equity/Warrants/Partnership Interests</w:t>
            </w: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color w:val="auto"/>
              </w:rPr>
              <w:t>37,557,162</w:t>
            </w:r>
          </w:p>
        </w:tc>
        <w:tc>
          <w:tcPr>
            <w:tcW w:w="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70,472,831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0"/>
              </w:rPr>
              <w:t>Total Investments in Non-Controlled, Non-Affiliated Portfolio Companies</w:t>
            </w: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2"/>
              </w:rPr>
              <w:t>928,078,589</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968,471,042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40" w:type="dxa"/>
            <w:vAlign w:val="bottom"/>
          </w:tcPr>
          <w:p>
            <w:pPr>
              <w:spacing w:after="0"/>
              <w:rPr>
                <w:sz w:val="11"/>
                <w:szCs w:val="11"/>
                <w:color w:val="auto"/>
              </w:rPr>
            </w:pPr>
          </w:p>
        </w:tc>
        <w:tc>
          <w:tcPr>
            <w:tcW w:w="21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1180" w:type="dxa"/>
            <w:vAlign w:val="bottom"/>
            <w:gridSpan w:val="2"/>
          </w:tcPr>
          <w:p>
            <w:pPr>
              <w:jc w:val="right"/>
              <w:ind w:right="600"/>
              <w:spacing w:after="0" w:line="135" w:lineRule="exact"/>
              <w:rPr>
                <w:sz w:val="20"/>
                <w:szCs w:val="20"/>
                <w:color w:val="auto"/>
              </w:rPr>
            </w:pPr>
            <w:r>
              <w:rPr>
                <w:rFonts w:ascii="Arial" w:cs="Arial" w:eastAsia="Arial" w:hAnsi="Arial"/>
                <w:sz w:val="12"/>
                <w:szCs w:val="12"/>
                <w:b w:val="1"/>
                <w:bCs w:val="1"/>
                <w:color w:val="auto"/>
              </w:rPr>
              <w:t>Current</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vMerge w:val="continue"/>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Maturity</w:t>
            </w:r>
          </w:p>
        </w:tc>
        <w:tc>
          <w:tcPr>
            <w:tcW w:w="2100" w:type="dxa"/>
            <w:vAlign w:val="bottom"/>
            <w:gridSpan w:val="2"/>
            <w:vMerge w:val="continue"/>
          </w:tcPr>
          <w:p>
            <w:pPr>
              <w:spacing w:after="0"/>
              <w:rPr>
                <w:sz w:val="12"/>
                <w:szCs w:val="12"/>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Coupon</w:t>
            </w: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8"/>
        </w:trPr>
        <w:tc>
          <w:tcPr>
            <w:tcW w:w="56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Investments in Non-Controlled, Affiliated Portfolio Companies—11.0% </w:t>
            </w:r>
            <w:r>
              <w:rPr>
                <w:rFonts w:ascii="Arial" w:cs="Arial" w:eastAsia="Arial" w:hAnsi="Arial"/>
                <w:sz w:val="9"/>
                <w:szCs w:val="9"/>
                <w:b w:val="1"/>
                <w:bCs w:val="1"/>
                <w:color w:val="auto"/>
              </w:rPr>
              <w:t>(1), (2)</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Notes—5.7%</w:t>
            </w: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84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9"/>
              </w:rPr>
              <w:t>11/05/2019</w:t>
            </w:r>
          </w:p>
        </w:tc>
        <w:tc>
          <w:tcPr>
            <w:tcW w:w="210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2"/>
                <w:szCs w:val="12"/>
                <w:color w:val="auto"/>
                <w:w w:val="86"/>
              </w:rPr>
              <w:t>Consumer Products</w:t>
            </w:r>
          </w:p>
        </w:tc>
        <w:tc>
          <w:tcPr>
            <w:tcW w:w="11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12.00%</w:t>
            </w:r>
          </w:p>
        </w:tc>
        <w:tc>
          <w:tcPr>
            <w:tcW w:w="1060" w:type="dxa"/>
            <w:vAlign w:val="bottom"/>
            <w:gridSpan w:val="2"/>
            <w:shd w:val="clear" w:color="auto" w:fill="CCEEFF"/>
          </w:tcPr>
          <w:p>
            <w:pPr>
              <w:ind w:left="6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11,428,224</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11,428,224</w:t>
            </w:r>
          </w:p>
        </w:tc>
        <w:tc>
          <w:tcPr>
            <w:tcW w:w="2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11,428,224</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(PIK 12.00%)</w:t>
            </w: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Service Champ, Inc.</w:t>
            </w:r>
          </w:p>
        </w:tc>
        <w:tc>
          <w:tcPr>
            <w:tcW w:w="840" w:type="dxa"/>
            <w:vAlign w:val="bottom"/>
          </w:tcPr>
          <w:p>
            <w:pPr>
              <w:jc w:val="center"/>
              <w:ind w:right="202"/>
              <w:spacing w:after="0"/>
              <w:rPr>
                <w:sz w:val="20"/>
                <w:szCs w:val="20"/>
                <w:color w:val="auto"/>
              </w:rPr>
            </w:pPr>
            <w:r>
              <w:rPr>
                <w:rFonts w:ascii="Arial" w:cs="Arial" w:eastAsia="Arial" w:hAnsi="Arial"/>
                <w:sz w:val="12"/>
                <w:szCs w:val="12"/>
                <w:color w:val="auto"/>
                <w:w w:val="89"/>
              </w:rPr>
              <w:t>10/02/2017</w:t>
            </w:r>
          </w:p>
        </w:tc>
        <w:tc>
          <w:tcPr>
            <w:tcW w:w="21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Auto Sector</w:t>
            </w:r>
          </w:p>
        </w:tc>
        <w:tc>
          <w:tcPr>
            <w:tcW w:w="1180" w:type="dxa"/>
            <w:vAlign w:val="bottom"/>
            <w:gridSpan w:val="2"/>
          </w:tcPr>
          <w:p>
            <w:pPr>
              <w:jc w:val="right"/>
              <w:ind w:right="320"/>
              <w:spacing w:after="0"/>
              <w:rPr>
                <w:sz w:val="20"/>
                <w:szCs w:val="20"/>
                <w:color w:val="auto"/>
              </w:rPr>
            </w:pPr>
            <w:r>
              <w:rPr>
                <w:rFonts w:ascii="Arial" w:cs="Arial" w:eastAsia="Arial" w:hAnsi="Arial"/>
                <w:sz w:val="12"/>
                <w:szCs w:val="12"/>
                <w:color w:val="auto"/>
              </w:rPr>
              <w:t>12.50%</w:t>
            </w:r>
          </w:p>
        </w:tc>
        <w:tc>
          <w:tcPr>
            <w:tcW w:w="10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28,000,000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27,474,713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28,248,043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38,902,937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39,676,267</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 0.2% </w:t>
            </w:r>
            <w:r>
              <w:rPr>
                <w:rFonts w:ascii="Arial" w:cs="Arial" w:eastAsia="Arial" w:hAnsi="Arial"/>
                <w:sz w:val="9"/>
                <w:szCs w:val="9"/>
                <w:b w:val="1"/>
                <w:bCs w:val="1"/>
                <w:color w:val="auto"/>
              </w:rPr>
              <w:t>(6)</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International Holdings, Inc.</w:t>
            </w:r>
          </w:p>
        </w:tc>
        <w:tc>
          <w:tcPr>
            <w:tcW w:w="840" w:type="dxa"/>
            <w:vAlign w:val="bottom"/>
            <w:shd w:val="clear" w:color="auto" w:fill="CCEEFF"/>
          </w:tcPr>
          <w:p>
            <w:pPr>
              <w:jc w:val="center"/>
              <w:ind w:right="222"/>
              <w:spacing w:after="0" w:line="132" w:lineRule="exact"/>
              <w:rPr>
                <w:sz w:val="20"/>
                <w:szCs w:val="20"/>
                <w:color w:val="auto"/>
              </w:rPr>
            </w:pPr>
            <w:r>
              <w:rPr>
                <w:rFonts w:ascii="Arial" w:cs="Arial" w:eastAsia="Arial" w:hAnsi="Arial"/>
                <w:sz w:val="12"/>
                <w:szCs w:val="12"/>
                <w:color w:val="auto"/>
                <w:w w:val="99"/>
              </w:rPr>
              <w:t>—</w:t>
            </w:r>
          </w:p>
        </w:tc>
        <w:tc>
          <w:tcPr>
            <w:tcW w:w="2100" w:type="dxa"/>
            <w:vAlign w:val="bottom"/>
            <w:gridSpan w:val="2"/>
            <w:shd w:val="clear" w:color="auto" w:fill="CCEEFF"/>
          </w:tcPr>
          <w:p>
            <w:pPr>
              <w:jc w:val="center"/>
              <w:ind w:right="260"/>
              <w:spacing w:after="0" w:line="132" w:lineRule="exact"/>
              <w:rPr>
                <w:sz w:val="20"/>
                <w:szCs w:val="20"/>
                <w:color w:val="auto"/>
              </w:rPr>
            </w:pPr>
            <w:r>
              <w:rPr>
                <w:rFonts w:ascii="Arial" w:cs="Arial" w:eastAsia="Arial" w:hAnsi="Arial"/>
                <w:sz w:val="12"/>
                <w:szCs w:val="12"/>
                <w:color w:val="auto"/>
                <w:w w:val="84"/>
              </w:rPr>
              <w:t>Aerospace and</w:t>
            </w:r>
          </w:p>
        </w:tc>
        <w:tc>
          <w:tcPr>
            <w:tcW w:w="1180" w:type="dxa"/>
            <w:vAlign w:val="bottom"/>
            <w:gridSpan w:val="2"/>
            <w:shd w:val="clear" w:color="auto" w:fill="CCEEFF"/>
          </w:tcPr>
          <w:p>
            <w:pPr>
              <w:jc w:val="right"/>
              <w:ind w:right="420"/>
              <w:spacing w:after="0" w:line="132"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8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53,071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20,059,340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1,694,296</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color w:val="auto"/>
                <w:w w:val="84"/>
              </w:rPr>
              <w:t>Defense</w:t>
            </w: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 xml:space="preserve">Common Equity/Partnership Interest—5.1% </w:t>
            </w:r>
            <w:r>
              <w:rPr>
                <w:rFonts w:ascii="Arial" w:cs="Arial" w:eastAsia="Arial" w:hAnsi="Arial"/>
                <w:sz w:val="9"/>
                <w:szCs w:val="9"/>
                <w:b w:val="1"/>
                <w:bCs w:val="1"/>
                <w:color w:val="auto"/>
              </w:rPr>
              <w:t>(6)</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840" w:type="dxa"/>
            <w:vAlign w:val="bottom"/>
            <w:shd w:val="clear" w:color="auto" w:fill="CCEEFF"/>
          </w:tcPr>
          <w:p>
            <w:pPr>
              <w:jc w:val="center"/>
              <w:ind w:right="222"/>
              <w:spacing w:after="0"/>
              <w:rPr>
                <w:sz w:val="20"/>
                <w:szCs w:val="20"/>
                <w:color w:val="auto"/>
              </w:rPr>
            </w:pPr>
            <w:r>
              <w:rPr>
                <w:rFonts w:ascii="Arial" w:cs="Arial" w:eastAsia="Arial" w:hAnsi="Arial"/>
                <w:sz w:val="12"/>
                <w:szCs w:val="12"/>
                <w:color w:val="auto"/>
                <w:w w:val="99"/>
              </w:rPr>
              <w:t>—</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2"/>
                <w:szCs w:val="12"/>
                <w:color w:val="auto"/>
                <w:w w:val="86"/>
              </w:rPr>
              <w:t>Consumer Products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104,719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21,492,822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5,556,207</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840" w:type="dxa"/>
            <w:vAlign w:val="bottom"/>
          </w:tcPr>
          <w:p>
            <w:pPr>
              <w:jc w:val="center"/>
              <w:ind w:right="202"/>
              <w:spacing w:after="0"/>
              <w:rPr>
                <w:sz w:val="20"/>
                <w:szCs w:val="20"/>
                <w:color w:val="auto"/>
              </w:rPr>
            </w:pPr>
            <w:r>
              <w:rPr>
                <w:rFonts w:ascii="Arial" w:cs="Arial" w:eastAsia="Arial" w:hAnsi="Arial"/>
                <w:sz w:val="12"/>
                <w:szCs w:val="12"/>
                <w:color w:val="auto"/>
                <w:w w:val="89"/>
              </w:rPr>
              <w:t>11/05/2022</w:t>
            </w:r>
          </w:p>
        </w:tc>
        <w:tc>
          <w:tcPr>
            <w:tcW w:w="21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Consumer Products</w:t>
            </w: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15,486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821,505</w:t>
            </w: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Holdings, Inc.</w:t>
            </w:r>
          </w:p>
        </w:tc>
        <w:tc>
          <w:tcPr>
            <w:tcW w:w="840" w:type="dxa"/>
            <w:vAlign w:val="bottom"/>
            <w:shd w:val="clear" w:color="auto" w:fill="CCEEFF"/>
          </w:tcPr>
          <w:p>
            <w:pPr>
              <w:jc w:val="center"/>
              <w:ind w:right="222"/>
              <w:spacing w:after="0"/>
              <w:rPr>
                <w:sz w:val="20"/>
                <w:szCs w:val="20"/>
                <w:color w:val="auto"/>
              </w:rPr>
            </w:pPr>
            <w:r>
              <w:rPr>
                <w:rFonts w:ascii="Arial" w:cs="Arial" w:eastAsia="Arial" w:hAnsi="Arial"/>
                <w:sz w:val="12"/>
                <w:szCs w:val="12"/>
                <w:color w:val="auto"/>
                <w:w w:val="99"/>
              </w:rPr>
              <w:t>—</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2"/>
                <w:szCs w:val="12"/>
                <w:color w:val="auto"/>
                <w:w w:val="88"/>
              </w:rPr>
              <w:t>Environmental Services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142,684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11,891,822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21,265,345</w:t>
            </w: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840" w:type="dxa"/>
            <w:vAlign w:val="bottom"/>
          </w:tcPr>
          <w:p>
            <w:pPr>
              <w:jc w:val="center"/>
              <w:ind w:right="222"/>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gridSpan w:val="2"/>
          </w:tcPr>
          <w:p>
            <w:pPr>
              <w:jc w:val="center"/>
              <w:ind w:right="260"/>
              <w:spacing w:after="0" w:line="129" w:lineRule="exact"/>
              <w:rPr>
                <w:sz w:val="20"/>
                <w:szCs w:val="20"/>
                <w:color w:val="auto"/>
              </w:rPr>
            </w:pPr>
            <w:r>
              <w:rPr>
                <w:rFonts w:ascii="Arial" w:cs="Arial" w:eastAsia="Arial" w:hAnsi="Arial"/>
                <w:sz w:val="12"/>
                <w:szCs w:val="12"/>
                <w:color w:val="auto"/>
                <w:w w:val="88"/>
              </w:rPr>
              <w:t>Leisure, Amusement,</w:t>
            </w:r>
          </w:p>
        </w:tc>
        <w:tc>
          <w:tcPr>
            <w:tcW w:w="1180" w:type="dxa"/>
            <w:vAlign w:val="bottom"/>
            <w:gridSpan w:val="2"/>
          </w:tcPr>
          <w:p>
            <w:pPr>
              <w:jc w:val="right"/>
              <w:ind w:right="420"/>
              <w:spacing w:after="0" w:line="129" w:lineRule="exact"/>
              <w:rPr>
                <w:sz w:val="20"/>
                <w:szCs w:val="20"/>
                <w:color w:val="auto"/>
              </w:rPr>
            </w:pPr>
            <w:r>
              <w:rPr>
                <w:rFonts w:ascii="Arial" w:cs="Arial" w:eastAsia="Arial" w:hAnsi="Arial"/>
                <w:sz w:val="12"/>
                <w:szCs w:val="12"/>
                <w:color w:val="auto"/>
              </w:rPr>
              <w:t>—</w:t>
            </w:r>
          </w:p>
        </w:tc>
        <w:tc>
          <w:tcPr>
            <w:tcW w:w="10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375,000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3,750,000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2,500,165</w:t>
            </w: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Motion Pictures and Entertainment</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New Service Champ Holdings, Inc.</w:t>
            </w:r>
          </w:p>
        </w:tc>
        <w:tc>
          <w:tcPr>
            <w:tcW w:w="840" w:type="dxa"/>
            <w:vAlign w:val="bottom"/>
            <w:shd w:val="clear" w:color="auto" w:fill="CCEEFF"/>
          </w:tcPr>
          <w:p>
            <w:pPr>
              <w:jc w:val="center"/>
              <w:ind w:right="222"/>
              <w:spacing w:after="0" w:line="132" w:lineRule="exact"/>
              <w:rPr>
                <w:sz w:val="20"/>
                <w:szCs w:val="20"/>
                <w:color w:val="auto"/>
              </w:rPr>
            </w:pPr>
            <w:r>
              <w:rPr>
                <w:rFonts w:ascii="Arial" w:cs="Arial" w:eastAsia="Arial" w:hAnsi="Arial"/>
                <w:sz w:val="12"/>
                <w:szCs w:val="12"/>
                <w:color w:val="auto"/>
                <w:w w:val="99"/>
              </w:rPr>
              <w:t>—</w:t>
            </w:r>
          </w:p>
        </w:tc>
        <w:tc>
          <w:tcPr>
            <w:tcW w:w="2100" w:type="dxa"/>
            <w:vAlign w:val="bottom"/>
            <w:gridSpan w:val="2"/>
            <w:shd w:val="clear" w:color="auto" w:fill="CCEEFF"/>
          </w:tcPr>
          <w:p>
            <w:pPr>
              <w:jc w:val="center"/>
              <w:ind w:right="260"/>
              <w:spacing w:after="0" w:line="132" w:lineRule="exact"/>
              <w:rPr>
                <w:sz w:val="20"/>
                <w:szCs w:val="20"/>
                <w:color w:val="auto"/>
              </w:rPr>
            </w:pPr>
            <w:r>
              <w:rPr>
                <w:rFonts w:ascii="Arial" w:cs="Arial" w:eastAsia="Arial" w:hAnsi="Arial"/>
                <w:sz w:val="12"/>
                <w:szCs w:val="12"/>
                <w:color w:val="auto"/>
                <w:w w:val="89"/>
              </w:rPr>
              <w:t>Auto Sector</w:t>
            </w:r>
          </w:p>
        </w:tc>
        <w:tc>
          <w:tcPr>
            <w:tcW w:w="1180" w:type="dxa"/>
            <w:vAlign w:val="bottom"/>
            <w:gridSpan w:val="2"/>
            <w:shd w:val="clear" w:color="auto" w:fill="CCEEFF"/>
          </w:tcPr>
          <w:p>
            <w:pPr>
              <w:jc w:val="right"/>
              <w:ind w:right="420"/>
              <w:spacing w:after="0" w:line="132"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8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16,800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2,721,600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5,222,015</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Champ, Inc.)</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840" w:type="dxa"/>
            <w:vAlign w:val="bottom"/>
          </w:tcPr>
          <w:p>
            <w:pPr>
              <w:jc w:val="center"/>
              <w:ind w:right="222"/>
              <w:spacing w:after="0"/>
              <w:rPr>
                <w:sz w:val="20"/>
                <w:szCs w:val="20"/>
                <w:color w:val="auto"/>
              </w:rPr>
            </w:pPr>
            <w:r>
              <w:rPr>
                <w:rFonts w:ascii="Arial" w:cs="Arial" w:eastAsia="Arial" w:hAnsi="Arial"/>
                <w:sz w:val="12"/>
                <w:szCs w:val="12"/>
                <w:color w:val="auto"/>
                <w:w w:val="99"/>
              </w:rPr>
              <w:t>—</w:t>
            </w:r>
          </w:p>
        </w:tc>
        <w:tc>
          <w:tcPr>
            <w:tcW w:w="21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53,071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202,620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40,058,864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35,365,237</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Total Investments in Non-Controlled, Affiliated Portfolio Companies</w:t>
            </w: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0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99,021,141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76,735,800</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2"/>
              </w:rPr>
              <w:t xml:space="preserve">Investments in Controlled, Affiliated Portfolio Companies—4.7% </w:t>
            </w:r>
            <w:r>
              <w:rPr>
                <w:rFonts w:ascii="Arial" w:cs="Arial" w:eastAsia="Arial" w:hAnsi="Arial"/>
                <w:sz w:val="9"/>
                <w:szCs w:val="9"/>
                <w:b w:val="1"/>
                <w:bCs w:val="1"/>
                <w:color w:val="auto"/>
                <w:w w:val="92"/>
              </w:rPr>
              <w:t>(1), (2)</w:t>
            </w: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Debt—1.6%</w:t>
            </w: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4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06/30/2020</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9,250,000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9,556,385</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840" w:type="dxa"/>
            <w:vAlign w:val="bottom"/>
          </w:tcPr>
          <w:p>
            <w:pPr>
              <w:jc w:val="center"/>
              <w:ind w:right="202"/>
              <w:spacing w:after="0"/>
              <w:rPr>
                <w:sz w:val="20"/>
                <w:szCs w:val="20"/>
                <w:color w:val="auto"/>
              </w:rPr>
            </w:pPr>
            <w:r>
              <w:rPr>
                <w:rFonts w:ascii="Arial" w:cs="Arial" w:eastAsia="Arial" w:hAnsi="Arial"/>
                <w:sz w:val="12"/>
                <w:szCs w:val="12"/>
                <w:color w:val="auto"/>
                <w:w w:val="89"/>
              </w:rPr>
              <w:t>12/31/2015</w:t>
            </w:r>
          </w:p>
        </w:tc>
        <w:tc>
          <w:tcPr>
            <w:tcW w:w="21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Oil and Gas</w:t>
            </w:r>
          </w:p>
        </w:tc>
        <w:tc>
          <w:tcPr>
            <w:tcW w:w="11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1,916,667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1,787,941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1,916,667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11,037,941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11,473,052</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Second Lien Secured Debt—2.4%</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Universal Pegasus International, LLC</w:t>
            </w:r>
          </w:p>
        </w:tc>
        <w:tc>
          <w:tcPr>
            <w:tcW w:w="840" w:type="dxa"/>
            <w:vAlign w:val="bottom"/>
            <w:shd w:val="clear" w:color="auto" w:fill="CCEEFF"/>
          </w:tcPr>
          <w:p>
            <w:pPr>
              <w:jc w:val="center"/>
              <w:ind w:right="202"/>
              <w:spacing w:after="0" w:line="132" w:lineRule="exact"/>
              <w:rPr>
                <w:sz w:val="20"/>
                <w:szCs w:val="20"/>
                <w:color w:val="auto"/>
              </w:rPr>
            </w:pPr>
            <w:r>
              <w:rPr>
                <w:rFonts w:ascii="Arial" w:cs="Arial" w:eastAsia="Arial" w:hAnsi="Arial"/>
                <w:sz w:val="12"/>
                <w:szCs w:val="12"/>
                <w:color w:val="auto"/>
                <w:w w:val="89"/>
              </w:rPr>
              <w:t>12/31/2015</w:t>
            </w:r>
          </w:p>
        </w:tc>
        <w:tc>
          <w:tcPr>
            <w:tcW w:w="2100" w:type="dxa"/>
            <w:vAlign w:val="bottom"/>
            <w:gridSpan w:val="2"/>
            <w:shd w:val="clear" w:color="auto" w:fill="CCEEFF"/>
          </w:tcPr>
          <w:p>
            <w:pPr>
              <w:jc w:val="center"/>
              <w:ind w:right="260"/>
              <w:spacing w:after="0" w:line="132" w:lineRule="exact"/>
              <w:rPr>
                <w:sz w:val="20"/>
                <w:szCs w:val="20"/>
                <w:color w:val="auto"/>
              </w:rPr>
            </w:pPr>
            <w:r>
              <w:rPr>
                <w:rFonts w:ascii="Arial" w:cs="Arial" w:eastAsia="Arial" w:hAnsi="Arial"/>
                <w:sz w:val="12"/>
                <w:szCs w:val="12"/>
                <w:color w:val="auto"/>
                <w:w w:val="88"/>
              </w:rPr>
              <w:t>Oil and Gas</w:t>
            </w:r>
          </w:p>
        </w:tc>
        <w:tc>
          <w:tcPr>
            <w:tcW w:w="118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15.00%</w:t>
            </w:r>
          </w:p>
        </w:tc>
        <w:tc>
          <w:tcPr>
            <w:tcW w:w="1060" w:type="dxa"/>
            <w:vAlign w:val="bottom"/>
            <w:gridSpan w:val="2"/>
            <w:shd w:val="clear" w:color="auto" w:fill="CCEEFF"/>
          </w:tcPr>
          <w:p>
            <w:pPr>
              <w:ind w:left="68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16,615,645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14,709,502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16,449,489</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(PIK 15.00%)</w:t>
            </w: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4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9"/>
              </w:rPr>
              <w:t>06/30/2020</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2,250,000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2,250,000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1,961,667</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(6)</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40" w:type="dxa"/>
            <w:vAlign w:val="bottom"/>
            <w:shd w:val="clear" w:color="auto" w:fill="CCEEFF"/>
          </w:tcPr>
          <w:p>
            <w:pPr>
              <w:jc w:val="center"/>
              <w:ind w:right="222"/>
              <w:spacing w:after="0"/>
              <w:rPr>
                <w:sz w:val="20"/>
                <w:szCs w:val="20"/>
                <w:color w:val="auto"/>
              </w:rPr>
            </w:pPr>
            <w:r>
              <w:rPr>
                <w:rFonts w:ascii="Arial" w:cs="Arial" w:eastAsia="Arial" w:hAnsi="Arial"/>
                <w:sz w:val="12"/>
                <w:szCs w:val="12"/>
                <w:color w:val="auto"/>
                <w:w w:val="99"/>
              </w:rPr>
              <w:t>—</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14.00%</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1,981,948</w:t>
            </w: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840" w:type="dxa"/>
            <w:vAlign w:val="bottom"/>
          </w:tcPr>
          <w:p>
            <w:pPr>
              <w:jc w:val="center"/>
              <w:ind w:right="222"/>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gridSpan w:val="2"/>
          </w:tcPr>
          <w:p>
            <w:pPr>
              <w:jc w:val="center"/>
              <w:ind w:right="260"/>
              <w:spacing w:after="0" w:line="129" w:lineRule="exact"/>
              <w:rPr>
                <w:sz w:val="20"/>
                <w:szCs w:val="20"/>
                <w:color w:val="auto"/>
              </w:rPr>
            </w:pPr>
            <w:r>
              <w:rPr>
                <w:rFonts w:ascii="Arial" w:cs="Arial" w:eastAsia="Arial" w:hAnsi="Arial"/>
                <w:sz w:val="12"/>
                <w:szCs w:val="12"/>
                <w:color w:val="auto"/>
                <w:w w:val="88"/>
              </w:rPr>
              <w:t>Oil and Gas</w:t>
            </w:r>
          </w:p>
        </w:tc>
        <w:tc>
          <w:tcPr>
            <w:tcW w:w="11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8.00%</w:t>
            </w:r>
          </w:p>
        </w:tc>
        <w:tc>
          <w:tcPr>
            <w:tcW w:w="1060" w:type="dxa"/>
            <w:vAlign w:val="bottom"/>
            <w:gridSpan w:val="2"/>
          </w:tcPr>
          <w:p>
            <w:pPr>
              <w:ind w:left="6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376,988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34,420,612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1,102,555</w:t>
            </w:r>
          </w:p>
        </w:tc>
        <w:tc>
          <w:tcPr>
            <w:tcW w:w="0" w:type="dxa"/>
            <w:vAlign w:val="bottom"/>
          </w:tcPr>
          <w:p>
            <w:pPr>
              <w:spacing w:after="0"/>
              <w:rPr>
                <w:sz w:val="1"/>
                <w:szCs w:val="1"/>
                <w:color w:val="auto"/>
              </w:rPr>
            </w:pPr>
          </w:p>
        </w:tc>
      </w:tr>
      <w:tr>
        <w:trPr>
          <w:trHeight w:val="148"/>
        </w:trPr>
        <w:tc>
          <w:tcPr>
            <w:tcW w:w="2860" w:type="dxa"/>
            <w:vAlign w:val="bottom"/>
          </w:tcPr>
          <w:p>
            <w:pPr>
              <w:ind w:left="120"/>
              <w:spacing w:after="0"/>
              <w:rPr>
                <w:sz w:val="20"/>
                <w:szCs w:val="20"/>
                <w:color w:val="auto"/>
              </w:rPr>
            </w:pPr>
            <w:r>
              <w:rPr>
                <w:rFonts w:ascii="Arial" w:cs="Arial" w:eastAsia="Arial" w:hAnsi="Arial"/>
                <w:sz w:val="12"/>
                <w:szCs w:val="12"/>
                <w:color w:val="auto"/>
              </w:rPr>
              <w:t>(Universal Pegasus International, LLC)</w:t>
            </w: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36,420,612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3,084,503</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9"/>
                <w:szCs w:val="9"/>
                <w:color w:val="auto"/>
              </w:rPr>
              <w:t>(6)</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40" w:type="dxa"/>
            <w:vAlign w:val="bottom"/>
            <w:shd w:val="clear" w:color="auto" w:fill="CCEEFF"/>
          </w:tcPr>
          <w:p>
            <w:pPr>
              <w:jc w:val="center"/>
              <w:ind w:right="222"/>
              <w:spacing w:after="0"/>
              <w:rPr>
                <w:sz w:val="20"/>
                <w:szCs w:val="20"/>
                <w:color w:val="auto"/>
              </w:rPr>
            </w:pPr>
            <w:r>
              <w:rPr>
                <w:rFonts w:ascii="Arial" w:cs="Arial" w:eastAsia="Arial" w:hAnsi="Arial"/>
                <w:sz w:val="12"/>
                <w:szCs w:val="12"/>
                <w:color w:val="auto"/>
                <w:w w:val="99"/>
              </w:rPr>
              <w:t>—</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00" w:type="dxa"/>
            <w:vAlign w:val="bottom"/>
            <w:gridSpan w:val="2"/>
            <w:vMerge w:val="continue"/>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64,418,155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32,968,711</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Investments—154.6%</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1,091,517,885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1,078,175,553</w:t>
            </w:r>
          </w:p>
        </w:tc>
        <w:tc>
          <w:tcPr>
            <w:tcW w:w="0" w:type="dxa"/>
            <w:vAlign w:val="bottom"/>
          </w:tcPr>
          <w:p>
            <w:pPr>
              <w:spacing w:after="0"/>
              <w:rPr>
                <w:sz w:val="1"/>
                <w:szCs w:val="1"/>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b w:val="1"/>
                <w:bCs w:val="1"/>
                <w:color w:val="auto"/>
              </w:rPr>
              <w:t>Cash and Cash Equivalents—8.4%</w:t>
            </w: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8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2,667,511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2,667,511</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w w:val="89"/>
              </w:rPr>
              <w:t>BlackRock Liquidity Funds, Temp Cash, Institutional Shares</w:t>
            </w: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2,446,232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2,446,232</w:t>
            </w: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53,327,086</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Total Cash Equivalents</w:t>
            </w: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8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58,440,829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58,440,829</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Equivalents—163.0%</w:t>
            </w:r>
          </w:p>
        </w:tc>
        <w:tc>
          <w:tcPr>
            <w:tcW w:w="8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1,149,958,714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1,136,616,382</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Assets—(63.0%)</w:t>
            </w: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(439,110,183)</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8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697,506,199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76" w:lineRule="exact"/>
        <w:rPr>
          <w:sz w:val="20"/>
          <w:szCs w:val="20"/>
          <w:color w:val="auto"/>
        </w:rPr>
      </w:pPr>
    </w:p>
    <w:p>
      <w:pPr>
        <w:ind w:left="34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80"/>
          </w:cols>
          <w:pgMar w:left="32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certain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9"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10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2025 Notes during the reporting period, including any reversal of previously recorded unrealized appreciation or depreciation, when gains or losses are realized.</w:t>
      </w:r>
    </w:p>
    <w:p>
      <w:pPr>
        <w:spacing w:after="0" w:line="67"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28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on our income as a RIC, we may elect to retain a portion of our calendar year income. As a result, for both the three and nine months ended June 30, 2014, we accrued estimated taxes of less than $0.1 million. For the three and nine months ended June 30, 2013, we accrued a tax expense (benefit) of less than $0.1 million and $(0.1) million, respectively.</w:t>
      </w:r>
    </w:p>
    <w:p>
      <w:pPr>
        <w:spacing w:after="0" w:line="77"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77"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0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940" w:hanging="146"/>
        <w:spacing w:after="0"/>
        <w:tabs>
          <w:tab w:leader="none" w:pos="9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940" w:hanging="146"/>
        <w:spacing w:after="0"/>
        <w:tabs>
          <w:tab w:leader="none" w:pos="9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180"/>
          </w:cols>
          <w:pgMar w:left="32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136"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In June 2013, the Financial Accounting Standards Board (“FASB”) issued Accounting Standards Update 2013-08, Financial Services — 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6" w:lineRule="exact"/>
        <w:rPr>
          <w:sz w:val="20"/>
          <w:szCs w:val="20"/>
          <w:color w:val="auto"/>
        </w:rPr>
      </w:pPr>
    </w:p>
    <w:p>
      <w:pPr>
        <w:ind w:right="40" w:firstLine="562"/>
        <w:spacing w:after="0" w:line="227" w:lineRule="auto"/>
        <w:rPr>
          <w:sz w:val="20"/>
          <w:szCs w:val="20"/>
          <w:color w:val="auto"/>
        </w:rPr>
      </w:pPr>
      <w:r>
        <w:rPr>
          <w:rFonts w:ascii="Arial" w:cs="Arial" w:eastAsia="Arial" w:hAnsi="Arial"/>
          <w:sz w:val="14"/>
          <w:szCs w:val="14"/>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2014, the Investment Adviser earned base management fees of $6.1 million and $17.9 million, respectively, from us. For the three and nine months ended June 30, 2013, the Investment Adviser earned base management fees of $5.4 million and $15.9 million, respectively, from us.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on investments,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nine months ended June 30, 2014, the Investment Adviser earned an incentive fee on net investment income as calculated under the Investment Management Agreement of $3.7 million and $13.2 million, respectively, from us. For the three and nine months ended June 30, 2013, the Investment Adviser earned an incentive fee on net investment income as calculated under the Investment Management Agreement of $4.4 million and $12.5 million, respectively, from us.</w:t>
      </w:r>
    </w:p>
    <w:p>
      <w:pPr>
        <w:spacing w:after="0" w:line="74"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on investments,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2014 and 2013, the Investment Adviser did not earn an incentive fee on capital gains as calculated under the Investment Management Agreement (as described above).</w:t>
      </w:r>
    </w:p>
    <w:p>
      <w:pPr>
        <w:spacing w:after="0" w:line="67"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months ended June 30, 2014, the Investment Adviser accrued an incentive fee on unrealized and realized capital gains as calculated under GAAP of $1.7 million. For each of the three and nine months ended June 30, 2013, the Investment Adviser did not accrue an incentive fee on capital gains as calculated under GAAP.</w:t>
      </w:r>
    </w:p>
    <w:p>
      <w:pPr>
        <w:spacing w:after="0" w:line="80" w:lineRule="exact"/>
        <w:rPr>
          <w:sz w:val="20"/>
          <w:szCs w:val="20"/>
          <w:color w:val="auto"/>
        </w:rPr>
      </w:pPr>
    </w:p>
    <w:p>
      <w:pPr>
        <w:ind w:right="80"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2014, PennantPark Investment was reimbursed $0.1 million and $0.4 million, respectively, for the services described above. For the three and nine months ended June 30, 2013, PennantPark Investment was reimbursed $0.1 million and $0.3 million, respectively, for the services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160" w:firstLine="562"/>
        <w:spacing w:after="0" w:line="264" w:lineRule="auto"/>
        <w:rPr>
          <w:sz w:val="20"/>
          <w:szCs w:val="20"/>
          <w:color w:val="auto"/>
        </w:rPr>
      </w:pPr>
      <w:r>
        <w:rPr>
          <w:rFonts w:ascii="Arial" w:cs="Arial" w:eastAsia="Arial" w:hAnsi="Arial"/>
          <w:sz w:val="13"/>
          <w:szCs w:val="13"/>
          <w:color w:val="auto"/>
        </w:rPr>
        <w:t>Purchases of investments, including PIK, for the three and nine months ended June 30, 2014 totaled $193.7 million and $568.4 million, respectively. For the same periods in the prior year, purchases of investments, including PIK, totaled $76.6 million and $326.8 million, respectively. Sales and repayments of investments for the three and nine months ended June 30, 2014 totaled $273.6 million and $534.4 million, respectively. For the same periods in the prior year, sales and repayments of investments totaled $117.8 million and $271.2 million, respectively.</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right"/>
              <w:ind w:right="689"/>
              <w:spacing w:after="0"/>
              <w:rPr>
                <w:sz w:val="20"/>
                <w:szCs w:val="20"/>
                <w:color w:val="auto"/>
              </w:rPr>
            </w:pPr>
            <w:r>
              <w:rPr>
                <w:rFonts w:ascii="Arial" w:cs="Arial" w:eastAsia="Arial" w:hAnsi="Arial"/>
                <w:sz w:val="13"/>
                <w:szCs w:val="13"/>
                <w:b w:val="1"/>
                <w:bCs w:val="1"/>
                <w:color w:val="auto"/>
              </w:rPr>
              <w:t>June 30, 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5"/>
          </w:tcPr>
          <w:p>
            <w:pPr>
              <w:ind w:left="480"/>
              <w:spacing w:after="0"/>
              <w:rPr>
                <w:sz w:val="20"/>
                <w:szCs w:val="20"/>
                <w:color w:val="auto"/>
              </w:rPr>
            </w:pPr>
            <w:r>
              <w:rPr>
                <w:rFonts w:ascii="Arial" w:cs="Arial" w:eastAsia="Arial" w:hAnsi="Arial"/>
                <w:sz w:val="13"/>
                <w:szCs w:val="13"/>
                <w:b w:val="1"/>
                <w:bCs w:val="1"/>
                <w:color w:val="auto"/>
              </w:rPr>
              <w:t>September 30, 2013</w:t>
            </w:r>
          </w:p>
        </w:tc>
      </w:tr>
      <w:tr>
        <w:trPr>
          <w:trHeight w:val="142"/>
        </w:trPr>
        <w:tc>
          <w:tcPr>
            <w:tcW w:w="20" w:type="dxa"/>
            <w:vAlign w:val="bottom"/>
          </w:tcPr>
          <w:p>
            <w:pPr>
              <w:spacing w:after="0"/>
              <w:rPr>
                <w:sz w:val="12"/>
                <w:szCs w:val="12"/>
                <w:color w:val="auto"/>
              </w:rPr>
            </w:pPr>
          </w:p>
        </w:tc>
        <w:tc>
          <w:tcPr>
            <w:tcW w:w="392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 Classification</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270"/>
              <w:spacing w:after="0" w:line="142" w:lineRule="exact"/>
              <w:rPr>
                <w:sz w:val="20"/>
                <w:szCs w:val="20"/>
                <w:color w:val="auto"/>
              </w:rPr>
            </w:pPr>
            <w:r>
              <w:rPr>
                <w:rFonts w:ascii="Arial" w:cs="Arial" w:eastAsia="Arial" w:hAnsi="Arial"/>
                <w:sz w:val="13"/>
                <w:szCs w:val="13"/>
                <w:b w:val="1"/>
                <w:bCs w:val="1"/>
                <w:color w:val="auto"/>
              </w:rPr>
              <w:t>Cost</w:t>
            </w: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129"/>
              <w:spacing w:after="0" w:line="142" w:lineRule="exact"/>
              <w:rPr>
                <w:sz w:val="20"/>
                <w:szCs w:val="20"/>
                <w:color w:val="auto"/>
              </w:rPr>
            </w:pPr>
            <w:r>
              <w:rPr>
                <w:rFonts w:ascii="Arial" w:cs="Arial" w:eastAsia="Arial" w:hAnsi="Arial"/>
                <w:sz w:val="13"/>
                <w:szCs w:val="13"/>
                <w:b w:val="1"/>
                <w:bCs w:val="1"/>
                <w:color w:val="auto"/>
              </w:rPr>
              <w:t>Fair Value</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270"/>
              <w:spacing w:after="0" w:line="142" w:lineRule="exact"/>
              <w:rPr>
                <w:sz w:val="20"/>
                <w:szCs w:val="20"/>
                <w:color w:val="auto"/>
              </w:rPr>
            </w:pPr>
            <w:r>
              <w:rPr>
                <w:rFonts w:ascii="Arial" w:cs="Arial" w:eastAsia="Arial" w:hAnsi="Arial"/>
                <w:sz w:val="13"/>
                <w:szCs w:val="13"/>
                <w:b w:val="1"/>
                <w:bCs w:val="1"/>
                <w:color w:val="auto"/>
              </w:rPr>
              <w:t>Cost</w:t>
            </w: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129"/>
              <w:spacing w:after="0" w:line="142" w:lineRule="exact"/>
              <w:rPr>
                <w:sz w:val="20"/>
                <w:szCs w:val="20"/>
                <w:color w:val="auto"/>
              </w:rPr>
            </w:pPr>
            <w:r>
              <w:rPr>
                <w:rFonts w:ascii="Arial" w:cs="Arial" w:eastAsia="Arial" w:hAnsi="Arial"/>
                <w:sz w:val="13"/>
                <w:szCs w:val="13"/>
                <w:b w:val="1"/>
                <w:bCs w:val="1"/>
                <w:color w:val="auto"/>
              </w:rPr>
              <w:t>Fair Value</w:t>
            </w: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line="142"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297,962,276</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310,190,839</w:t>
            </w:r>
          </w:p>
        </w:tc>
        <w:tc>
          <w:tcPr>
            <w:tcW w:w="2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290,000,430</w:t>
            </w:r>
          </w:p>
        </w:tc>
        <w:tc>
          <w:tcPr>
            <w:tcW w:w="2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299,516,291</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475,288,084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486,110,731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346,717,448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357,543,217</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276,156,571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282,432,876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311,240,637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302,447,308</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equity and partnership interests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35,018,951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15,807,778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65,943,244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12,830,669</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Common equity and partnership interests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89,994,935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103,865,331</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77,616,126</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105,838,068</w:t>
            </w:r>
          </w:p>
        </w:tc>
        <w:tc>
          <w:tcPr>
            <w:tcW w:w="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1,174,420,817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1,198,407,555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1,091,517,885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1,078,175,553</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64,349,609</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64,390,787</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1,238,770,426</w:t>
            </w:r>
          </w:p>
        </w:tc>
        <w:tc>
          <w:tcPr>
            <w:tcW w:w="3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1,262,798,342</w:t>
            </w:r>
          </w:p>
        </w:tc>
        <w:tc>
          <w:tcPr>
            <w:tcW w:w="3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1,149,958,714</w:t>
            </w:r>
          </w:p>
        </w:tc>
        <w:tc>
          <w:tcPr>
            <w:tcW w:w="3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1,136,616,382</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41" w:lineRule="exact"/>
        <w:rPr>
          <w:sz w:val="20"/>
          <w:szCs w:val="20"/>
          <w:color w:val="auto"/>
        </w:rPr>
      </w:pPr>
    </w:p>
    <w:tbl>
      <w:tblPr>
        <w:tblLayout w:type="fixed"/>
        <w:tblInd w:w="1820" w:type="dxa"/>
        <w:tblCellMar>
          <w:top w:w="0" w:type="dxa"/>
          <w:left w:w="0" w:type="dxa"/>
          <w:bottom w:w="0" w:type="dxa"/>
          <w:right w:w="0" w:type="dxa"/>
        </w:tblCellMar>
      </w:tblPr>
      <w:tr>
        <w:trPr>
          <w:trHeight w:val="167"/>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June 30, 2014</w:t>
            </w:r>
          </w:p>
        </w:tc>
        <w:tc>
          <w:tcPr>
            <w:tcW w:w="2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Consumer Products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w:t>
            </w:r>
          </w:p>
        </w:tc>
        <w:tc>
          <w:tcPr>
            <w:tcW w:w="1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Buildings Materials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Publishing</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and Real Estate</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Insurance</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Diversified Natural Resources, Precious Metals and Minerals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340" w:type="dxa"/>
            <w:vAlign w:val="bottom"/>
            <w:gridSpan w:val="2"/>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1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0" w:type="dxa"/>
            <w:vAlign w:val="bottom"/>
            <w:vMerge w:val="restart"/>
          </w:tcPr>
          <w:p>
            <w:pPr>
              <w:jc w:val="right"/>
              <w:ind w:right="86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6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580" w:right="740" w:hanging="1002"/>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23" w:lineRule="exact"/>
        <w:rPr>
          <w:sz w:val="20"/>
          <w:szCs w:val="20"/>
          <w:color w:val="auto"/>
        </w:rPr>
      </w:pPr>
    </w:p>
    <w:p>
      <w:pPr>
        <w:ind w:left="1580" w:right="740" w:hanging="1002"/>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47"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77"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2014, our ability to observe valuation inputs has resulted in no reclassification of assets between any levels. This compares to the nine months ended June 30, 2013, which resulted in the reclassification of one asset from Level 3 to 2 and no other transfers between levels.</w:t>
      </w:r>
    </w:p>
    <w:p>
      <w:pPr>
        <w:spacing w:after="0" w:line="67"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80" w:firstLine="562"/>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Fair Value at</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June 30, 2014</w:t>
            </w: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Valuation Technique</w:t>
            </w:r>
          </w:p>
        </w:tc>
        <w:tc>
          <w:tcPr>
            <w:tcW w:w="1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Unobservable Input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379,984,051</w:t>
            </w:r>
          </w:p>
        </w:tc>
        <w:tc>
          <w:tcPr>
            <w:tcW w:w="1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650,956,240</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Market Comparable</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7.4% – 21.4% (13.1%)</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12,912,799</w:t>
            </w:r>
          </w:p>
        </w:tc>
        <w:tc>
          <w:tcPr>
            <w:tcW w:w="15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Market Comparable</w:t>
            </w:r>
          </w:p>
        </w:tc>
        <w:tc>
          <w:tcPr>
            <w:tcW w:w="15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50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106,482,931</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Enterprise Market Value</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3.8x – 13.0x (8.5x)</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1,150,336,021</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2"/>
              </w:rPr>
              <w:t>Market Comparable</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257,187,292</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Fair Value at</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September 30, 2013</w:t>
            </w: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Valuation Technique</w:t>
            </w:r>
          </w:p>
        </w:tc>
        <w:tc>
          <w:tcPr>
            <w:tcW w:w="1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Unobservable Input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448,842,468</w:t>
            </w:r>
          </w:p>
        </w:tc>
        <w:tc>
          <w:tcPr>
            <w:tcW w:w="1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466,571,947</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Market Comparable</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9.5% – 21.5% (13.5%)</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110,923,751</w:t>
            </w:r>
          </w:p>
        </w:tc>
        <w:tc>
          <w:tcPr>
            <w:tcW w:w="15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Enterprise Market Value</w:t>
            </w:r>
          </w:p>
        </w:tc>
        <w:tc>
          <w:tcPr>
            <w:tcW w:w="15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6.0x – 15.0x (9.0x)</w:t>
            </w:r>
          </w:p>
        </w:tc>
        <w:tc>
          <w:tcPr>
            <w:tcW w:w="0" w:type="dxa"/>
            <w:vAlign w:val="bottom"/>
          </w:tcPr>
          <w:p>
            <w:pPr>
              <w:spacing w:after="0"/>
              <w:rPr>
                <w:sz w:val="1"/>
                <w:szCs w:val="1"/>
                <w:color w:val="auto"/>
              </w:rPr>
            </w:pPr>
          </w:p>
        </w:tc>
      </w:tr>
      <w:tr>
        <w:trPr>
          <w:trHeight w:val="156"/>
        </w:trPr>
        <w:tc>
          <w:tcPr>
            <w:tcW w:w="5000" w:type="dxa"/>
            <w:vAlign w:val="bottom"/>
          </w:tcPr>
          <w:p>
            <w:pPr>
              <w:ind w:left="36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1,026,338,166</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240" w:type="dxa"/>
            <w:vAlign w:val="bottom"/>
            <w:gridSpan w:val="2"/>
            <w:shd w:val="clear" w:color="auto" w:fill="CCEEFF"/>
          </w:tcPr>
          <w:p>
            <w:pPr>
              <w:jc w:val="right"/>
              <w:ind w:right="26"/>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117,500,000</w:t>
            </w:r>
          </w:p>
        </w:tc>
        <w:tc>
          <w:tcPr>
            <w:tcW w:w="1500" w:type="dxa"/>
            <w:vAlign w:val="bottom"/>
            <w:gridSpan w:val="2"/>
            <w:shd w:val="clear" w:color="auto" w:fill="CCEEFF"/>
          </w:tcPr>
          <w:p>
            <w:pPr>
              <w:jc w:val="center"/>
              <w:ind w:right="80"/>
              <w:spacing w:after="0" w:line="143" w:lineRule="exact"/>
              <w:rPr>
                <w:sz w:val="20"/>
                <w:szCs w:val="20"/>
                <w:color w:val="auto"/>
              </w:rPr>
            </w:pPr>
            <w:r>
              <w:rPr>
                <w:rFonts w:ascii="Arial" w:cs="Arial" w:eastAsia="Arial" w:hAnsi="Arial"/>
                <w:sz w:val="14"/>
                <w:szCs w:val="14"/>
                <w:color w:val="auto"/>
                <w:w w:val="92"/>
              </w:rPr>
              <w:t>Market Comparable</w:t>
            </w:r>
          </w:p>
        </w:tc>
        <w:tc>
          <w:tcPr>
            <w:tcW w:w="1560" w:type="dxa"/>
            <w:vAlign w:val="bottom"/>
            <w:gridSpan w:val="2"/>
            <w:shd w:val="clear" w:color="auto" w:fill="CCEEFF"/>
          </w:tcPr>
          <w:p>
            <w:pPr>
              <w:jc w:val="center"/>
              <w:ind w:right="80"/>
              <w:spacing w:after="0" w:line="143" w:lineRule="exact"/>
              <w:rPr>
                <w:sz w:val="20"/>
                <w:szCs w:val="20"/>
                <w:color w:val="auto"/>
              </w:rPr>
            </w:pPr>
            <w:r>
              <w:rPr>
                <w:rFonts w:ascii="Arial" w:cs="Arial" w:eastAsia="Arial" w:hAnsi="Arial"/>
                <w:sz w:val="14"/>
                <w:szCs w:val="14"/>
                <w:color w:val="auto"/>
                <w:w w:val="97"/>
              </w:rPr>
              <w:t>Market Yield</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cash and cash equivalents, investments, the 2025 Notes and Credit Facility were categorized as follows in the fair value hierarchy for ASC 820 purposes: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rPr>
              <w:t>Fair Value at June 30, 2014</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2"/>
                <w:szCs w:val="12"/>
                <w:color w:val="auto"/>
              </w:rPr>
            </w:pPr>
          </w:p>
        </w:tc>
        <w:tc>
          <w:tcPr>
            <w:tcW w:w="860" w:type="dxa"/>
            <w:vAlign w:val="bottom"/>
          </w:tcPr>
          <w:p>
            <w:pPr>
              <w:jc w:val="right"/>
              <w:ind w:right="209"/>
              <w:spacing w:after="0" w:line="142"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1,078,734,446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47,794,155</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1,030,940,291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119,673,109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277,379</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119,395,730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1,198,407,555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48,071,534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1,150,336,021</w:t>
            </w: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64,390,787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64,390,787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34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1,262,798,342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64,390,787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48,071,534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1,150,336,021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257,187,292</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257,187,292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72,532,500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72,532,500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860" w:type="dxa"/>
            <w:vAlign w:val="bottom"/>
          </w:tcPr>
          <w:p>
            <w:pPr>
              <w:ind w:left="360"/>
              <w:spacing w:after="0" w:line="155" w:lineRule="exact"/>
              <w:rPr>
                <w:sz w:val="20"/>
                <w:szCs w:val="20"/>
                <w:color w:val="auto"/>
              </w:rPr>
            </w:pPr>
            <w:r>
              <w:rPr>
                <w:rFonts w:ascii="Arial" w:cs="Arial" w:eastAsia="Arial" w:hAnsi="Arial"/>
                <w:sz w:val="14"/>
                <w:szCs w:val="14"/>
                <w:color w:val="auto"/>
              </w:rPr>
              <w:t>Total debt</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329,719,792</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72,532,500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257,187,292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6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3"/>
                <w:szCs w:val="13"/>
                <w:b w:val="1"/>
                <w:bCs w:val="1"/>
                <w:color w:val="auto"/>
                <w:w w:val="86"/>
              </w:rPr>
              <w:t>Fair Value at September 30, 2013</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2"/>
                <w:szCs w:val="12"/>
                <w:color w:val="auto"/>
              </w:rPr>
            </w:pPr>
          </w:p>
        </w:tc>
        <w:tc>
          <w:tcPr>
            <w:tcW w:w="860" w:type="dxa"/>
            <w:vAlign w:val="bottom"/>
          </w:tcPr>
          <w:p>
            <w:pPr>
              <w:jc w:val="right"/>
              <w:ind w:right="209"/>
              <w:spacing w:after="0" w:line="142"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959,506,815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44,092,400</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118,668,738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7,539,320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205,667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110,923,751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1,078,175,553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7,539,320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44,298,067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1,026,338,166</w:t>
            </w: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34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1,136,616,382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65,980,149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44,298,067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1,026,338,166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Long-Term Credit Facility (excluding temporary draws of $28,000,000)</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117,500,000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117,500,000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68,400,000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68,400,000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860" w:type="dxa"/>
            <w:vAlign w:val="bottom"/>
          </w:tcPr>
          <w:p>
            <w:pPr>
              <w:ind w:left="360"/>
              <w:spacing w:after="0" w:line="155" w:lineRule="exact"/>
              <w:rPr>
                <w:sz w:val="20"/>
                <w:szCs w:val="20"/>
                <w:color w:val="auto"/>
              </w:rPr>
            </w:pPr>
            <w:r>
              <w:rPr>
                <w:rFonts w:ascii="Arial" w:cs="Arial" w:eastAsia="Arial" w:hAnsi="Arial"/>
                <w:sz w:val="14"/>
                <w:szCs w:val="14"/>
                <w:color w:val="auto"/>
              </w:rPr>
              <w:t>Total debt</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185,900,000</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68,400,000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7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7"/>
          </w:tcPr>
          <w:p>
            <w:pPr>
              <w:jc w:val="center"/>
              <w:ind w:left="671"/>
              <w:spacing w:after="0"/>
              <w:rPr>
                <w:sz w:val="20"/>
                <w:szCs w:val="20"/>
                <w:color w:val="auto"/>
              </w:rPr>
            </w:pPr>
            <w:r>
              <w:rPr>
                <w:rFonts w:ascii="Arial" w:cs="Arial" w:eastAsia="Arial" w:hAnsi="Arial"/>
                <w:sz w:val="13"/>
                <w:szCs w:val="13"/>
                <w:b w:val="1"/>
                <w:bCs w:val="1"/>
                <w:color w:val="auto"/>
                <w:w w:val="87"/>
              </w:rPr>
              <w:t>Nine Months Ended June 30, 2014</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tcPr>
          <w:p>
            <w:pPr>
              <w:jc w:val="center"/>
              <w:ind w:right="440"/>
              <w:spacing w:after="0" w:line="110" w:lineRule="exact"/>
              <w:rPr>
                <w:sz w:val="20"/>
                <w:szCs w:val="20"/>
                <w:color w:val="auto"/>
              </w:rPr>
            </w:pPr>
            <w:r>
              <w:rPr>
                <w:rFonts w:ascii="Arial" w:cs="Arial" w:eastAsia="Arial" w:hAnsi="Arial"/>
                <w:sz w:val="12"/>
                <w:szCs w:val="12"/>
                <w:b w:val="1"/>
                <w:bCs w:val="1"/>
                <w:color w:val="auto"/>
                <w:w w:val="97"/>
              </w:rPr>
              <w:t>Debt</w:t>
            </w:r>
          </w:p>
        </w:tc>
        <w:tc>
          <w:tcPr>
            <w:tcW w:w="140" w:type="dxa"/>
            <w:vAlign w:val="bottom"/>
          </w:tcPr>
          <w:p>
            <w:pPr>
              <w:spacing w:after="0"/>
              <w:rPr>
                <w:sz w:val="9"/>
                <w:szCs w:val="9"/>
                <w:color w:val="auto"/>
              </w:rPr>
            </w:pPr>
          </w:p>
        </w:tc>
        <w:tc>
          <w:tcPr>
            <w:tcW w:w="1260" w:type="dxa"/>
            <w:vAlign w:val="bottom"/>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98"/>
              </w:rPr>
              <w:t>Equity</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4"/>
              </w:rPr>
              <w:t>investments</w:t>
            </w:r>
          </w:p>
        </w:tc>
        <w:tc>
          <w:tcPr>
            <w:tcW w:w="14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110,923,751</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18,101,010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3,875,493</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21,976,503</w:t>
            </w:r>
          </w:p>
        </w:tc>
        <w:tc>
          <w:tcPr>
            <w:tcW w:w="0" w:type="dxa"/>
            <w:vAlign w:val="bottom"/>
          </w:tcPr>
          <w:p>
            <w:pPr>
              <w:spacing w:after="0"/>
              <w:rPr>
                <w:sz w:val="1"/>
                <w:szCs w:val="1"/>
                <w:color w:val="auto"/>
              </w:rPr>
            </w:pPr>
          </w:p>
        </w:tc>
      </w:tr>
      <w:tr>
        <w:trPr>
          <w:trHeight w:val="148"/>
        </w:trPr>
        <w:tc>
          <w:tcPr>
            <w:tcW w:w="71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Unrealized appreciation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470,447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23,854,264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24,324,711</w:t>
            </w:r>
          </w:p>
        </w:tc>
        <w:tc>
          <w:tcPr>
            <w:tcW w:w="0" w:type="dxa"/>
            <w:vAlign w:val="bottom"/>
          </w:tcPr>
          <w:p>
            <w:pPr>
              <w:spacing w:after="0"/>
              <w:rPr>
                <w:sz w:val="1"/>
                <w:szCs w:val="1"/>
                <w:color w:val="auto"/>
              </w:rPr>
            </w:pPr>
          </w:p>
        </w:tc>
      </w:tr>
      <w:tr>
        <w:trPr>
          <w:trHeight w:val="148"/>
        </w:trPr>
        <w:tc>
          <w:tcPr>
            <w:tcW w:w="7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554,355,726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23,424,660</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577,780,386</w:t>
            </w:r>
          </w:p>
        </w:tc>
        <w:tc>
          <w:tcPr>
            <w:tcW w:w="0" w:type="dxa"/>
            <w:vAlign w:val="bottom"/>
          </w:tcPr>
          <w:p>
            <w:pPr>
              <w:spacing w:after="0"/>
              <w:rPr>
                <w:sz w:val="1"/>
                <w:szCs w:val="1"/>
                <w:color w:val="auto"/>
              </w:rPr>
            </w:pPr>
          </w:p>
        </w:tc>
      </w:tr>
      <w:tr>
        <w:trPr>
          <w:trHeight w:val="148"/>
        </w:trPr>
        <w:tc>
          <w:tcPr>
            <w:tcW w:w="71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(457,401,305)</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(42,682,440)</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(500,083,745)</w:t>
            </w:r>
          </w:p>
        </w:tc>
        <w:tc>
          <w:tcPr>
            <w:tcW w:w="0" w:type="dxa"/>
            <w:vAlign w:val="bottom"/>
          </w:tcPr>
          <w:p>
            <w:pPr>
              <w:spacing w:after="0"/>
              <w:rPr>
                <w:sz w:val="1"/>
                <w:szCs w:val="1"/>
                <w:color w:val="auto"/>
              </w:rPr>
            </w:pPr>
          </w:p>
        </w:tc>
      </w:tr>
      <w:tr>
        <w:trPr>
          <w:trHeight w:val="149"/>
        </w:trPr>
        <w:tc>
          <w:tcPr>
            <w:tcW w:w="7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1,030,940,293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119,395,728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1,150,336,021</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(depreciation) 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1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investments in our Consolidated Statement of Operations attributable to our Level 3 assets still held at the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100" w:type="dxa"/>
            <w:vAlign w:val="bottom"/>
            <w:gridSpan w:val="2"/>
          </w:tcPr>
          <w:p>
            <w:pPr>
              <w:ind w:left="300"/>
              <w:spacing w:after="0"/>
              <w:rPr>
                <w:sz w:val="20"/>
                <w:szCs w:val="20"/>
                <w:color w:val="auto"/>
              </w:rPr>
            </w:pPr>
            <w:r>
              <w:rPr>
                <w:rFonts w:ascii="Arial" w:cs="Arial" w:eastAsia="Arial" w:hAnsi="Arial"/>
                <w:sz w:val="14"/>
                <w:szCs w:val="14"/>
                <w:color w:val="auto"/>
              </w:rPr>
              <w:t>reporting date.</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12,355,525</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(9,463,794)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2,891,731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671"/>
              <w:spacing w:after="0"/>
              <w:rPr>
                <w:sz w:val="20"/>
                <w:szCs w:val="20"/>
                <w:color w:val="auto"/>
              </w:rPr>
            </w:pPr>
            <w:r>
              <w:rPr>
                <w:rFonts w:ascii="Arial" w:cs="Arial" w:eastAsia="Arial" w:hAnsi="Arial"/>
                <w:sz w:val="13"/>
                <w:szCs w:val="13"/>
                <w:b w:val="1"/>
                <w:bCs w:val="1"/>
                <w:color w:val="auto"/>
                <w:w w:val="87"/>
              </w:rPr>
              <w:t>Nine Months Ended June 30, 2013</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tcPr>
          <w:p>
            <w:pPr>
              <w:jc w:val="center"/>
              <w:ind w:right="440"/>
              <w:spacing w:after="0" w:line="110" w:lineRule="exact"/>
              <w:rPr>
                <w:sz w:val="20"/>
                <w:szCs w:val="20"/>
                <w:color w:val="auto"/>
              </w:rPr>
            </w:pPr>
            <w:r>
              <w:rPr>
                <w:rFonts w:ascii="Arial" w:cs="Arial" w:eastAsia="Arial" w:hAnsi="Arial"/>
                <w:sz w:val="12"/>
                <w:szCs w:val="12"/>
                <w:b w:val="1"/>
                <w:bCs w:val="1"/>
                <w:color w:val="auto"/>
                <w:w w:val="97"/>
              </w:rPr>
              <w:t>Debt</w:t>
            </w:r>
          </w:p>
        </w:tc>
        <w:tc>
          <w:tcPr>
            <w:tcW w:w="140" w:type="dxa"/>
            <w:vAlign w:val="bottom"/>
          </w:tcPr>
          <w:p>
            <w:pPr>
              <w:spacing w:after="0"/>
              <w:rPr>
                <w:sz w:val="9"/>
                <w:szCs w:val="9"/>
                <w:color w:val="auto"/>
              </w:rPr>
            </w:pPr>
          </w:p>
        </w:tc>
        <w:tc>
          <w:tcPr>
            <w:tcW w:w="1260" w:type="dxa"/>
            <w:vAlign w:val="bottom"/>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98"/>
              </w:rPr>
              <w:t>Equity</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4"/>
              </w:rPr>
              <w:t>investments</w:t>
            </w:r>
          </w:p>
        </w:tc>
        <w:tc>
          <w:tcPr>
            <w:tcW w:w="14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848,424,071</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101,323,123</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949,747,194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3,757,501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3,311,652</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7,069,153</w:t>
            </w:r>
          </w:p>
        </w:tc>
        <w:tc>
          <w:tcPr>
            <w:tcW w:w="0" w:type="dxa"/>
            <w:vAlign w:val="bottom"/>
          </w:tcPr>
          <w:p>
            <w:pPr>
              <w:spacing w:after="0"/>
              <w:rPr>
                <w:sz w:val="1"/>
                <w:szCs w:val="1"/>
                <w:color w:val="auto"/>
              </w:rPr>
            </w:pPr>
          </w:p>
        </w:tc>
      </w:tr>
      <w:tr>
        <w:trPr>
          <w:trHeight w:val="148"/>
        </w:trPr>
        <w:tc>
          <w:tcPr>
            <w:tcW w:w="71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Unrealized appreciation (depreciation)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34,351,022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(21,019,509)</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13,331,513</w:t>
            </w:r>
          </w:p>
        </w:tc>
        <w:tc>
          <w:tcPr>
            <w:tcW w:w="0" w:type="dxa"/>
            <w:vAlign w:val="bottom"/>
          </w:tcPr>
          <w:p>
            <w:pPr>
              <w:spacing w:after="0"/>
              <w:rPr>
                <w:sz w:val="1"/>
                <w:szCs w:val="1"/>
                <w:color w:val="auto"/>
              </w:rPr>
            </w:pPr>
          </w:p>
        </w:tc>
      </w:tr>
      <w:tr>
        <w:trPr>
          <w:trHeight w:val="148"/>
        </w:trPr>
        <w:tc>
          <w:tcPr>
            <w:tcW w:w="7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321,218,848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46,591,490</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367,810,338</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(294,037,878)</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(10,606,534)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(304,644,412)</w:t>
            </w:r>
          </w:p>
        </w:tc>
        <w:tc>
          <w:tcPr>
            <w:tcW w:w="0" w:type="dxa"/>
            <w:vAlign w:val="bottom"/>
          </w:tcPr>
          <w:p>
            <w:pPr>
              <w:spacing w:after="0"/>
              <w:rPr>
                <w:sz w:val="1"/>
                <w:szCs w:val="1"/>
                <w:color w:val="auto"/>
              </w:rPr>
            </w:pPr>
          </w:p>
        </w:tc>
      </w:tr>
      <w:tr>
        <w:trPr>
          <w:trHeight w:val="148"/>
        </w:trPr>
        <w:tc>
          <w:tcPr>
            <w:tcW w:w="7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(12,840,000)</w:t>
            </w:r>
          </w:p>
        </w:tc>
        <w:tc>
          <w:tcPr>
            <w:tcW w:w="14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900,873,564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119,600,222</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1,020,473,786</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 appreciation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1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7"/>
              </w:rPr>
              <w:t>(depreciation) on investments in our Consolidated Statement of Operations attributable to our Level 3 assets still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100" w:type="dxa"/>
            <w:vAlign w:val="bottom"/>
            <w:gridSpan w:val="2"/>
          </w:tcPr>
          <w:p>
            <w:pPr>
              <w:ind w:left="300"/>
              <w:spacing w:after="0"/>
              <w:rPr>
                <w:sz w:val="20"/>
                <w:szCs w:val="20"/>
                <w:color w:val="auto"/>
              </w:rPr>
            </w:pPr>
            <w:r>
              <w:rPr>
                <w:rFonts w:ascii="Arial" w:cs="Arial" w:eastAsia="Arial" w:hAnsi="Arial"/>
                <w:sz w:val="14"/>
                <w:szCs w:val="14"/>
                <w:color w:val="auto"/>
              </w:rPr>
              <w:t>held at the reporting date.</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36,781,749</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(18,334,568)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18,447,181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29"/>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Long –Term Credit Facility</w:t>
            </w:r>
          </w:p>
        </w:tc>
        <w:tc>
          <w:tcPr>
            <w:tcW w:w="4960" w:type="dxa"/>
            <w:vAlign w:val="bottom"/>
            <w:vMerge w:val="restart"/>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2280" w:type="dxa"/>
            <w:vAlign w:val="bottom"/>
            <w:tcBorders>
              <w:top w:val="single" w:sz="8" w:color="auto"/>
              <w:bottom w:val="single" w:sz="8" w:color="auto"/>
            </w:tcBorders>
            <w:gridSpan w:val="5"/>
          </w:tcPr>
          <w:p>
            <w:pPr>
              <w:jc w:val="right"/>
              <w:ind w:right="388"/>
              <w:spacing w:after="0" w:line="129" w:lineRule="exact"/>
              <w:rPr>
                <w:sz w:val="20"/>
                <w:szCs w:val="20"/>
                <w:color w:val="auto"/>
              </w:rPr>
            </w:pPr>
            <w:r>
              <w:rPr>
                <w:rFonts w:ascii="Arial" w:cs="Arial" w:eastAsia="Arial" w:hAnsi="Arial"/>
                <w:sz w:val="13"/>
                <w:szCs w:val="13"/>
                <w:b w:val="1"/>
                <w:bCs w:val="1"/>
                <w:color w:val="auto"/>
              </w:rPr>
              <w:t>Nine Months Ended 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auto"/>
            </w:tcBorders>
            <w:vMerge w:val="continue"/>
          </w:tcPr>
          <w:p>
            <w:pPr>
              <w:spacing w:after="0"/>
              <w:rPr>
                <w:sz w:val="12"/>
                <w:szCs w:val="12"/>
                <w:color w:val="auto"/>
              </w:rPr>
            </w:pPr>
          </w:p>
        </w:tc>
        <w:tc>
          <w:tcPr>
            <w:tcW w:w="496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$117,500,000 and $109,500,000, respectively)</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117,500,000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108,952,500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change in fair value</w:t>
            </w:r>
          </w:p>
        </w:tc>
        <w:tc>
          <w:tcPr>
            <w:tcW w:w="2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1,288,592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148"/>
        </w:trPr>
        <w:tc>
          <w:tcPr>
            <w:tcW w:w="82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Borrowings</w:t>
            </w: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591,053,100</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532,800,000</w:t>
            </w:r>
          </w:p>
        </w:tc>
        <w:tc>
          <w:tcPr>
            <w:tcW w:w="0" w:type="dxa"/>
            <w:vAlign w:val="bottom"/>
          </w:tcPr>
          <w:p>
            <w:pPr>
              <w:spacing w:after="0"/>
              <w:rPr>
                <w:sz w:val="1"/>
                <w:szCs w:val="1"/>
                <w:color w:val="auto"/>
              </w:rPr>
            </w:pPr>
          </w:p>
        </w:tc>
      </w:tr>
      <w:tr>
        <w:trPr>
          <w:trHeight w:val="148"/>
        </w:trPr>
        <w:tc>
          <w:tcPr>
            <w:tcW w:w="82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Repayments</w:t>
            </w: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11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(452,654,400)</w:t>
            </w: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(538,800,000)</w:t>
            </w:r>
          </w:p>
        </w:tc>
        <w:tc>
          <w:tcPr>
            <w:tcW w:w="0" w:type="dxa"/>
            <w:vAlign w:val="bottom"/>
          </w:tcPr>
          <w:p>
            <w:pPr>
              <w:spacing w:after="0"/>
              <w:rPr>
                <w:sz w:val="1"/>
                <w:szCs w:val="1"/>
                <w:color w:val="auto"/>
              </w:rPr>
            </w:pPr>
          </w:p>
        </w:tc>
      </w:tr>
      <w:tr>
        <w:trPr>
          <w:trHeight w:val="149"/>
        </w:trPr>
        <w:tc>
          <w:tcPr>
            <w:tcW w:w="82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2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$255,898,700 and $103,500,000, respectively)</w:t>
            </w: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257,187,292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103,500,000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Temporary draws outstanding, at cost</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11,000,000</w:t>
            </w:r>
          </w:p>
        </w:tc>
        <w:tc>
          <w:tcPr>
            <w:tcW w:w="0" w:type="dxa"/>
            <w:vAlign w:val="bottom"/>
          </w:tcPr>
          <w:p>
            <w:pPr>
              <w:spacing w:after="0"/>
              <w:rPr>
                <w:sz w:val="1"/>
                <w:szCs w:val="1"/>
                <w:color w:val="auto"/>
              </w:rPr>
            </w:pPr>
          </w:p>
        </w:tc>
      </w:tr>
      <w:tr>
        <w:trPr>
          <w:trHeight w:val="156"/>
        </w:trPr>
        <w:tc>
          <w:tcPr>
            <w:tcW w:w="82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$255,898,700 and $114,500,000, respectively)</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257,187,292</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499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4"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June 30, 2014, we had outstanding non-USD borrowing on our Credit Facility denominated in British Pounds. Net change in fair value on these outstanding borrowings is listed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Foreign Currency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10"/>
              <w:spacing w:after="0"/>
              <w:rPr>
                <w:sz w:val="20"/>
                <w:szCs w:val="20"/>
                <w:color w:val="auto"/>
              </w:rPr>
            </w:pPr>
            <w:r>
              <w:rPr>
                <w:rFonts w:ascii="Arial" w:cs="Arial" w:eastAsia="Arial" w:hAnsi="Arial"/>
                <w:sz w:val="13"/>
                <w:szCs w:val="13"/>
                <w:b w:val="1"/>
                <w:bCs w:val="1"/>
                <w:color w:val="auto"/>
              </w:rPr>
              <w:t>Original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Net Change in</w:t>
            </w:r>
          </w:p>
        </w:tc>
        <w:tc>
          <w:tcPr>
            <w:tcW w:w="0" w:type="dxa"/>
            <w:vAlign w:val="bottom"/>
          </w:tcPr>
          <w:p>
            <w:pPr>
              <w:spacing w:after="0"/>
              <w:rPr>
                <w:sz w:val="1"/>
                <w:szCs w:val="1"/>
                <w:color w:val="auto"/>
              </w:rPr>
            </w:pPr>
          </w:p>
        </w:tc>
      </w:tr>
      <w:tr>
        <w:trPr>
          <w:trHeight w:val="153"/>
        </w:trPr>
        <w:tc>
          <w:tcPr>
            <w:tcW w:w="3940" w:type="dxa"/>
            <w:vAlign w:val="bottom"/>
            <w:gridSpan w:val="2"/>
            <w:vMerge w:val="continue"/>
          </w:tcPr>
          <w:p>
            <w:pPr>
              <w:spacing w:after="0"/>
              <w:rPr>
                <w:sz w:val="13"/>
                <w:szCs w:val="13"/>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Local Currency</w:t>
            </w:r>
          </w:p>
        </w:tc>
        <w:tc>
          <w:tcPr>
            <w:tcW w:w="340" w:type="dxa"/>
            <w:vAlign w:val="bottom"/>
          </w:tcPr>
          <w:p>
            <w:pPr>
              <w:spacing w:after="0"/>
              <w:rPr>
                <w:sz w:val="13"/>
                <w:szCs w:val="13"/>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92"/>
              </w:rPr>
              <w:t>Borrowing Cost</w:t>
            </w:r>
          </w:p>
        </w:tc>
        <w:tc>
          <w:tcPr>
            <w:tcW w:w="340" w:type="dxa"/>
            <w:vAlign w:val="bottom"/>
          </w:tcPr>
          <w:p>
            <w:pPr>
              <w:spacing w:after="0"/>
              <w:rPr>
                <w:sz w:val="13"/>
                <w:szCs w:val="13"/>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Current Value</w:t>
            </w:r>
          </w:p>
        </w:tc>
        <w:tc>
          <w:tcPr>
            <w:tcW w:w="34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Reset Date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42"/>
        </w:trPr>
        <w:tc>
          <w:tcPr>
            <w:tcW w:w="37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British Pound</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51"/>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27,000,000</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45,154,800</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46,207,556</w:t>
            </w:r>
          </w:p>
        </w:tc>
        <w:tc>
          <w:tcPr>
            <w:tcW w:w="3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July 1, 2014</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1,052,756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British Pound</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7,000,000</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11,743,900</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11,979,736</w:t>
            </w:r>
          </w:p>
        </w:tc>
        <w:tc>
          <w:tcPr>
            <w:tcW w:w="340" w:type="dxa"/>
            <w:vAlign w:val="bottom"/>
          </w:tcPr>
          <w:p>
            <w:pPr>
              <w:spacing w:after="0"/>
              <w:rPr>
                <w:sz w:val="13"/>
                <w:szCs w:val="13"/>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September 11, 2014</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235,836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34,000,000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56,898,700</w:t>
            </w:r>
          </w:p>
        </w:tc>
        <w:tc>
          <w:tcPr>
            <w:tcW w:w="58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58,187,292</w:t>
            </w: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1,288,592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4"/>
                <w:szCs w:val="14"/>
                <w:color w:val="auto"/>
                <w:w w:val="89"/>
              </w:rPr>
              <w:t>23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measure the fair value of our Credit Facility in a manner consistent with the valuation process that the board of directors uses to value our investments. Our 2025 Notes trade on the NYSE, under the ticker “PNTA” and we use the closing price on the exchange to determine their fair value.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jc w:val="both"/>
        <w:ind w:right="20" w:firstLine="337"/>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nine months ended June 30, 2014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Purchases of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Sale of /</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6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80" w:type="dxa"/>
            <w:vAlign w:val="bottom"/>
          </w:tcPr>
          <w:p>
            <w:pPr>
              <w:spacing w:after="0"/>
              <w:rPr>
                <w:sz w:val="11"/>
                <w:szCs w:val="11"/>
                <w:color w:val="auto"/>
              </w:rPr>
            </w:pPr>
          </w:p>
        </w:tc>
        <w:tc>
          <w:tcPr>
            <w:tcW w:w="126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2"/>
              </w:rPr>
              <w:t>Net Realized Gains</w:t>
            </w:r>
          </w:p>
        </w:tc>
        <w:tc>
          <w:tcPr>
            <w:tcW w:w="0" w:type="dxa"/>
            <w:vAlign w:val="bottom"/>
          </w:tcPr>
          <w:p>
            <w:pPr>
              <w:spacing w:after="0"/>
              <w:rPr>
                <w:sz w:val="1"/>
                <w:szCs w:val="1"/>
                <w:color w:val="auto"/>
              </w:rPr>
            </w:pPr>
          </w:p>
        </w:tc>
      </w:tr>
      <w:tr>
        <w:trPr>
          <w:trHeight w:val="153"/>
        </w:trPr>
        <w:tc>
          <w:tcPr>
            <w:tcW w:w="3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September 30, 2013</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Affiliates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from Affiliates</w:t>
            </w: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Accrued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June 30, 2014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42"/>
        </w:trPr>
        <w:tc>
          <w:tcPr>
            <w:tcW w:w="3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24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19,330,914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1,213,801</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18,574,163</w:t>
            </w:r>
          </w:p>
        </w:tc>
        <w:tc>
          <w:tcPr>
            <w:tcW w:w="3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13,500,000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(3,500,000)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1,257,472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13,499,999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17,552,044</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22,592,260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(72,539,605)</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4,059,881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DirectBuy Holdings, Inc.</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17,805,936</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991,130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(1,126,015)</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996,312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12,757,080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21,265,345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9,196,328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473,990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24,563,138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NCP-Performance, L.P.</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2,500,165</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157,518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1,694,296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806,679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33,470,058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2,703,931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33,655,320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107,787,844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55,610,632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(77,165,620)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10,705,387</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104,013,897</w:t>
            </w:r>
          </w:p>
        </w:tc>
        <w:tc>
          <w:tcPr>
            <w:tcW w:w="3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w w:val="93"/>
              </w:rPr>
              <w:t>Three Months Ended June 30,</w:t>
            </w:r>
          </w:p>
        </w:tc>
        <w:tc>
          <w:tcPr>
            <w:tcW w:w="120" w:type="dxa"/>
            <w:vAlign w:val="bottom"/>
          </w:tcPr>
          <w:p>
            <w:pPr>
              <w:spacing w:after="0"/>
              <w:rPr>
                <w:sz w:val="13"/>
                <w:szCs w:val="13"/>
                <w:color w:val="auto"/>
              </w:rPr>
            </w:pPr>
          </w:p>
        </w:tc>
        <w:tc>
          <w:tcPr>
            <w:tcW w:w="2100" w:type="dxa"/>
            <w:vAlign w:val="bottom"/>
            <w:gridSpan w:val="6"/>
          </w:tcPr>
          <w:p>
            <w:pPr>
              <w:ind w:left="180"/>
              <w:spacing w:after="0"/>
              <w:rPr>
                <w:sz w:val="20"/>
                <w:szCs w:val="20"/>
                <w:color w:val="auto"/>
              </w:rPr>
            </w:pPr>
            <w:r>
              <w:rPr>
                <w:rFonts w:ascii="Arial" w:cs="Arial" w:eastAsia="Arial" w:hAnsi="Arial"/>
                <w:sz w:val="13"/>
                <w:szCs w:val="13"/>
                <w:b w:val="1"/>
                <w:bCs w:val="1"/>
                <w:color w:val="auto"/>
              </w:rPr>
              <w:t>Nine Months Ended June 30,</w:t>
            </w:r>
          </w:p>
        </w:tc>
      </w:tr>
      <w:tr>
        <w:trPr>
          <w:trHeight w:val="142"/>
        </w:trPr>
        <w:tc>
          <w:tcPr>
            <w:tcW w:w="62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3"/>
                <w:szCs w:val="13"/>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42"/>
        </w:trPr>
        <w:tc>
          <w:tcPr>
            <w:tcW w:w="6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31,949,311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13,785,532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112,085,415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69,299,053</w:t>
            </w:r>
          </w:p>
        </w:tc>
        <w:tc>
          <w:tcPr>
            <w:tcW w:w="80" w:type="dxa"/>
            <w:vAlign w:val="bottom"/>
            <w:shd w:val="clear" w:color="auto" w:fill="CCEEFF"/>
          </w:tcPr>
          <w:p>
            <w:pPr>
              <w:spacing w:after="0"/>
              <w:rPr>
                <w:sz w:val="12"/>
                <w:szCs w:val="12"/>
                <w:color w:val="auto"/>
              </w:rPr>
            </w:pPr>
          </w:p>
        </w:tc>
      </w:tr>
      <w:tr>
        <w:trPr>
          <w:trHeight w:val="149"/>
        </w:trPr>
        <w:tc>
          <w:tcPr>
            <w:tcW w:w="6520" w:type="dxa"/>
            <w:vAlign w:val="bottom"/>
            <w:gridSpan w:val="2"/>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66,569,036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66,450,117</w:t>
            </w:r>
          </w:p>
        </w:tc>
        <w:tc>
          <w:tcPr>
            <w:tcW w:w="12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66,561,520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66,340,895</w:t>
            </w:r>
          </w:p>
        </w:tc>
      </w:tr>
      <w:tr>
        <w:trPr>
          <w:trHeight w:val="148"/>
        </w:trPr>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resulting from operations per share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0.48</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2014 and September 30, 2013, cash and cash equivalents consisted of $64.4 million and $58.4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9. FINANCIAL HIGHLIGHTS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5140" w:type="dxa"/>
            <w:vAlign w:val="bottom"/>
          </w:tcPr>
          <w:p>
            <w:pPr>
              <w:ind w:left="560"/>
              <w:spacing w:after="0"/>
              <w:rPr>
                <w:sz w:val="20"/>
                <w:szCs w:val="20"/>
                <w:color w:val="auto"/>
              </w:rPr>
            </w:pPr>
            <w:r>
              <w:rPr>
                <w:rFonts w:ascii="Arial" w:cs="Arial" w:eastAsia="Arial" w:hAnsi="Arial"/>
                <w:sz w:val="14"/>
                <w:szCs w:val="14"/>
                <w:color w:val="auto"/>
              </w:rPr>
              <w:t>Below are the financial highlights:</w:t>
            </w:r>
          </w:p>
        </w:tc>
        <w:tc>
          <w:tcPr>
            <w:tcW w:w="340" w:type="dxa"/>
            <w:vAlign w:val="bottom"/>
          </w:tcPr>
          <w:p>
            <w:pPr>
              <w:spacing w:after="0"/>
              <w:rPr>
                <w:sz w:val="24"/>
                <w:szCs w:val="24"/>
                <w:color w:val="auto"/>
              </w:rPr>
            </w:pPr>
          </w:p>
        </w:tc>
        <w:tc>
          <w:tcPr>
            <w:tcW w:w="304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34"/>
        </w:trPr>
        <w:tc>
          <w:tcPr>
            <w:tcW w:w="13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51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Net asset value, beginning of period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10.49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0.77</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 xml:space="preserve">Net realized and unrealized gain </w:t>
            </w:r>
            <w:r>
              <w:rPr>
                <w:rFonts w:ascii="Arial" w:cs="Arial" w:eastAsia="Arial" w:hAnsi="Arial"/>
                <w:sz w:val="12"/>
                <w:szCs w:val="12"/>
                <w:color w:val="auto"/>
              </w:rPr>
              <w:t>(1)</w:t>
            </w:r>
          </w:p>
        </w:tc>
        <w:tc>
          <w:tcPr>
            <w:tcW w:w="3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0.91</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1.68</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4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(0.84)</w:t>
            </w: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 value, end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11.33</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color w:val="auto"/>
              </w:rPr>
              <w:t>Per share market value, end of period</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11.46</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9.30%</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Shares outstanding at end of period</w:t>
            </w:r>
          </w:p>
        </w:tc>
        <w:tc>
          <w:tcPr>
            <w:tcW w:w="3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66,569,036</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66,450,117</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Ratios** / Supplemental Data:</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6.90%</w:t>
            </w:r>
          </w:p>
        </w:tc>
        <w:tc>
          <w:tcPr>
            <w:tcW w:w="34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3.19%</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color w:val="auto"/>
              </w:rPr>
              <w:t>Ratio of total expenses to average net assets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10.09%</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9.45%</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Net assets at end of period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754,472,793</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693,102,657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498,062,949</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362,661,538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(6)</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7.48</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Asset coverage per unit at end of period </w:t>
            </w:r>
            <w:r>
              <w:rPr>
                <w:rFonts w:ascii="Arial" w:cs="Arial" w:eastAsia="Arial" w:hAnsi="Arial"/>
                <w:sz w:val="12"/>
                <w:szCs w:val="12"/>
                <w:color w:val="auto"/>
              </w:rPr>
              <w:t>(7)</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3,288</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Portfolio turnover ratio</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59.31%</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2" w:lineRule="exact"/>
        <w:rPr>
          <w:sz w:val="20"/>
          <w:szCs w:val="20"/>
          <w:color w:val="auto"/>
        </w:rPr>
      </w:pPr>
    </w:p>
    <w:p>
      <w:pPr>
        <w:ind w:left="80" w:right="8140"/>
        <w:spacing w:after="0" w:line="303" w:lineRule="auto"/>
        <w:tabs>
          <w:tab w:leader="none" w:pos="453"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1" w:lineRule="exact"/>
        <w:rPr>
          <w:sz w:val="20"/>
          <w:szCs w:val="20"/>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Operating expenses exclude debt related costs.</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Ratios neither annualize the Credit Facility debt issuance costs nor 2025 Notes offering costs.</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4"/>
          <w:szCs w:val="14"/>
          <w:color w:val="auto"/>
        </w:rPr>
      </w:pPr>
    </w:p>
    <w:p>
      <w:pPr>
        <w:jc w:val="both"/>
        <w:ind w:left="460" w:right="320" w:hanging="380"/>
        <w:spacing w:after="0" w:line="264" w:lineRule="auto"/>
        <w:tabs>
          <w:tab w:leader="none" w:pos="460" w:val="left"/>
        </w:tabs>
        <w:numPr>
          <w:ilvl w:val="1"/>
          <w:numId w:val="9"/>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56" w:lineRule="exact"/>
        <w:rPr>
          <w:rFonts w:ascii="Arial" w:cs="Arial" w:eastAsia="Arial" w:hAnsi="Arial"/>
          <w:sz w:val="13"/>
          <w:szCs w:val="13"/>
          <w:color w:val="auto"/>
        </w:rPr>
      </w:pPr>
    </w:p>
    <w:p>
      <w:pPr>
        <w:ind w:left="220" w:hanging="212"/>
        <w:spacing w:after="0"/>
        <w:tabs>
          <w:tab w:leader="none" w:pos="2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100"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Our annualized weighted average cost of debt for the nine months ended June 30, 2014 and 2013, inclusive of the fee on the undrawn commitment on the Credit Facility and amortized upfront fees on SBA debentures but excluding debt issuance costs, was 3.94% and 4.15%,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On June 25, 2014, we amended and restated our multi-currency Credit Facility to increase the amount available for borrowing from $445 million to $545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June 30, 2014 and September 30, 2013, our SBIC Funds had $225.0 million and $150.0 million in debt commitments, respectively, and $150.0 million was drawn for each period.</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June 30, 2014 and September 30, 2013 were as follows:</w:t>
      </w:r>
    </w:p>
    <w:p>
      <w:pPr>
        <w:spacing w:after="0" w:line="230"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180" w:type="dxa"/>
            <w:vAlign w:val="bottom"/>
            <w:vMerge w:val="restart"/>
          </w:tcPr>
          <w:p>
            <w:pPr>
              <w:jc w:val="right"/>
              <w:ind w:right="630"/>
              <w:spacing w:after="0"/>
              <w:rPr>
                <w:sz w:val="20"/>
                <w:szCs w:val="20"/>
                <w:color w:val="auto"/>
              </w:rPr>
            </w:pPr>
            <w:r>
              <w:rPr>
                <w:rFonts w:ascii="Arial" w:cs="Arial" w:eastAsia="Arial" w:hAnsi="Arial"/>
                <w:sz w:val="13"/>
                <w:szCs w:val="13"/>
                <w:b w:val="1"/>
                <w:bCs w:val="1"/>
                <w:color w:val="auto"/>
              </w:rPr>
              <w:t>Issuance Dates</w:t>
            </w:r>
          </w:p>
        </w:tc>
        <w:tc>
          <w:tcPr>
            <w:tcW w:w="620" w:type="dxa"/>
            <w:vAlign w:val="bottom"/>
            <w:vMerge w:val="restart"/>
          </w:tcPr>
          <w:p>
            <w:pPr>
              <w:spacing w:after="0"/>
              <w:rPr>
                <w:sz w:val="13"/>
                <w:szCs w:val="13"/>
                <w:color w:val="auto"/>
              </w:rPr>
            </w:pPr>
          </w:p>
        </w:tc>
        <w:tc>
          <w:tcPr>
            <w:tcW w:w="2180" w:type="dxa"/>
            <w:vAlign w:val="bottom"/>
            <w:gridSpan w:val="2"/>
          </w:tcPr>
          <w:p>
            <w:pPr>
              <w:ind w:left="740"/>
              <w:spacing w:after="0"/>
              <w:rPr>
                <w:sz w:val="20"/>
                <w:szCs w:val="20"/>
                <w:color w:val="auto"/>
              </w:rPr>
            </w:pPr>
            <w:r>
              <w:rPr>
                <w:rFonts w:ascii="Arial" w:cs="Arial" w:eastAsia="Arial" w:hAnsi="Arial"/>
                <w:sz w:val="13"/>
                <w:szCs w:val="13"/>
                <w:b w:val="1"/>
                <w:bCs w:val="1"/>
                <w:color w:val="auto"/>
              </w:rPr>
              <w:t>Maturity</w:t>
            </w:r>
          </w:p>
        </w:tc>
        <w:tc>
          <w:tcPr>
            <w:tcW w:w="2140" w:type="dxa"/>
            <w:vAlign w:val="bottom"/>
            <w:gridSpan w:val="2"/>
          </w:tcPr>
          <w:p>
            <w:pPr>
              <w:ind w:left="120"/>
              <w:spacing w:after="0"/>
              <w:rPr>
                <w:sz w:val="20"/>
                <w:szCs w:val="20"/>
                <w:color w:val="auto"/>
              </w:rPr>
            </w:pPr>
            <w:r>
              <w:rPr>
                <w:rFonts w:ascii="Arial" w:cs="Arial" w:eastAsia="Arial" w:hAnsi="Arial"/>
                <w:sz w:val="13"/>
                <w:szCs w:val="13"/>
                <w:b w:val="1"/>
                <w:bCs w:val="1"/>
                <w:color w:val="auto"/>
              </w:rPr>
              <w:t>Fixed All-In Coupon</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CCEEFF"/>
            </w:tcBorders>
            <w:vMerge w:val="continue"/>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Rate</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88"/>
              </w:rPr>
              <w:t>Principal Balance</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September 22, 2010</w:t>
            </w: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64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112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29, 2011</w:t>
            </w:r>
          </w:p>
        </w:tc>
        <w:tc>
          <w:tcPr>
            <w:tcW w:w="2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1, 2021</w:t>
            </w:r>
          </w:p>
        </w:tc>
        <w:tc>
          <w:tcPr>
            <w:tcW w:w="214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September 21, 2011</w:t>
            </w:r>
          </w:p>
        </w:tc>
        <w:tc>
          <w:tcPr>
            <w:tcW w:w="2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September 1, 2021</w:t>
            </w:r>
          </w:p>
        </w:tc>
        <w:tc>
          <w:tcPr>
            <w:tcW w:w="2140" w:type="dxa"/>
            <w:vAlign w:val="bottom"/>
            <w:gridSpan w:val="2"/>
            <w:shd w:val="clear" w:color="auto" w:fill="CCEEFF"/>
          </w:tcPr>
          <w:p>
            <w:pPr>
              <w:ind w:left="1120"/>
              <w:spacing w:after="0" w:line="149" w:lineRule="exact"/>
              <w:rPr>
                <w:sz w:val="20"/>
                <w:szCs w:val="20"/>
                <w:color w:val="auto"/>
              </w:rPr>
            </w:pPr>
            <w:r>
              <w:rPr>
                <w:rFonts w:ascii="Arial" w:cs="Arial" w:eastAsia="Arial" w:hAnsi="Arial"/>
                <w:sz w:val="14"/>
                <w:szCs w:val="14"/>
                <w:color w:val="auto"/>
              </w:rPr>
              <w:t>3.38</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jc w:val="right"/>
              <w:ind w:right="700"/>
              <w:spacing w:after="0"/>
              <w:rPr>
                <w:sz w:val="20"/>
                <w:szCs w:val="20"/>
                <w:color w:val="auto"/>
              </w:rPr>
            </w:pPr>
            <w:r>
              <w:rPr>
                <w:rFonts w:ascii="Arial" w:cs="Arial" w:eastAsia="Arial" w:hAnsi="Arial"/>
                <w:sz w:val="14"/>
                <w:szCs w:val="14"/>
                <w:color w:val="auto"/>
              </w:rPr>
              <w:t>Weighted Average Rate / Total</w:t>
            </w: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4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June 30, 2014 and September 30, 2013, we had $71.3 million in aggregate principal amount of 2025 Notes. Interest on the 2025 Notes is paid quarterly on</w:t>
      </w:r>
    </w:p>
    <w:p>
      <w:pPr>
        <w:ind w:right="40"/>
        <w:spacing w:after="0" w:line="232" w:lineRule="auto"/>
        <w:rPr>
          <w:sz w:val="20"/>
          <w:szCs w:val="20"/>
          <w:color w:val="auto"/>
        </w:rPr>
      </w:pPr>
      <w:r>
        <w:rPr>
          <w:rFonts w:ascii="Arial" w:cs="Arial" w:eastAsia="Arial" w:hAnsi="Arial"/>
          <w:sz w:val="14"/>
          <w:szCs w:val="14"/>
          <w:color w:val="auto"/>
        </w:rPr>
        <w:t>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and/or revolving lines of credit, if any.</w:t>
      </w:r>
    </w:p>
    <w:p>
      <w:pPr>
        <w:spacing w:after="0" w:line="77"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We, in the ordinary course of business, have guaranteed certain obligations of SPH. The guaranties are only triggered if there were administrative errors in acquiring assets which SPH subsequently sold or securitized. As of June 30, 2014 and September 30, 2013, our maximum guaranty was $11.3 million and $13.0 million, respectively. Based on SPH’s and industry historical loss rates we believe the risk of loss is remote, thus, we have not recorded a liability associated with the guaranties. The current guaranties will decline over time.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Investment Corporation and its Subsidiaries (the “Company”), including the consolidated schedule of investments, as of June 30, 2014, the consolidated statements of operations for the three and nine months ended June 30, 2014, and the consolidated statements of changes in net assets, and cash flows for the nine months ended June 30, 2014. These consolidated financial statements are the responsibility of the Company’s management.</w:t>
      </w:r>
    </w:p>
    <w:p>
      <w:pPr>
        <w:spacing w:after="0" w:line="60"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Based on our review, we are not aware of any material modifications that should be made to the consolidated financial statements referred to above for them to be in conformity with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85725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0" cy="18859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5, 2014</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in our annual report on Form 10-K for the fiscal year-ended September 30, 2013 and elsewhere in this Report.</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84"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7"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and foreign registration fees and any exchange listing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60"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40" w:firstLine="562"/>
        <w:spacing w:after="0" w:line="255" w:lineRule="auto"/>
        <w:rPr>
          <w:sz w:val="20"/>
          <w:szCs w:val="20"/>
          <w:color w:val="auto"/>
        </w:rPr>
      </w:pPr>
      <w:r>
        <w:rPr>
          <w:rFonts w:ascii="Arial" w:cs="Arial" w:eastAsia="Arial" w:hAnsi="Arial"/>
          <w:sz w:val="13"/>
          <w:szCs w:val="13"/>
          <w:color w:val="auto"/>
        </w:rPr>
        <w:t>As of June 30, 2014, our portfolio totaled $1,198.4 million and consisted of $310.2 million of senior secured loans, $486.1 million of second lien secured debt, $282.4 million of subordinated debt and $119.7 million of preferred and common equity investments. Our debt portfolio consisted of 39% fixed-rate and 61% variable-rate investments (including 53% with a LIBOR or prime floor). Our overall portfolio consisted of 66 companies with an average investment size of $18.2 million, had a weighted average yield on debt investments of 12.3% and was invested 26% in senior secured loans, 40% in second lien secured debt, 24% in subordinated debt and 10% in preferred and common equity investments.</w:t>
      </w:r>
    </w:p>
    <w:p>
      <w:pPr>
        <w:spacing w:after="0" w:line="67" w:lineRule="exact"/>
        <w:rPr>
          <w:sz w:val="20"/>
          <w:szCs w:val="20"/>
          <w:color w:val="auto"/>
        </w:rPr>
      </w:pPr>
    </w:p>
    <w:p>
      <w:pPr>
        <w:ind w:right="140" w:firstLine="562"/>
        <w:spacing w:after="0" w:line="255" w:lineRule="auto"/>
        <w:rPr>
          <w:sz w:val="20"/>
          <w:szCs w:val="20"/>
          <w:color w:val="auto"/>
        </w:rPr>
      </w:pPr>
      <w:r>
        <w:rPr>
          <w:rFonts w:ascii="Arial" w:cs="Arial" w:eastAsia="Arial" w:hAnsi="Arial"/>
          <w:sz w:val="13"/>
          <w:szCs w:val="13"/>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67"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60" w:lineRule="exact"/>
        <w:rPr>
          <w:sz w:val="20"/>
          <w:szCs w:val="20"/>
          <w:color w:val="auto"/>
        </w:rPr>
      </w:pPr>
    </w:p>
    <w:p>
      <w:pPr>
        <w:ind w:right="120" w:firstLine="562"/>
        <w:spacing w:after="0" w:line="296" w:lineRule="auto"/>
        <w:rPr>
          <w:sz w:val="20"/>
          <w:szCs w:val="20"/>
          <w:color w:val="auto"/>
        </w:rPr>
      </w:pPr>
      <w:r>
        <w:rPr>
          <w:rFonts w:ascii="Arial" w:cs="Arial" w:eastAsia="Arial" w:hAnsi="Arial"/>
          <w:sz w:val="12"/>
          <w:szCs w:val="12"/>
          <w:color w:val="auto"/>
        </w:rPr>
        <w:t>For the three months ended June 30, 2013, we invested $73.3 million in two new and five existing portfolio companies with a weighted average yield on debt investments of 12.9%. Sales and repayments of investments for the three months ended June 30, 2013 totaled $117.8 million. For the nine months ended June 30, 2013, we invested $317.2 million in eight new and 19 existing portfolio companies with a weighted average yield on debt investments of 12.9%. Sales and repayments of investments for the nine months ended June 30, 2013 totaled $271.2 million.</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71"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201"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6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24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6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7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55" w:lineRule="exact"/>
        <w:rPr>
          <w:sz w:val="20"/>
          <w:szCs w:val="20"/>
          <w:color w:val="auto"/>
        </w:rPr>
      </w:pPr>
    </w:p>
    <w:p>
      <w:pPr>
        <w:ind w:left="1540" w:right="100" w:hanging="849"/>
        <w:spacing w:after="0" w:line="290"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312"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75"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8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jc w:val="both"/>
        <w:ind w:right="46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ind w:firstLine="8"/>
        <w:spacing w:after="0" w:line="249" w:lineRule="auto"/>
        <w:tabs>
          <w:tab w:leader="none" w:pos="2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7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6"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In June 2013, the Financial Accounting Standards Board (“FASB”) issued Accounting Standards Update 2013-08, Financial Services — 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nine months ended June 30, 2014 and 2013.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Investment income for the three and nine months ended June 30, 2014 was $35.5 million and $107.8 million, respectively, and was attributable to $9.8 million and $30.0 million from senior secured loans, $13.3 million and $39.9 million from second lien secured debt investments, $11.6 million and $35.7 million from subordinated debt investments, and $0.8 million and $2.2 million from equity investments, respectively. This compares to investment income for the three and nine months ended June 30, 2013, which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equity investments, respectively. The increase in investment income compared with the same period in the prior year was primarily due to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jc w:val="both"/>
        <w:ind w:right="140" w:firstLine="562"/>
        <w:spacing w:after="0" w:line="264" w:lineRule="auto"/>
        <w:rPr>
          <w:sz w:val="20"/>
          <w:szCs w:val="20"/>
          <w:color w:val="auto"/>
        </w:rPr>
      </w:pPr>
      <w:r>
        <w:rPr>
          <w:rFonts w:ascii="Arial" w:cs="Arial" w:eastAsia="Arial" w:hAnsi="Arial"/>
          <w:sz w:val="13"/>
          <w:szCs w:val="13"/>
          <w:color w:val="auto"/>
        </w:rPr>
        <w:t>Expenses for the three and nine months ended June 30, 2014 totaled $22.3 million and $56.6 million, respectively. Base management fee for the same periods totaled $6.1 million and $17.9 million, incentive fees totaled $5.4 million and $14.9 million (including $1.6 million on net realized gains accrued but not payable), debt related interest and expenses totaled $8.9 million and $18.6 million (including $3.9 million of Credit Facility debt issuance costs) and general and administrative expenses totaled $1.9 million and $5.2 million, respectively.</w:t>
      </w:r>
    </w:p>
    <w:p>
      <w:pPr>
        <w:spacing w:after="0" w:line="6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compares to expenses for the three and nine months ended June 30, 2013, which totaled $16.1 million and $47.8 million, respectively. Base management fee for the same periods totaled $5.4 million and $15.9 million, incentive fees totaled $4.4 million and $12.5 million, debt related interest and expenses (including the $0.3 million and $2.7 million of debt issuance costs associated with our 2025 Notes, respectively) totaled $4.6 million and $14.0 million and general and administrative expenses and excise tax totaled $1.7 million and $5.4 million, respectively. The increase in expenses was primarily due to both growing our portfolio and expanding our borrowing capacity under our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Net investment income totaled $13.2 million and $51.2 million, or $0.20 and $0.77 per share, for the three and nine months ended June 30, 2014, respectively. Net investment income totaled $17.7 million and $49.9 million, or $0.27 and $0.76 per share, for the three and nine months ended June 30, 2013, respectively. The decrease in net investment income for the three months ended June 30, 2014 compared to the same period in the prior year was due to debt issuance costs that were not incurred in the comparable period. The increase in net investment income for the nine months ended June 30, 2014 was due to the growth of our portfolio offset by higher financing costs and debt issuance costs.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Sales and repayments of investments for the three and nine months ended June 30, 2014 totaled $273.6 million and $534.4 million, respectively, and realized gains totaled $23.3 million and $29.0 million, respectively. Sales and repayments of investments for the three and nine months ended June 30, 2013 totaled $117.8 million and $271.2 million, respectively, and realized gains totaled $15.7 million and $14.7 million, respectively. The increase in realized gains was driven by exits of portfolio companies.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2025 Notes</w:t>
      </w:r>
    </w:p>
    <w:p>
      <w:pPr>
        <w:spacing w:after="0" w:line="96"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For the three and nine months ended June 30, 2014, we reported net unrealized (depreciation) appreciation on investments of $(1.1) million and $37.4 million, respectively. For the three and nine months ended June 30, 2013, we reported a net unrealized (depreciation) appreciation on investments of $(20.0) million and $5.2 million, respectively. As of June 30, 2014 and September 30, 2013, our net unrealized appreciation (depreciation) on investments totaled $24.0 million and $(13.3) million, respectively. Net change in unrealized (depreciation) appreciation on investments was a result of the overall variation in the leveraged finance markets as well as the relevant unobservable inputs used in deriving our valuations.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and nine months ended June 30, 2014, we reported net unrealized (appreciation) on our Credit Facility and 2025 Notes of $(3.4) million and $(5.4) million,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For the three and nine months ended June 30, 2013, we reported a net unrealized depreciation (appreciation) on our Credit Facility and 2025 Notes of $0.4 million and $(0.5) million, respectively.</w:t>
      </w:r>
    </w:p>
    <w:p>
      <w:pPr>
        <w:spacing w:after="0"/>
        <w:rPr>
          <w:sz w:val="20"/>
          <w:szCs w:val="20"/>
          <w:color w:val="auto"/>
        </w:rPr>
      </w:pPr>
      <w:r>
        <w:rPr>
          <w:rFonts w:ascii="Arial" w:cs="Arial" w:eastAsia="Arial" w:hAnsi="Arial"/>
          <w:sz w:val="14"/>
          <w:szCs w:val="14"/>
          <w:color w:val="auto"/>
        </w:rPr>
        <w:t>Net change in unrealized appreciation on the Credit Facility and 2025 Notes over the prior year was due to changes in the capital markets.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96"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Net increase in net assets resulting from operations totaled $31.9 million and $112.1 million, or $0.48 and $1.68 per share, for the three and nine months ended June 30, 2014, respectively. This compares to a net increase in net assets resulting from operations of $13.8 million and $69.3 million, or $0.21 and $1.05 per share, for the three and nine months ended June 30, 2013, respectively. The increase compared to the prior year was due to realized gains, the continued growth of our portfolio and appreciation of our investments.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60"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On June 25, 2014, we amended and restated our multi-currency Credit Facility to increase the amount available for borrowing from $445 million to $545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0" w:firstLine="562"/>
        <w:spacing w:after="0" w:line="243" w:lineRule="auto"/>
        <w:rPr>
          <w:sz w:val="20"/>
          <w:szCs w:val="20"/>
          <w:color w:val="auto"/>
        </w:rPr>
      </w:pPr>
      <w:r>
        <w:rPr>
          <w:rFonts w:ascii="Arial" w:cs="Arial" w:eastAsia="Arial" w:hAnsi="Arial"/>
          <w:sz w:val="13"/>
          <w:szCs w:val="13"/>
          <w:color w:val="auto"/>
        </w:rPr>
        <w:t>The documents governing the Credit Facility contain affirmative and restrictive covenants, including: (a) periodic financial reporting requirements, (b) maintenance of a minimum stockholders’ equity of the sum of (1) $245.2 million plus (2) 25% of the net proceeds from the sale of equity interests in the Company and its subsidiaries after the effective date (other than proceeds from the sale of equity interests by and among the Company and its subsidiaries), (c) maintenance of an asset coverage ratio of not less than 2.0:1.0, (d) maintenance of minimum liquidity standards, (e) limitations on the incurrence of additional indebtedness, (f) limitations on liens, (g) limitations on fundamental corporate changes, (h) limitations on investments,</w:t>
      </w:r>
    </w:p>
    <w:p>
      <w:pPr>
        <w:spacing w:after="0"/>
        <w:rPr>
          <w:sz w:val="20"/>
          <w:szCs w:val="20"/>
          <w:color w:val="auto"/>
        </w:rPr>
      </w:pPr>
      <w:r>
        <w:rPr>
          <w:rFonts w:ascii="Arial" w:cs="Arial" w:eastAsia="Arial" w:hAnsi="Arial"/>
          <w:sz w:val="13"/>
          <w:szCs w:val="13"/>
          <w:color w:val="auto"/>
        </w:rPr>
        <w:t>(i) limitations on payments and distributions, (j) limitations on transactions with affiliates, (k) limitations on engaging in business not contemplated by the Company’s investment objectives,</w:t>
      </w:r>
    </w:p>
    <w:p>
      <w:pPr>
        <w:ind w:right="60" w:firstLine="8"/>
        <w:spacing w:after="0" w:line="227" w:lineRule="auto"/>
        <w:tabs>
          <w:tab w:leader="none" w:pos="1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limitations on the creation or existence of agreements that prohibit liens on properties of the Company and its subsidiaries and (m) limitations on the ability to modify long-term indebtedness.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Company’s portfolio. The Credit Facility also includes certain customary events of default, including the failure to make timely payments of principal and interest, the occurrence of a change in control and the failure by the Company to materially perform under the operative agreements governing the Credit Facility, which would permit the lenders to accelerate repayment under the Credit Facility.</w:t>
      </w:r>
    </w:p>
    <w:p>
      <w:pPr>
        <w:spacing w:after="0" w:line="77"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25, 2014 and the Credit Facility agreement filed as Exhibit 99.2 thereto. As of June 30, 2014, we were in compliance with the terms of our Credit Facility.</w:t>
      </w:r>
    </w:p>
    <w:p>
      <w:pPr>
        <w:spacing w:after="0" w:line="6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76"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For the nine months ended June 30, 2014, we did not issue shares of common stock in connection with an equity offering. Any decision to sell shares below the then current net asset value per share of our common stock is subject to stockholder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75"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As of June 30, 2014 and September 30, 2013, our SBIC Funds had $225.0 million and $150.0 million in debt commitments, respectively, and $150.0 million was drawn for each period. The SBA debentures’ upfront fees of 3.43% consist of a commitment fee of 1.00% and an issuance discount of 2.43%. Both fees will be amortized over the lives of the loans. Our fixed-rate SBA debentures as of June 30, 2014 and September 30, 2013 were as follows:</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64"/>
        </w:trPr>
        <w:tc>
          <w:tcPr>
            <w:tcW w:w="2160" w:type="dxa"/>
            <w:vAlign w:val="bottom"/>
            <w:vMerge w:val="restart"/>
          </w:tcPr>
          <w:p>
            <w:pPr>
              <w:jc w:val="right"/>
              <w:ind w:right="610"/>
              <w:spacing w:after="0"/>
              <w:rPr>
                <w:sz w:val="20"/>
                <w:szCs w:val="20"/>
                <w:color w:val="auto"/>
              </w:rPr>
            </w:pPr>
            <w:r>
              <w:rPr>
                <w:rFonts w:ascii="Arial" w:cs="Arial" w:eastAsia="Arial" w:hAnsi="Arial"/>
                <w:sz w:val="13"/>
                <w:szCs w:val="13"/>
                <w:b w:val="1"/>
                <w:bCs w:val="1"/>
                <w:color w:val="auto"/>
              </w:rPr>
              <w:t>Issuance Dates</w:t>
            </w:r>
          </w:p>
        </w:tc>
        <w:tc>
          <w:tcPr>
            <w:tcW w:w="480" w:type="dxa"/>
            <w:vAlign w:val="bottom"/>
            <w:vMerge w:val="restart"/>
          </w:tcPr>
          <w:p>
            <w:pPr>
              <w:spacing w:after="0"/>
              <w:rPr>
                <w:sz w:val="14"/>
                <w:szCs w:val="14"/>
                <w:color w:val="auto"/>
              </w:rPr>
            </w:pPr>
          </w:p>
        </w:tc>
        <w:tc>
          <w:tcPr>
            <w:tcW w:w="2020" w:type="dxa"/>
            <w:vAlign w:val="bottom"/>
            <w:gridSpan w:val="2"/>
          </w:tcPr>
          <w:p>
            <w:pPr>
              <w:ind w:left="680"/>
              <w:spacing w:after="0"/>
              <w:rPr>
                <w:sz w:val="20"/>
                <w:szCs w:val="20"/>
                <w:color w:val="auto"/>
              </w:rPr>
            </w:pPr>
            <w:r>
              <w:rPr>
                <w:rFonts w:ascii="Arial" w:cs="Arial" w:eastAsia="Arial" w:hAnsi="Arial"/>
                <w:sz w:val="13"/>
                <w:szCs w:val="13"/>
                <w:b w:val="1"/>
                <w:bCs w:val="1"/>
                <w:color w:val="auto"/>
              </w:rPr>
              <w:t>Maturity</w:t>
            </w:r>
          </w:p>
        </w:tc>
        <w:tc>
          <w:tcPr>
            <w:tcW w:w="17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Fixed All-In Coupon Rate</w:t>
            </w:r>
          </w:p>
        </w:tc>
        <w:tc>
          <w:tcPr>
            <w:tcW w:w="6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90"/>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6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CCEEFF"/>
            </w:tcBorders>
            <w:vMerge w:val="continue"/>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September 22, 2010</w:t>
            </w:r>
          </w:p>
        </w:tc>
        <w:tc>
          <w:tcPr>
            <w:tcW w:w="4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5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152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29, 2011</w:t>
            </w:r>
          </w:p>
        </w:tc>
        <w:tc>
          <w:tcPr>
            <w:tcW w:w="2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1, 2021</w:t>
            </w:r>
          </w:p>
        </w:tc>
        <w:tc>
          <w:tcPr>
            <w:tcW w:w="2420" w:type="dxa"/>
            <w:vAlign w:val="bottom"/>
            <w:gridSpan w:val="2"/>
          </w:tcPr>
          <w:p>
            <w:pPr>
              <w:ind w:left="152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21, 2011</w:t>
            </w:r>
          </w:p>
        </w:tc>
        <w:tc>
          <w:tcPr>
            <w:tcW w:w="2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1, 2021</w:t>
            </w:r>
          </w:p>
        </w:tc>
        <w:tc>
          <w:tcPr>
            <w:tcW w:w="1780" w:type="dxa"/>
            <w:vAlign w:val="bottom"/>
            <w:tcBorders>
              <w:bottom w:val="single" w:sz="8" w:color="auto"/>
            </w:tcBorders>
            <w:shd w:val="clear" w:color="auto" w:fill="CCEEFF"/>
          </w:tcPr>
          <w:p>
            <w:pPr>
              <w:ind w:left="1520"/>
              <w:spacing w:after="0" w:line="149" w:lineRule="exact"/>
              <w:rPr>
                <w:sz w:val="20"/>
                <w:szCs w:val="20"/>
                <w:color w:val="auto"/>
              </w:rPr>
            </w:pPr>
            <w:r>
              <w:rPr>
                <w:rFonts w:ascii="Arial" w:cs="Arial" w:eastAsia="Arial" w:hAnsi="Arial"/>
                <w:sz w:val="14"/>
                <w:szCs w:val="14"/>
                <w:color w:val="auto"/>
                <w:w w:val="87"/>
              </w:rPr>
              <w:t>3.38</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4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Weighted Average Rate / Total</w:t>
            </w: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gridSpan w:val="2"/>
          </w:tcPr>
          <w:p>
            <w:pPr>
              <w:ind w:left="152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2014, our SBIC Funds were in compliance with their regulatory requirements.</w:t>
      </w:r>
    </w:p>
    <w:p>
      <w:pPr>
        <w:spacing w:after="0" w:line="76"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June 30, 2014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On June 30, 2014 and September 30, 2013, we had cash and cash equivalents of $64.4 million and $58.4 million, respectively, available for investing and general corporate purposes.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take advantage of market opportunities.</w:t>
      </w:r>
    </w:p>
    <w:p>
      <w:pPr>
        <w:spacing w:after="0" w:line="84"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6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Our operating activities provided cash of $11.1 million for the nine months ended June 30, 2013, primarily from operating income. Our financing activities used cash of $2.4 million for the same period, primarily to repay certain amounts outstanding under our Credit Facility.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June 30, 2014, including borrowings under our various debt facilities and other contractual obligations,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3"/>
                <w:szCs w:val="13"/>
                <w:b w:val="1"/>
                <w:bCs w:val="1"/>
                <w:color w:val="auto"/>
              </w:rPr>
              <w:t>Payments due by period (in millions)</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8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w w:val="88"/>
              </w:rPr>
              <w:t>Less than 1 year</w:t>
            </w:r>
          </w:p>
        </w:tc>
        <w:tc>
          <w:tcPr>
            <w:tcW w:w="200" w:type="dxa"/>
            <w:vAlign w:val="bottom"/>
          </w:tcPr>
          <w:p>
            <w:pPr>
              <w:spacing w:after="0"/>
              <w:rPr>
                <w:sz w:val="12"/>
                <w:szCs w:val="12"/>
                <w:color w:val="auto"/>
              </w:rPr>
            </w:pPr>
          </w:p>
        </w:tc>
        <w:tc>
          <w:tcPr>
            <w:tcW w:w="1340" w:type="dxa"/>
            <w:vAlign w:val="bottom"/>
            <w:gridSpan w:val="2"/>
          </w:tcPr>
          <w:p>
            <w:pPr>
              <w:jc w:val="right"/>
              <w:ind w:right="720"/>
              <w:spacing w:after="0" w:line="142" w:lineRule="exact"/>
              <w:rPr>
                <w:sz w:val="20"/>
                <w:szCs w:val="20"/>
                <w:color w:val="auto"/>
              </w:rPr>
            </w:pPr>
            <w:r>
              <w:rPr>
                <w:rFonts w:ascii="Arial" w:cs="Arial" w:eastAsia="Arial" w:hAnsi="Arial"/>
                <w:sz w:val="13"/>
                <w:szCs w:val="13"/>
                <w:b w:val="1"/>
                <w:bCs w:val="1"/>
                <w:color w:val="auto"/>
              </w:rPr>
              <w:t>1-3 years</w:t>
            </w:r>
          </w:p>
        </w:tc>
        <w:tc>
          <w:tcPr>
            <w:tcW w:w="200" w:type="dxa"/>
            <w:vAlign w:val="bottom"/>
          </w:tcPr>
          <w:p>
            <w:pPr>
              <w:spacing w:after="0"/>
              <w:rPr>
                <w:sz w:val="12"/>
                <w:szCs w:val="12"/>
                <w:color w:val="auto"/>
              </w:rPr>
            </w:pPr>
          </w:p>
        </w:tc>
        <w:tc>
          <w:tcPr>
            <w:tcW w:w="1340" w:type="dxa"/>
            <w:vAlign w:val="bottom"/>
            <w:gridSpan w:val="2"/>
          </w:tcPr>
          <w:p>
            <w:pPr>
              <w:jc w:val="right"/>
              <w:ind w:right="720"/>
              <w:spacing w:after="0" w:line="142" w:lineRule="exact"/>
              <w:rPr>
                <w:sz w:val="20"/>
                <w:szCs w:val="20"/>
                <w:color w:val="auto"/>
              </w:rPr>
            </w:pPr>
            <w:r>
              <w:rPr>
                <w:rFonts w:ascii="Arial" w:cs="Arial" w:eastAsia="Arial" w:hAnsi="Arial"/>
                <w:sz w:val="13"/>
                <w:szCs w:val="13"/>
                <w:b w:val="1"/>
                <w:bCs w:val="1"/>
                <w:color w:val="auto"/>
              </w:rPr>
              <w:t>3-5 years</w:t>
            </w:r>
          </w:p>
        </w:tc>
        <w:tc>
          <w:tcPr>
            <w:tcW w:w="80" w:type="dxa"/>
            <w:vAlign w:val="bottom"/>
          </w:tcPr>
          <w:p>
            <w:pPr>
              <w:spacing w:after="0"/>
              <w:rPr>
                <w:sz w:val="12"/>
                <w:szCs w:val="12"/>
                <w:color w:val="auto"/>
              </w:rPr>
            </w:pPr>
          </w:p>
        </w:tc>
        <w:tc>
          <w:tcPr>
            <w:tcW w:w="1080" w:type="dxa"/>
            <w:vAlign w:val="bottom"/>
          </w:tcPr>
          <w:p>
            <w:pPr>
              <w:jc w:val="right"/>
              <w:ind w:right="29"/>
              <w:spacing w:after="0" w:line="142" w:lineRule="exact"/>
              <w:rPr>
                <w:sz w:val="20"/>
                <w:szCs w:val="20"/>
                <w:color w:val="auto"/>
              </w:rPr>
            </w:pPr>
            <w:r>
              <w:rPr>
                <w:rFonts w:ascii="Arial" w:cs="Arial" w:eastAsia="Arial" w:hAnsi="Arial"/>
                <w:sz w:val="13"/>
                <w:szCs w:val="13"/>
                <w:b w:val="1"/>
                <w:bCs w:val="1"/>
                <w:color w:val="auto"/>
                <w:w w:val="86"/>
              </w:rPr>
              <w:t>More than 5 years</w:t>
            </w:r>
          </w:p>
        </w:tc>
        <w:tc>
          <w:tcPr>
            <w:tcW w:w="80" w:type="dxa"/>
            <w:vAlign w:val="bottom"/>
          </w:tcPr>
          <w:p>
            <w:pPr>
              <w:spacing w:after="0"/>
              <w:rPr>
                <w:sz w:val="12"/>
                <w:szCs w:val="12"/>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 xml:space="preserve">Credit Facility </w:t>
            </w:r>
            <w:r>
              <w:rPr>
                <w:rFonts w:ascii="Arial" w:cs="Arial" w:eastAsia="Arial" w:hAnsi="Arial"/>
                <w:sz w:val="12"/>
                <w:szCs w:val="12"/>
                <w:color w:val="auto"/>
              </w:rPr>
              <w:t>(1)</w:t>
            </w:r>
          </w:p>
        </w:tc>
        <w:tc>
          <w:tcPr>
            <w:tcW w:w="780" w:type="dxa"/>
            <w:vAlign w:val="bottom"/>
            <w:tcBorders>
              <w:top w:val="single" w:sz="8" w:color="auto"/>
            </w:tcBorders>
            <w:shd w:val="clear" w:color="auto" w:fill="CCEEFF"/>
          </w:tcPr>
          <w:p>
            <w:pPr>
              <w:jc w:val="right"/>
              <w:ind w:right="631"/>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255.9</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255.9</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78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(2)</w:t>
            </w:r>
          </w:p>
        </w:tc>
        <w:tc>
          <w:tcPr>
            <w:tcW w:w="7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477.2</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255.9</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221.3</w:t>
            </w:r>
          </w:p>
        </w:tc>
        <w:tc>
          <w:tcPr>
            <w:tcW w:w="80" w:type="dxa"/>
            <w:vAlign w:val="bottom"/>
          </w:tcPr>
          <w:p>
            <w:pPr>
              <w:spacing w:after="0"/>
              <w:rPr>
                <w:sz w:val="13"/>
                <w:szCs w:val="13"/>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(3)</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8.5</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r>
      <w:tr>
        <w:trPr>
          <w:trHeight w:val="156"/>
        </w:trPr>
        <w:tc>
          <w:tcPr>
            <w:tcW w:w="384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780" w:type="dxa"/>
            <w:vAlign w:val="bottom"/>
            <w:tcBorders>
              <w:top w:val="single" w:sz="8" w:color="auto"/>
              <w:bottom w:val="single" w:sz="8" w:color="auto"/>
            </w:tcBorders>
          </w:tcPr>
          <w:p>
            <w:pPr>
              <w:jc w:val="right"/>
              <w:ind w:right="631"/>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497.6</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w:t>
            </w:r>
          </w:p>
        </w:tc>
        <w:tc>
          <w:tcPr>
            <w:tcW w:w="3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3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00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3" w:lineRule="exact"/>
        <w:rPr>
          <w:sz w:val="20"/>
          <w:szCs w:val="20"/>
          <w:color w:val="auto"/>
        </w:rPr>
      </w:pPr>
    </w:p>
    <w:p>
      <w:pPr>
        <w:ind w:left="560" w:hanging="552"/>
        <w:spacing w:after="0"/>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borrowings denominated in British Pounds of £34.0 million, as of June 30, 2014.</w:t>
      </w:r>
    </w:p>
    <w:p>
      <w:pPr>
        <w:ind w:left="560" w:right="160" w:hanging="552"/>
        <w:spacing w:after="0" w:line="221" w:lineRule="auto"/>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annualized weighted average cost of debt as of June 30, 2014, excluding debt issuance costs, was 3.94% inclusive of the fee on the undrawn commitment of 0.375% on the Credit Facility and 3.43% of upfront fees on SBA debentures.</w:t>
      </w:r>
    </w:p>
    <w:p>
      <w:pPr>
        <w:ind w:left="560" w:right="320" w:hanging="552"/>
        <w:spacing w:after="0" w:line="237" w:lineRule="auto"/>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Unfunded debt and equity investments described in the Consolidated Statement of Assets and Liabilities represent unfunded delayed draws on investments and/or revolving lines of credit.</w:t>
      </w:r>
    </w:p>
    <w:p>
      <w:pPr>
        <w:spacing w:after="0" w:line="75"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77"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ind w:right="140" w:firstLine="562"/>
        <w:spacing w:after="0" w:line="264" w:lineRule="auto"/>
        <w:rPr>
          <w:sz w:val="20"/>
          <w:szCs w:val="20"/>
          <w:color w:val="auto"/>
        </w:rPr>
      </w:pPr>
      <w:r>
        <w:rPr>
          <w:rFonts w:ascii="Arial" w:cs="Arial" w:eastAsia="Arial" w:hAnsi="Arial"/>
          <w:sz w:val="13"/>
          <w:szCs w:val="13"/>
          <w:color w:val="auto"/>
        </w:rPr>
        <w:t>We, in the ordinary course of business, have guaranteed certain obligations of SPH. The guaranties are only triggered if there were administrative errors in acquiring assets which SPH subsequently sold or securitized. As of June 30, 2014 and September 30, 2013, our maximum guaranty was $11.3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including any risk management of commodity pricing or other hedging practices.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As a RIC, we are generally not subject to tax on income and have elected to retain a portion of our calendar year income.</w:t>
      </w:r>
    </w:p>
    <w:p>
      <w:pPr>
        <w:spacing w:after="0" w:line="71" w:lineRule="exact"/>
        <w:rPr>
          <w:sz w:val="20"/>
          <w:szCs w:val="20"/>
          <w:color w:val="auto"/>
        </w:rPr>
      </w:pPr>
    </w:p>
    <w:p>
      <w:pPr>
        <w:ind w:right="160" w:firstLine="562"/>
        <w:spacing w:after="0" w:line="251" w:lineRule="auto"/>
        <w:rPr>
          <w:sz w:val="20"/>
          <w:szCs w:val="20"/>
          <w:color w:val="auto"/>
        </w:rPr>
      </w:pPr>
      <w:r>
        <w:rPr>
          <w:rFonts w:ascii="Arial" w:cs="Arial" w:eastAsia="Arial" w:hAnsi="Arial"/>
          <w:sz w:val="13"/>
          <w:szCs w:val="13"/>
          <w:color w:val="auto"/>
        </w:rPr>
        <w:t>During the three and nine months ended June 30, 2014, we declared to stockholders distributions of $0.28 and $0.84 per share, respectively, for total distributions of $18.6 million and $55.9 million, respectively. For the same periods in the prior year,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2014, our debt portfolio consisted of 39% fixed-rate investments and 61% variable-rate investments (including 53%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76"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8"/>
        </w:trPr>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81"/>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Change In Interest Rates</w:t>
            </w: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4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Arial" w:cs="Arial" w:eastAsia="Arial" w:hAnsi="Arial"/>
                <w:sz w:val="14"/>
                <w:szCs w:val="14"/>
                <w:color w:val="auto"/>
              </w:rPr>
              <w:t>Per Share</w:t>
            </w:r>
          </w:p>
        </w:tc>
      </w:tr>
      <w:tr>
        <w:trPr>
          <w:trHeight w:val="142"/>
        </w:trPr>
        <w:tc>
          <w:tcPr>
            <w:tcW w:w="2140" w:type="dxa"/>
            <w:vAlign w:val="bottom"/>
            <w:tcBorders>
              <w:top w:val="single" w:sz="8" w:color="auto"/>
            </w:tcBorders>
            <w:shd w:val="clear" w:color="auto" w:fill="CEEF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320" w:type="dxa"/>
            <w:vAlign w:val="bottom"/>
            <w:tcBorders>
              <w:top w:val="single" w:sz="8" w:color="CEEFFF"/>
            </w:tcBorders>
            <w:shd w:val="clear" w:color="auto" w:fill="CEEFFF"/>
          </w:tcPr>
          <w:p>
            <w:pPr>
              <w:spacing w:after="0"/>
              <w:rPr>
                <w:sz w:val="12"/>
                <w:szCs w:val="12"/>
                <w:color w:val="auto"/>
              </w:rPr>
            </w:pPr>
          </w:p>
        </w:tc>
        <w:tc>
          <w:tcPr>
            <w:tcW w:w="980" w:type="dxa"/>
            <w:vAlign w:val="bottom"/>
            <w:tcBorders>
              <w:top w:val="single" w:sz="8" w:color="auto"/>
            </w:tcBorders>
            <w:shd w:val="clear" w:color="auto" w:fill="CEEF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EEFFF"/>
          </w:tcPr>
          <w:p>
            <w:pPr>
              <w:jc w:val="right"/>
              <w:ind w:right="508"/>
              <w:spacing w:after="0" w:line="142" w:lineRule="exact"/>
              <w:rPr>
                <w:sz w:val="20"/>
                <w:szCs w:val="20"/>
                <w:color w:val="auto"/>
              </w:rPr>
            </w:pPr>
            <w:r>
              <w:rPr>
                <w:rFonts w:ascii="Arial" w:cs="Arial" w:eastAsia="Arial" w:hAnsi="Arial"/>
                <w:sz w:val="14"/>
                <w:szCs w:val="14"/>
                <w:color w:val="auto"/>
              </w:rPr>
              <w:t>(1,052)</w:t>
            </w:r>
          </w:p>
        </w:tc>
        <w:tc>
          <w:tcPr>
            <w:tcW w:w="280" w:type="dxa"/>
            <w:vAlign w:val="bottom"/>
            <w:tcBorders>
              <w:top w:val="single" w:sz="8" w:color="CEEFFF"/>
            </w:tcBorders>
            <w:shd w:val="clear" w:color="auto" w:fill="CEEFFF"/>
          </w:tcPr>
          <w:p>
            <w:pPr>
              <w:spacing w:after="0"/>
              <w:rPr>
                <w:sz w:val="12"/>
                <w:szCs w:val="12"/>
                <w:color w:val="auto"/>
              </w:rPr>
            </w:pPr>
          </w:p>
        </w:tc>
        <w:tc>
          <w:tcPr>
            <w:tcW w:w="480" w:type="dxa"/>
            <w:vAlign w:val="bottom"/>
            <w:tcBorders>
              <w:top w:val="single" w:sz="8" w:color="auto"/>
            </w:tcBorders>
            <w:shd w:val="clear" w:color="auto" w:fill="CEEF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EEFFF"/>
          </w:tcPr>
          <w:p>
            <w:pPr>
              <w:jc w:val="center"/>
              <w:spacing w:after="0" w:line="142" w:lineRule="exact"/>
              <w:rPr>
                <w:sz w:val="20"/>
                <w:szCs w:val="20"/>
                <w:color w:val="auto"/>
              </w:rPr>
            </w:pPr>
            <w:r>
              <w:rPr>
                <w:rFonts w:ascii="Arial" w:cs="Arial" w:eastAsia="Arial" w:hAnsi="Arial"/>
                <w:sz w:val="14"/>
                <w:szCs w:val="14"/>
                <w:color w:val="auto"/>
                <w:w w:val="92"/>
              </w:rPr>
              <w:t>(0.02)</w:t>
            </w:r>
          </w:p>
        </w:tc>
      </w:tr>
      <w:tr>
        <w:trPr>
          <w:trHeight w:val="148"/>
        </w:trPr>
        <w:tc>
          <w:tcPr>
            <w:tcW w:w="2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Up 2%</w:t>
            </w:r>
          </w:p>
        </w:tc>
        <w:tc>
          <w:tcPr>
            <w:tcW w:w="9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2,797</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0.04</w:t>
            </w:r>
          </w:p>
        </w:tc>
      </w:tr>
      <w:tr>
        <w:trPr>
          <w:trHeight w:val="149"/>
        </w:trPr>
        <w:tc>
          <w:tcPr>
            <w:tcW w:w="2460" w:type="dxa"/>
            <w:vAlign w:val="bottom"/>
            <w:gridSpan w:val="2"/>
            <w:shd w:val="clear" w:color="auto" w:fill="CEEFFF"/>
          </w:tcPr>
          <w:p>
            <w:pPr>
              <w:jc w:val="center"/>
              <w:ind w:right="320"/>
              <w:spacing w:after="0" w:line="149" w:lineRule="exact"/>
              <w:rPr>
                <w:sz w:val="20"/>
                <w:szCs w:val="20"/>
                <w:color w:val="auto"/>
              </w:rPr>
            </w:pPr>
            <w:r>
              <w:rPr>
                <w:rFonts w:ascii="Arial" w:cs="Arial" w:eastAsia="Arial" w:hAnsi="Arial"/>
                <w:sz w:val="14"/>
                <w:szCs w:val="14"/>
                <w:color w:val="auto"/>
                <w:w w:val="99"/>
              </w:rPr>
              <w:t>Up 3%</w:t>
            </w:r>
          </w:p>
        </w:tc>
        <w:tc>
          <w:tcPr>
            <w:tcW w:w="980" w:type="dxa"/>
            <w:vAlign w:val="bottom"/>
            <w:shd w:val="clear" w:color="auto" w:fill="CEEF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EEFFF"/>
          </w:tcPr>
          <w:p>
            <w:pPr>
              <w:jc w:val="right"/>
              <w:ind w:right="568"/>
              <w:spacing w:after="0" w:line="149" w:lineRule="exact"/>
              <w:rPr>
                <w:sz w:val="20"/>
                <w:szCs w:val="20"/>
                <w:color w:val="auto"/>
              </w:rPr>
            </w:pPr>
            <w:r>
              <w:rPr>
                <w:rFonts w:ascii="Arial" w:cs="Arial" w:eastAsia="Arial" w:hAnsi="Arial"/>
                <w:sz w:val="14"/>
                <w:szCs w:val="14"/>
                <w:color w:val="auto"/>
              </w:rPr>
              <w:t>6,646</w:t>
            </w:r>
          </w:p>
        </w:tc>
        <w:tc>
          <w:tcPr>
            <w:tcW w:w="280" w:type="dxa"/>
            <w:vAlign w:val="bottom"/>
            <w:shd w:val="clear" w:color="auto" w:fill="CEEFFF"/>
          </w:tcPr>
          <w:p>
            <w:pPr>
              <w:spacing w:after="0"/>
              <w:rPr>
                <w:sz w:val="12"/>
                <w:szCs w:val="12"/>
                <w:color w:val="auto"/>
              </w:rPr>
            </w:pPr>
          </w:p>
        </w:tc>
        <w:tc>
          <w:tcPr>
            <w:tcW w:w="480" w:type="dxa"/>
            <w:vAlign w:val="bottom"/>
            <w:shd w:val="clear" w:color="auto" w:fill="CEEF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EEFFF"/>
          </w:tcPr>
          <w:p>
            <w:pPr>
              <w:jc w:val="center"/>
              <w:spacing w:after="0" w:line="149" w:lineRule="exact"/>
              <w:rPr>
                <w:sz w:val="20"/>
                <w:szCs w:val="20"/>
                <w:color w:val="auto"/>
              </w:rPr>
            </w:pPr>
            <w:r>
              <w:rPr>
                <w:rFonts w:ascii="Arial" w:cs="Arial" w:eastAsia="Arial" w:hAnsi="Arial"/>
                <w:sz w:val="14"/>
                <w:szCs w:val="14"/>
                <w:color w:val="auto"/>
                <w:w w:val="87"/>
              </w:rPr>
              <w:t>0.10</w:t>
            </w:r>
          </w:p>
        </w:tc>
      </w:tr>
      <w:tr>
        <w:trPr>
          <w:trHeight w:val="182"/>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Up 4%</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68"/>
              <w:spacing w:after="0"/>
              <w:rPr>
                <w:sz w:val="20"/>
                <w:szCs w:val="20"/>
                <w:color w:val="auto"/>
              </w:rPr>
            </w:pPr>
            <w:r>
              <w:rPr>
                <w:rFonts w:ascii="Arial" w:cs="Arial" w:eastAsia="Arial" w:hAnsi="Arial"/>
                <w:sz w:val="14"/>
                <w:szCs w:val="14"/>
                <w:color w:val="auto"/>
              </w:rPr>
              <w:t>10,494</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0.16</w:t>
            </w:r>
          </w:p>
        </w:tc>
      </w:tr>
    </w:tbl>
    <w:p>
      <w:pPr>
        <w:spacing w:after="0" w:line="5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2014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2013,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ectPr>
          <w:pgSz w:w="11900" w:h="16838" w:orient="portrait"/>
          <w:cols w:equalWidth="0" w:num="1">
            <w:col w:w="11220"/>
          </w:cols>
          <w:pgMar w:left="320" w:top="459" w:right="3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Unregistered Sales of Equity Securities and Use of Proceeds</w:t>
      </w:r>
    </w:p>
    <w:p>
      <w:pPr>
        <w:spacing w:after="0" w:line="122"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220"/>
          </w:cols>
          <w:pgMar w:left="320" w:top="459"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Defaults Upon Senior Securities</w:t>
      </w:r>
    </w:p>
    <w:p>
      <w:pPr>
        <w:spacing w:after="0" w:line="122"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220"/>
          </w:cols>
          <w:pgMar w:left="320" w:top="459"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Mine Safety Disclosure</w:t>
      </w:r>
    </w:p>
    <w:p>
      <w:pPr>
        <w:spacing w:after="0" w:line="122"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Not applicable.</w:t>
      </w:r>
    </w:p>
    <w:p>
      <w:pPr>
        <w:sectPr>
          <w:pgSz w:w="11900" w:h="16838" w:orient="portrait"/>
          <w:cols w:equalWidth="0" w:num="1">
            <w:col w:w="11220"/>
          </w:cols>
          <w:pgMar w:left="320" w:top="459"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Information</w:t>
      </w:r>
    </w:p>
    <w:p>
      <w:pPr>
        <w:spacing w:after="0" w:line="111"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220"/>
          </w:cols>
          <w:pgMar w:left="320" w:top="459" w:right="359" w:bottom="1440" w:gutter="0" w:footer="0" w:header="0"/>
          <w:type w:val="continuous"/>
        </w:sectPr>
      </w:pP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220"/>
          </w:cols>
          <w:pgMar w:left="320" w:top="459"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10560" w:type="dxa"/>
            <w:vAlign w:val="bottom"/>
          </w:tcPr>
          <w:p>
            <w:pPr>
              <w:ind w:left="260"/>
              <w:spacing w:after="0"/>
              <w:rPr>
                <w:sz w:val="20"/>
                <w:szCs w:val="20"/>
                <w:color w:val="auto"/>
              </w:rPr>
            </w:pPr>
            <w:r>
              <w:rPr>
                <w:rFonts w:ascii="Arial" w:cs="Arial" w:eastAsia="Arial" w:hAnsi="Arial"/>
                <w:sz w:val="14"/>
                <w:szCs w:val="14"/>
                <w:color w:val="auto"/>
              </w:rPr>
              <w:t>Articles of Incorporation (Incorporated by reference to Exhibit 99(a) to the Registrant’s Pre-Effective Amendment No. 3 to the</w:t>
            </w:r>
          </w:p>
        </w:tc>
      </w:tr>
      <w:tr>
        <w:trPr>
          <w:trHeight w:val="182"/>
        </w:trPr>
        <w:tc>
          <w:tcPr>
            <w:tcW w:w="540" w:type="dxa"/>
            <w:vAlign w:val="bottom"/>
          </w:tcPr>
          <w:p>
            <w:pPr>
              <w:spacing w:after="0"/>
              <w:rPr>
                <w:sz w:val="15"/>
                <w:szCs w:val="15"/>
                <w:color w:val="auto"/>
              </w:rPr>
            </w:pPr>
          </w:p>
        </w:tc>
        <w:tc>
          <w:tcPr>
            <w:tcW w:w="10560" w:type="dxa"/>
            <w:vAlign w:val="bottom"/>
          </w:tcPr>
          <w:p>
            <w:pPr>
              <w:ind w:left="260"/>
              <w:spacing w:after="0"/>
              <w:rPr>
                <w:sz w:val="20"/>
                <w:szCs w:val="20"/>
                <w:color w:val="auto"/>
              </w:rPr>
            </w:pPr>
            <w:r>
              <w:rPr>
                <w:rFonts w:ascii="Arial" w:cs="Arial" w:eastAsia="Arial" w:hAnsi="Arial"/>
                <w:sz w:val="14"/>
                <w:szCs w:val="14"/>
                <w:color w:val="auto"/>
              </w:rPr>
              <w:t>Registration Statement on Form N-2/A (File No. 333-140092), filed on April 5, 2007).</w:t>
            </w:r>
          </w:p>
        </w:tc>
      </w:tr>
      <w:tr>
        <w:trPr>
          <w:trHeight w:val="304"/>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10560" w:type="dxa"/>
            <w:vAlign w:val="bottom"/>
          </w:tcPr>
          <w:p>
            <w:pPr>
              <w:ind w:left="260"/>
              <w:spacing w:after="0"/>
              <w:rPr>
                <w:sz w:val="20"/>
                <w:szCs w:val="20"/>
                <w:color w:val="auto"/>
              </w:rPr>
            </w:pPr>
            <w:r>
              <w:rPr>
                <w:rFonts w:ascii="Arial" w:cs="Arial" w:eastAsia="Arial" w:hAnsi="Arial"/>
                <w:sz w:val="14"/>
                <w:szCs w:val="14"/>
                <w:color w:val="auto"/>
              </w:rPr>
              <w:t>Amended and Restated Bylaws of the Registrant (Incorporated by reference to Exhibit 3.2 to the Registrant’s Annual</w:t>
            </w:r>
          </w:p>
        </w:tc>
      </w:tr>
      <w:tr>
        <w:trPr>
          <w:trHeight w:val="182"/>
        </w:trPr>
        <w:tc>
          <w:tcPr>
            <w:tcW w:w="540" w:type="dxa"/>
            <w:vAlign w:val="bottom"/>
          </w:tcPr>
          <w:p>
            <w:pPr>
              <w:spacing w:after="0"/>
              <w:rPr>
                <w:sz w:val="15"/>
                <w:szCs w:val="15"/>
                <w:color w:val="auto"/>
              </w:rPr>
            </w:pPr>
          </w:p>
        </w:tc>
        <w:tc>
          <w:tcPr>
            <w:tcW w:w="10560" w:type="dxa"/>
            <w:vAlign w:val="bottom"/>
          </w:tcPr>
          <w:p>
            <w:pPr>
              <w:ind w:left="260"/>
              <w:spacing w:after="0"/>
              <w:rPr>
                <w:sz w:val="20"/>
                <w:szCs w:val="20"/>
                <w:color w:val="auto"/>
              </w:rPr>
            </w:pPr>
            <w:r>
              <w:rPr>
                <w:rFonts w:ascii="Arial" w:cs="Arial" w:eastAsia="Arial" w:hAnsi="Arial"/>
                <w:sz w:val="14"/>
                <w:szCs w:val="14"/>
                <w:color w:val="auto"/>
              </w:rPr>
              <w:t>Report on Form 10-K (File No. 814-00736), filed on November 13, 2013).</w:t>
            </w:r>
          </w:p>
        </w:tc>
      </w:tr>
      <w:tr>
        <w:trPr>
          <w:trHeight w:val="304"/>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4.1</w:t>
            </w:r>
          </w:p>
        </w:tc>
        <w:tc>
          <w:tcPr>
            <w:tcW w:w="10560" w:type="dxa"/>
            <w:vAlign w:val="bottom"/>
          </w:tcPr>
          <w:p>
            <w:pPr>
              <w:ind w:left="260"/>
              <w:spacing w:after="0"/>
              <w:rPr>
                <w:sz w:val="20"/>
                <w:szCs w:val="20"/>
                <w:color w:val="auto"/>
              </w:rPr>
            </w:pPr>
            <w:r>
              <w:rPr>
                <w:rFonts w:ascii="Arial" w:cs="Arial" w:eastAsia="Arial" w:hAnsi="Arial"/>
                <w:sz w:val="14"/>
                <w:szCs w:val="14"/>
                <w:color w:val="auto"/>
              </w:rPr>
              <w:t>Form of Share Certificate (Incorporated by reference to Exhibit 99(d)(1) to the Registrant’s Registration Statement on</w:t>
            </w:r>
          </w:p>
        </w:tc>
      </w:tr>
      <w:tr>
        <w:trPr>
          <w:trHeight w:val="182"/>
        </w:trPr>
        <w:tc>
          <w:tcPr>
            <w:tcW w:w="540" w:type="dxa"/>
            <w:vAlign w:val="bottom"/>
          </w:tcPr>
          <w:p>
            <w:pPr>
              <w:spacing w:after="0"/>
              <w:rPr>
                <w:sz w:val="15"/>
                <w:szCs w:val="15"/>
                <w:color w:val="auto"/>
              </w:rPr>
            </w:pPr>
          </w:p>
        </w:tc>
        <w:tc>
          <w:tcPr>
            <w:tcW w:w="10560" w:type="dxa"/>
            <w:vAlign w:val="bottom"/>
          </w:tcPr>
          <w:p>
            <w:pPr>
              <w:ind w:left="260"/>
              <w:spacing w:after="0"/>
              <w:rPr>
                <w:sz w:val="20"/>
                <w:szCs w:val="20"/>
                <w:color w:val="auto"/>
              </w:rPr>
            </w:pPr>
            <w:r>
              <w:rPr>
                <w:rFonts w:ascii="Arial" w:cs="Arial" w:eastAsia="Arial" w:hAnsi="Arial"/>
                <w:sz w:val="14"/>
                <w:szCs w:val="14"/>
                <w:color w:val="auto"/>
              </w:rPr>
              <w:t>Form N-2 (File No. 333-150033), filed on April 2, 2008).</w:t>
            </w:r>
          </w:p>
        </w:tc>
      </w:tr>
      <w:tr>
        <w:trPr>
          <w:trHeight w:val="304"/>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10.5</w:t>
            </w:r>
          </w:p>
        </w:tc>
        <w:tc>
          <w:tcPr>
            <w:tcW w:w="10560" w:type="dxa"/>
            <w:vAlign w:val="bottom"/>
          </w:tcPr>
          <w:p>
            <w:pPr>
              <w:ind w:left="260"/>
              <w:spacing w:after="0"/>
              <w:rPr>
                <w:sz w:val="20"/>
                <w:szCs w:val="20"/>
                <w:color w:val="auto"/>
              </w:rPr>
            </w:pPr>
            <w:r>
              <w:rPr>
                <w:rFonts w:ascii="Arial" w:cs="Arial" w:eastAsia="Arial" w:hAnsi="Arial"/>
                <w:sz w:val="14"/>
                <w:szCs w:val="14"/>
                <w:color w:val="auto"/>
                <w:w w:val="91"/>
              </w:rPr>
              <w:t>Second Amended and Restated Senior Secured Revolving Credit Agreement, dated as of June 25, 2014, among PennantPark Investment Corporation, the lenders party thereto and</w:t>
            </w:r>
          </w:p>
        </w:tc>
      </w:tr>
      <w:tr>
        <w:trPr>
          <w:trHeight w:val="148"/>
        </w:trPr>
        <w:tc>
          <w:tcPr>
            <w:tcW w:w="540" w:type="dxa"/>
            <w:vAlign w:val="bottom"/>
          </w:tcPr>
          <w:p>
            <w:pPr>
              <w:spacing w:after="0"/>
              <w:rPr>
                <w:sz w:val="12"/>
                <w:szCs w:val="12"/>
                <w:color w:val="auto"/>
              </w:rPr>
            </w:pPr>
          </w:p>
        </w:tc>
        <w:tc>
          <w:tcPr>
            <w:tcW w:w="10560" w:type="dxa"/>
            <w:vAlign w:val="bottom"/>
          </w:tcPr>
          <w:p>
            <w:pPr>
              <w:ind w:left="260"/>
              <w:spacing w:after="0" w:line="149" w:lineRule="exact"/>
              <w:rPr>
                <w:sz w:val="20"/>
                <w:szCs w:val="20"/>
                <w:color w:val="auto"/>
              </w:rPr>
            </w:pPr>
            <w:r>
              <w:rPr>
                <w:rFonts w:ascii="Arial" w:cs="Arial" w:eastAsia="Arial" w:hAnsi="Arial"/>
                <w:sz w:val="14"/>
                <w:szCs w:val="14"/>
                <w:color w:val="auto"/>
                <w:w w:val="95"/>
              </w:rPr>
              <w:t>SunTrust Bank, as administrative agent for the lenders (Incorporated by reference to Exhibit 99.2 to the Registrant’s Current Report on Form 8-K (File No. 814-00736), filed on</w:t>
            </w:r>
          </w:p>
        </w:tc>
      </w:tr>
      <w:tr>
        <w:trPr>
          <w:trHeight w:val="182"/>
        </w:trPr>
        <w:tc>
          <w:tcPr>
            <w:tcW w:w="540" w:type="dxa"/>
            <w:vAlign w:val="bottom"/>
          </w:tcPr>
          <w:p>
            <w:pPr>
              <w:spacing w:after="0"/>
              <w:rPr>
                <w:sz w:val="15"/>
                <w:szCs w:val="15"/>
                <w:color w:val="auto"/>
              </w:rPr>
            </w:pPr>
          </w:p>
        </w:tc>
        <w:tc>
          <w:tcPr>
            <w:tcW w:w="10560" w:type="dxa"/>
            <w:vAlign w:val="bottom"/>
          </w:tcPr>
          <w:p>
            <w:pPr>
              <w:ind w:left="260"/>
              <w:spacing w:after="0"/>
              <w:rPr>
                <w:sz w:val="20"/>
                <w:szCs w:val="20"/>
                <w:color w:val="auto"/>
              </w:rPr>
            </w:pPr>
            <w:r>
              <w:rPr>
                <w:rFonts w:ascii="Arial" w:cs="Arial" w:eastAsia="Arial" w:hAnsi="Arial"/>
                <w:sz w:val="14"/>
                <w:szCs w:val="14"/>
                <w:color w:val="auto"/>
              </w:rPr>
              <w:t>June 30, 2014).</w:t>
            </w:r>
          </w:p>
        </w:tc>
      </w:tr>
    </w:tbl>
    <w:p>
      <w:pPr>
        <w:spacing w:after="0" w:line="142"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99.1</w:t>
            </w:r>
          </w:p>
        </w:tc>
        <w:tc>
          <w:tcPr>
            <w:tcW w:w="8700" w:type="dxa"/>
            <w:vAlign w:val="bottom"/>
          </w:tcPr>
          <w:p>
            <w:pPr>
              <w:ind w:left="260"/>
              <w:spacing w:after="0"/>
              <w:rPr>
                <w:sz w:val="20"/>
                <w:szCs w:val="20"/>
                <w:color w:val="auto"/>
              </w:rPr>
            </w:pPr>
            <w:r>
              <w:rPr>
                <w:rFonts w:ascii="Arial" w:cs="Arial" w:eastAsia="Arial" w:hAnsi="Arial"/>
                <w:sz w:val="14"/>
                <w:szCs w:val="14"/>
                <w:color w:val="auto"/>
                <w:w w:val="94"/>
              </w:rPr>
              <w:t>Privacy Policy of the Registrant (Incorporated by reference to Exhibit 99.1 to the Registrant’s Annual Report on Form 10-K (File No. 814-00736),</w:t>
            </w:r>
          </w:p>
        </w:tc>
      </w:tr>
      <w:tr>
        <w:trPr>
          <w:trHeight w:val="182"/>
        </w:trPr>
        <w:tc>
          <w:tcPr>
            <w:tcW w:w="540" w:type="dxa"/>
            <w:vAlign w:val="bottom"/>
          </w:tcPr>
          <w:p>
            <w:pPr>
              <w:spacing w:after="0"/>
              <w:rPr>
                <w:sz w:val="15"/>
                <w:szCs w:val="15"/>
                <w:color w:val="auto"/>
              </w:rPr>
            </w:pPr>
          </w:p>
        </w:tc>
        <w:tc>
          <w:tcPr>
            <w:tcW w:w="8700" w:type="dxa"/>
            <w:vAlign w:val="bottom"/>
          </w:tcPr>
          <w:p>
            <w:pPr>
              <w:ind w:left="260"/>
              <w:spacing w:after="0"/>
              <w:rPr>
                <w:sz w:val="20"/>
                <w:szCs w:val="20"/>
                <w:color w:val="auto"/>
              </w:rPr>
            </w:pPr>
            <w:r>
              <w:rPr>
                <w:rFonts w:ascii="Arial" w:cs="Arial" w:eastAsia="Arial" w:hAnsi="Arial"/>
                <w:sz w:val="14"/>
                <w:szCs w:val="14"/>
                <w:color w:val="auto"/>
              </w:rPr>
              <w:t>filed on November 16,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110490</wp:posOffset>
            </wp:positionV>
            <wp:extent cx="800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Section 13(a) or 15(d)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PENNANTPARK INVESTMENT CORPORATION</w:t>
      </w:r>
    </w:p>
    <w:p>
      <w:pPr>
        <w:spacing w:after="0" w:line="204" w:lineRule="exact"/>
        <w:rPr>
          <w:sz w:val="20"/>
          <w:szCs w:val="20"/>
          <w:color w:val="auto"/>
        </w:rPr>
      </w:pPr>
    </w:p>
    <w:p>
      <w:pPr>
        <w:spacing w:after="0"/>
        <w:tabs>
          <w:tab w:leader="none" w:pos="5260" w:val="left"/>
          <w:tab w:leader="none" w:pos="7900" w:val="left"/>
        </w:tabs>
        <w:rPr>
          <w:sz w:val="20"/>
          <w:szCs w:val="20"/>
          <w:color w:val="auto"/>
        </w:rPr>
      </w:pPr>
      <w:r>
        <w:rPr>
          <w:rFonts w:ascii="Arial" w:cs="Arial" w:eastAsia="Arial" w:hAnsi="Arial"/>
          <w:sz w:val="14"/>
          <w:szCs w:val="14"/>
          <w:color w:val="auto"/>
        </w:rPr>
        <w:t>Date: August 5, 2014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Arthur H. Penn</w:t>
      </w:r>
    </w:p>
    <w:p>
      <w:pPr>
        <w:jc w:val="center"/>
        <w:ind w:left="5940"/>
        <w:spacing w:after="0" w:line="221" w:lineRule="auto"/>
        <w:rPr>
          <w:sz w:val="20"/>
          <w:szCs w:val="20"/>
          <w:color w:val="auto"/>
        </w:rPr>
      </w:pPr>
      <w:r>
        <w:rPr>
          <w:rFonts w:ascii="Arial" w:cs="Arial" w:eastAsia="Arial" w:hAnsi="Arial"/>
          <w:sz w:val="14"/>
          <w:szCs w:val="14"/>
          <w:b w:val="1"/>
          <w:bCs w:val="1"/>
          <w:color w:val="auto"/>
        </w:rPr>
        <w:t>Chairman of the Board of Directors and Chief Executive Officer</w:t>
      </w:r>
    </w:p>
    <w:p>
      <w:pPr>
        <w:jc w:val="center"/>
        <w:ind w:left="5940"/>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spacing w:after="0"/>
        <w:tabs>
          <w:tab w:leader="none" w:pos="5260" w:val="left"/>
          <w:tab w:leader="none" w:pos="8060" w:val="left"/>
        </w:tabs>
        <w:rPr>
          <w:sz w:val="20"/>
          <w:szCs w:val="20"/>
          <w:color w:val="auto"/>
        </w:rPr>
      </w:pPr>
      <w:r>
        <w:rPr>
          <w:rFonts w:ascii="Arial" w:cs="Arial" w:eastAsia="Arial" w:hAnsi="Arial"/>
          <w:sz w:val="14"/>
          <w:szCs w:val="14"/>
          <w:color w:val="auto"/>
        </w:rPr>
        <w:t>Date: August 5, 2014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Aviv Efrat</w:t>
      </w:r>
    </w:p>
    <w:p>
      <w:pPr>
        <w:spacing w:after="0" w:line="4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160"/>
          </w:cols>
          <w:pgMar w:left="320" w:top="459" w:right="41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Dated: August 5, 2014</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Dated: August 5, 2014</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120" w:right="2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2014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August 5, 2014</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In connection with this Report on Form 10-Q for the three and nine months ended June 30, 2014 (the “Report”) of PennantPark Investment Corporation (the “Registrant”), as filed with the Securities and Exchange Commission on the date hereof, I, Aviv Efrat, Chief Financial Officer of the Registrant, hereby certify, to the best of my knowledge, that:</w:t>
      </w:r>
    </w:p>
    <w:p>
      <w:pPr>
        <w:spacing w:after="0" w:line="106" w:lineRule="exact"/>
        <w:rPr>
          <w:sz w:val="20"/>
          <w:szCs w:val="20"/>
          <w:color w:val="auto"/>
        </w:rPr>
      </w:pPr>
    </w:p>
    <w:p>
      <w:pPr>
        <w:ind w:left="880" w:hanging="319"/>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880" w:hanging="319"/>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76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tabs>
          <w:tab w:leader="none" w:pos="4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tabs>
          <w:tab w:leader="none" w:pos="4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5, 2014</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2)"/>
      <w:numFmt w:val="decimal"/>
      <w:start w:val="1"/>
    </w:lvl>
  </w:abstractNum>
  <w:abstractNum w:abstractNumId="9">
    <w:nsid w:val="6B68079A"/>
    <w:multiLevelType w:val="hybridMultilevel"/>
    <w:lvl w:ilvl="0">
      <w:lvlJc w:val="left"/>
      <w:lvlText w:val="%1."/>
      <w:numFmt w:val="decimal"/>
      <w:start w:val="10"/>
    </w:lvl>
    <w:lvl w:ilvl="1">
      <w:lvlJc w:val="left"/>
      <w:lvlText w:val="%2"/>
      <w:numFmt w:val="decimal"/>
      <w:start w:val="1"/>
    </w:lvl>
  </w:abstractNum>
  <w:abstractNum w:abstractNumId="10">
    <w:nsid w:val="4E6AFB66"/>
    <w:multiLevelType w:val="hybridMultilevel"/>
    <w:lvl w:ilvl="0">
      <w:lvlJc w:val="left"/>
      <w:lvlText w:val="Ÿ"/>
      <w:numFmt w:val="bullet"/>
      <w:start w:val="1"/>
    </w:lvl>
  </w:abstractNum>
  <w:abstractNum w:abstractNumId="11">
    <w:nsid w:val="25E45D32"/>
    <w:multiLevelType w:val="hybridMultilevel"/>
    <w:lvl w:ilvl="0">
      <w:lvlJc w:val="left"/>
      <w:lvlText w:val="Ÿ"/>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2020-05-05T15:11:28Z</dcterms:created>
  <dcterms:modified xsi:type="dcterms:W3CDTF">2020-05-05T15:11:28Z</dcterms:modified>
</cp:coreProperties>
</file>