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497</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333-172524</w:t>
      </w:r>
    </w:p>
    <w:p>
      <w:pPr>
        <w:spacing w:after="0" w:line="145" w:lineRule="exact"/>
        <w:rPr>
          <w:sz w:val="24"/>
          <w:szCs w:val="24"/>
          <w:color w:val="auto"/>
        </w:rPr>
      </w:pPr>
    </w:p>
    <w:p>
      <w:pPr>
        <w:ind w:right="40"/>
        <w:spacing w:after="0" w:line="310" w:lineRule="auto"/>
        <w:rPr>
          <w:sz w:val="20"/>
          <w:szCs w:val="20"/>
          <w:color w:val="auto"/>
        </w:rPr>
      </w:pPr>
      <w:r>
        <w:rPr>
          <w:rFonts w:ascii="Arial" w:cs="Arial" w:eastAsia="Arial" w:hAnsi="Arial"/>
          <w:sz w:val="16"/>
          <w:szCs w:val="16"/>
          <w:b w:val="1"/>
          <w:bCs w:val="1"/>
          <w:color w:val="DE1A1E"/>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January 15, 2013</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January 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109855</wp:posOffset>
            </wp:positionV>
            <wp:extent cx="247015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5440"/>
        <w:spacing w:after="0"/>
        <w:rPr>
          <w:sz w:val="20"/>
          <w:szCs w:val="20"/>
          <w:color w:val="auto"/>
        </w:rPr>
      </w:pPr>
      <w:r>
        <w:rPr>
          <w:rFonts w:ascii="Arial" w:cs="Arial" w:eastAsia="Arial" w:hAnsi="Arial"/>
          <w:sz w:val="22"/>
          <w:szCs w:val="22"/>
          <w:b w:val="1"/>
          <w:bCs w:val="1"/>
          <w:color w:val="auto"/>
        </w:rPr>
        <w:t>$</w:t>
      </w:r>
    </w:p>
    <w:p>
      <w:pPr>
        <w:spacing w:after="0" w:line="44" w:lineRule="exact"/>
        <w:rPr>
          <w:sz w:val="24"/>
          <w:szCs w:val="24"/>
          <w:color w:val="auto"/>
        </w:rPr>
      </w:pPr>
    </w:p>
    <w:p>
      <w:pPr>
        <w:ind w:left="4560"/>
        <w:spacing w:after="0"/>
        <w:rPr>
          <w:sz w:val="20"/>
          <w:szCs w:val="20"/>
          <w:color w:val="auto"/>
        </w:rPr>
      </w:pPr>
      <w:r>
        <w:rPr>
          <w:rFonts w:ascii="Arial" w:cs="Arial" w:eastAsia="Arial" w:hAnsi="Arial"/>
          <w:sz w:val="22"/>
          <w:szCs w:val="22"/>
          <w:b w:val="1"/>
          <w:bCs w:val="1"/>
          <w:color w:val="auto"/>
        </w:rPr>
        <w:t>% Senior Notes due 2025</w:t>
      </w:r>
    </w:p>
    <w:p>
      <w:pPr>
        <w:spacing w:after="0" w:line="63" w:lineRule="exact"/>
        <w:rPr>
          <w:sz w:val="24"/>
          <w:szCs w:val="24"/>
          <w:color w:val="auto"/>
        </w:rPr>
      </w:pPr>
    </w:p>
    <w:p>
      <w:pPr>
        <w:ind w:left="460"/>
        <w:spacing w:after="0"/>
        <w:tabs>
          <w:tab w:leader="none" w:pos="2640" w:val="left"/>
          <w:tab w:leader="none" w:pos="5140" w:val="left"/>
        </w:tabs>
        <w:rPr>
          <w:sz w:val="20"/>
          <w:szCs w:val="20"/>
          <w:color w:val="auto"/>
        </w:rPr>
      </w:pPr>
      <w:r>
        <w:rPr>
          <w:rFonts w:ascii="Arial" w:cs="Arial" w:eastAsia="Arial" w:hAnsi="Arial"/>
          <w:sz w:val="18"/>
          <w:szCs w:val="18"/>
          <w:color w:val="auto"/>
        </w:rPr>
        <w:t>We are offering for sale $</w:t>
      </w:r>
      <w:r>
        <w:rPr>
          <w:sz w:val="20"/>
          <w:szCs w:val="20"/>
          <w:color w:val="auto"/>
        </w:rPr>
        <w:tab/>
      </w:r>
      <w:r>
        <w:rPr>
          <w:rFonts w:ascii="Arial" w:cs="Arial" w:eastAsia="Arial" w:hAnsi="Arial"/>
          <w:sz w:val="18"/>
          <w:szCs w:val="18"/>
          <w:color w:val="auto"/>
        </w:rPr>
        <w:t>in aggregate principal amount of</w:t>
      </w:r>
      <w:r>
        <w:rPr>
          <w:sz w:val="20"/>
          <w:szCs w:val="20"/>
          <w:color w:val="auto"/>
        </w:rPr>
        <w:tab/>
      </w:r>
      <w:r>
        <w:rPr>
          <w:rFonts w:ascii="Arial" w:cs="Arial" w:eastAsia="Arial" w:hAnsi="Arial"/>
          <w:sz w:val="15"/>
          <w:szCs w:val="15"/>
          <w:color w:val="auto"/>
        </w:rPr>
        <w:t>% senior notes due 2025, which we refer to as the Notes. The Notes will mature on</w:t>
      </w:r>
    </w:p>
    <w:p>
      <w:pPr>
        <w:spacing w:after="0" w:line="15" w:lineRule="exact"/>
        <w:rPr>
          <w:sz w:val="24"/>
          <w:szCs w:val="24"/>
          <w:color w:val="auto"/>
        </w:rPr>
      </w:pPr>
    </w:p>
    <w:p>
      <w:pPr>
        <w:ind w:right="80"/>
        <w:spacing w:after="0" w:line="254" w:lineRule="auto"/>
        <w:rPr>
          <w:sz w:val="20"/>
          <w:szCs w:val="20"/>
          <w:color w:val="auto"/>
        </w:rPr>
      </w:pPr>
      <w:r>
        <w:rPr>
          <w:rFonts w:ascii="Arial" w:cs="Arial" w:eastAsia="Arial" w:hAnsi="Arial"/>
          <w:sz w:val="18"/>
          <w:szCs w:val="18"/>
          <w:color w:val="auto"/>
        </w:rPr>
        <w:t>February 1, 2025. We will pay interest on the Notes on February 1, May 1, August 1 and November 1 of each year, beginning on May 1, 2013. We may redeem the Notes in whole or in part at any time or from time to time on or after February 1, 2016 at the redemption price discussed under the caption “Specific Terms of the Notes and the Offering—Optional redemption” in this prospectus supplement. The Notes will be issued in minimum denominations of $25 and integral multiples of $25 in excess thereof.</w:t>
      </w:r>
    </w:p>
    <w:p>
      <w:pPr>
        <w:spacing w:after="0" w:line="36" w:lineRule="exact"/>
        <w:rPr>
          <w:sz w:val="24"/>
          <w:szCs w:val="24"/>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 xml:space="preserve">The Notes will be our direct senior unsecured obligations and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future unsecured unsubordinated indebtedness issued by PennantPark Investment Corporation. We intend to list the Notes on the New York Stock Exchange and we expect trading in the Notes on the New York Stock Exchange to begin within 30 days of the original issue date. The Notes are expected to trade “flat.” This means that purchasers will not pay, and sellers will not receive, any accrued and unpaid interest on the Notes that is not included in the trading price. Currently, there is no public market for the Notes.</w:t>
      </w:r>
    </w:p>
    <w:p>
      <w:pPr>
        <w:spacing w:after="0" w:line="5" w:lineRule="exact"/>
        <w:rPr>
          <w:sz w:val="24"/>
          <w:szCs w:val="24"/>
          <w:color w:val="auto"/>
        </w:rPr>
      </w:pPr>
    </w:p>
    <w:p>
      <w:pPr>
        <w:ind w:right="40" w:firstLine="456"/>
        <w:spacing w:after="0" w:line="294" w:lineRule="auto"/>
        <w:rPr>
          <w:sz w:val="20"/>
          <w:szCs w:val="20"/>
          <w:color w:val="auto"/>
        </w:rPr>
      </w:pPr>
      <w:r>
        <w:rPr>
          <w:rFonts w:ascii="Arial" w:cs="Arial" w:eastAsia="Arial" w:hAnsi="Arial"/>
          <w:sz w:val="16"/>
          <w:szCs w:val="16"/>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through debt and equity investments primarily in U.S. middle-market private companies in the form of senior secured loans, mezzanine debt and equity investments. We are externally managed by PennantPark Investment Advisers, LLC. PennantPark Investment Administration, LLC provides the administrative services necessary for us to operate.</w:t>
      </w:r>
    </w:p>
    <w:p>
      <w:pPr>
        <w:spacing w:after="0" w:line="8" w:lineRule="exact"/>
        <w:rPr>
          <w:sz w:val="24"/>
          <w:szCs w:val="24"/>
          <w:color w:val="auto"/>
        </w:rPr>
      </w:pPr>
    </w:p>
    <w:p>
      <w:pPr>
        <w:ind w:right="280" w:firstLine="456"/>
        <w:spacing w:after="0" w:line="291" w:lineRule="auto"/>
        <w:rPr>
          <w:sz w:val="20"/>
          <w:szCs w:val="20"/>
          <w:color w:val="auto"/>
        </w:rPr>
      </w:pPr>
      <w:r>
        <w:rPr>
          <w:rFonts w:ascii="Arial" w:cs="Arial" w:eastAsia="Arial" w:hAnsi="Arial"/>
          <w:sz w:val="16"/>
          <w:szCs w:val="16"/>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The information on our website is not incorporated by reference into this prospectus supplement or the accompanying prospectus.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33" w:lineRule="exact"/>
        <w:rPr>
          <w:sz w:val="24"/>
          <w:szCs w:val="24"/>
          <w:color w:val="auto"/>
        </w:rPr>
      </w:pPr>
    </w:p>
    <w:p>
      <w:pPr>
        <w:ind w:right="560" w:firstLine="456"/>
        <w:spacing w:after="0" w:line="262" w:lineRule="auto"/>
        <w:rPr>
          <w:sz w:val="20"/>
          <w:szCs w:val="20"/>
          <w:color w:val="auto"/>
        </w:rPr>
      </w:pPr>
      <w:r>
        <w:rPr>
          <w:rFonts w:ascii="Arial" w:cs="Arial" w:eastAsia="Arial" w:hAnsi="Arial"/>
          <w:sz w:val="18"/>
          <w:szCs w:val="18"/>
          <w:b w:val="1"/>
          <w:bCs w:val="1"/>
          <w:color w:val="auto"/>
        </w:rPr>
        <w:t>Investing in our securities involves a high degree of risk, including the risk of leverage. Before buying any of our Notes, you should read the discussion of the material risks of investing in us in “Risk Factors” beginning on page S-16 of the this prospectus supplement and page 8 of the accompanying prospectus.</w:t>
      </w:r>
    </w:p>
    <w:p>
      <w:pPr>
        <w:spacing w:after="0" w:line="24" w:lineRule="exact"/>
        <w:rPr>
          <w:sz w:val="24"/>
          <w:szCs w:val="24"/>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3"/>
              </w:rPr>
              <w:t>Per Note</w:t>
            </w:r>
          </w:p>
        </w:tc>
        <w:tc>
          <w:tcPr>
            <w:tcW w:w="640" w:type="dxa"/>
            <w:vAlign w:val="bottom"/>
          </w:tcPr>
          <w:p>
            <w:pPr>
              <w:spacing w:after="0"/>
              <w:rPr>
                <w:sz w:val="14"/>
                <w:szCs w:val="14"/>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36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p>
        </w:tc>
        <w:tc>
          <w:tcPr>
            <w:tcW w:w="3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jc w:val="right"/>
              <w:ind w:right="392"/>
              <w:spacing w:after="0"/>
              <w:rPr>
                <w:sz w:val="20"/>
                <w:szCs w:val="20"/>
                <w:color w:val="auto"/>
              </w:rPr>
            </w:pPr>
            <w:r>
              <w:rPr>
                <w:rFonts w:ascii="Arial" w:cs="Arial" w:eastAsia="Arial" w:hAnsi="Arial"/>
                <w:sz w:val="18"/>
                <w:szCs w:val="18"/>
                <w:color w:val="auto"/>
                <w:w w:val="87"/>
              </w:rPr>
              <w:t>%</w:t>
            </w:r>
          </w:p>
        </w:tc>
        <w:tc>
          <w:tcPr>
            <w:tcW w:w="620" w:type="dxa"/>
            <w:vAlign w:val="bottom"/>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89"/>
              </w:rPr>
              <w:t>Proceeds to PennantPark Investment Corporation (before estimated expenses of $</w:t>
            </w:r>
          </w:p>
        </w:tc>
        <w:tc>
          <w:tcPr>
            <w:tcW w:w="3640" w:type="dxa"/>
            <w:vAlign w:val="bottom"/>
            <w:shd w:val="clear" w:color="auto" w:fill="CCEEFF"/>
          </w:tcPr>
          <w:p>
            <w:pPr>
              <w:jc w:val="right"/>
              <w:ind w:right="33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87"/>
              </w:rPr>
              <w:t>%</w:t>
            </w: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ind w:right="200" w:firstLine="456"/>
        <w:spacing w:after="0" w:line="287" w:lineRule="auto"/>
        <w:rPr>
          <w:sz w:val="20"/>
          <w:szCs w:val="20"/>
          <w:color w:val="auto"/>
        </w:rPr>
      </w:pPr>
      <w:r>
        <w:rPr>
          <w:rFonts w:ascii="Arial" w:cs="Arial" w:eastAsia="Arial" w:hAnsi="Arial"/>
          <w:sz w:val="16"/>
          <w:szCs w:val="16"/>
          <w:b w:val="1"/>
          <w:bCs w:val="1"/>
          <w:color w:val="auto"/>
        </w:rPr>
        <w:t>The underwriters may also purchase up to an additional $ aggregate principal amount of Notes from us at the public offering price, less the underwriting discounts, within 30 days from the date of this prospectus supplement to cover overallotments, if any. If the underwriters exercise this option in full, the total public offering price will be $ , the total underwriting discount and commissions (sales load) paid by us will be $ , and</w:t>
      </w:r>
    </w:p>
    <w:p>
      <w:pPr>
        <w:spacing w:after="0" w:line="1" w:lineRule="exact"/>
        <w:rPr>
          <w:sz w:val="24"/>
          <w:szCs w:val="24"/>
          <w:color w:val="auto"/>
        </w:rPr>
      </w:pPr>
    </w:p>
    <w:p>
      <w:pPr>
        <w:spacing w:after="0"/>
        <w:tabs>
          <w:tab w:leader="none" w:pos="4120" w:val="left"/>
        </w:tabs>
        <w:rPr>
          <w:sz w:val="20"/>
          <w:szCs w:val="20"/>
          <w:color w:val="auto"/>
        </w:rPr>
      </w:pPr>
      <w:r>
        <w:rPr>
          <w:rFonts w:ascii="Arial" w:cs="Arial" w:eastAsia="Arial" w:hAnsi="Arial"/>
          <w:sz w:val="16"/>
          <w:szCs w:val="16"/>
          <w:b w:val="1"/>
          <w:bCs w:val="1"/>
          <w:color w:val="auto"/>
        </w:rPr>
        <w:t>total proceeds, before estimated expenses, will be $</w:t>
      </w:r>
      <w:r>
        <w:rPr>
          <w:sz w:val="20"/>
          <w:szCs w:val="20"/>
          <w:color w:val="auto"/>
        </w:rPr>
        <w:tab/>
      </w:r>
      <w:r>
        <w:rPr>
          <w:rFonts w:ascii="Arial" w:cs="Arial" w:eastAsia="Arial" w:hAnsi="Arial"/>
          <w:sz w:val="14"/>
          <w:szCs w:val="14"/>
          <w:b w:val="1"/>
          <w:bCs w:val="1"/>
          <w:color w:val="auto"/>
        </w:rPr>
        <w:t>.</w:t>
      </w:r>
    </w:p>
    <w:p>
      <w:pPr>
        <w:sectPr>
          <w:pgSz w:w="11900" w:h="16838" w:orient="portrait"/>
          <w:cols w:equalWidth="0" w:num="1">
            <w:col w:w="11420"/>
          </w:cols>
          <w:pgMar w:left="240" w:top="230" w:right="239" w:bottom="1051" w:gutter="0" w:footer="0" w:header="0"/>
        </w:sectPr>
      </w:pPr>
    </w:p>
    <w:p>
      <w:pPr>
        <w:spacing w:after="0" w:line="8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public offering price set forth above does not include accrued interest, if any. Interest on the Notes will accrue from</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Arial" w:cs="Arial" w:eastAsia="Arial" w:hAnsi="Arial"/>
          <w:sz w:val="15"/>
          <w:szCs w:val="15"/>
          <w:color w:val="auto"/>
        </w:rPr>
        <w:t>, 2013.</w:t>
      </w:r>
    </w:p>
    <w:p>
      <w:pPr>
        <w:spacing w:after="0" w:line="91" w:lineRule="exact"/>
        <w:rPr>
          <w:sz w:val="24"/>
          <w:szCs w:val="24"/>
          <w:color w:val="auto"/>
        </w:rPr>
      </w:pPr>
    </w:p>
    <w:p>
      <w:pPr>
        <w:sectPr>
          <w:pgSz w:w="11900" w:h="16838" w:orient="portrait"/>
          <w:cols w:equalWidth="0" w:num="2">
            <w:col w:w="8880" w:space="580"/>
            <w:col w:w="1960"/>
          </w:cols>
          <w:pgMar w:left="240" w:top="230" w:right="239" w:bottom="1051"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THE NOTES ARE NOT DEPOSITS OR OTHER OBLIGATIONS OF A BANK AND ARE NOT INSURED BY THE FEDERAL DEPOSIT</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7020" w:type="dxa"/>
            <w:vAlign w:val="bottom"/>
          </w:tcPr>
          <w:p>
            <w:pPr>
              <w:spacing w:after="0"/>
              <w:rPr>
                <w:sz w:val="20"/>
                <w:szCs w:val="20"/>
                <w:color w:val="auto"/>
              </w:rPr>
            </w:pPr>
            <w:r>
              <w:rPr>
                <w:rFonts w:ascii="Arial" w:cs="Arial" w:eastAsia="Arial" w:hAnsi="Arial"/>
                <w:sz w:val="18"/>
                <w:szCs w:val="18"/>
                <w:b w:val="1"/>
                <w:bCs w:val="1"/>
                <w:color w:val="auto"/>
              </w:rPr>
              <w:t>INSURANCE CORPORATION OR ANY OTHER GOVERNMENT AGENCY.</w:t>
            </w:r>
          </w:p>
        </w:tc>
        <w:tc>
          <w:tcPr>
            <w:tcW w:w="2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9240" w:type="dxa"/>
            <w:vAlign w:val="bottom"/>
            <w:gridSpan w:val="2"/>
          </w:tcPr>
          <w:p>
            <w:pPr>
              <w:ind w:left="460"/>
              <w:spacing w:after="0"/>
              <w:rPr>
                <w:sz w:val="20"/>
                <w:szCs w:val="20"/>
                <w:color w:val="auto"/>
              </w:rPr>
            </w:pPr>
            <w:r>
              <w:rPr>
                <w:rFonts w:ascii="Arial" w:cs="Arial" w:eastAsia="Arial" w:hAnsi="Arial"/>
                <w:sz w:val="18"/>
                <w:szCs w:val="18"/>
                <w:color w:val="auto"/>
                <w:w w:val="96"/>
              </w:rPr>
              <w:t>Delivery of the Notes in book-entry form through The Depository Trust Company, or DTC, will be made on or about</w:t>
            </w:r>
          </w:p>
        </w:tc>
        <w:tc>
          <w:tcPr>
            <w:tcW w:w="2180" w:type="dxa"/>
            <w:vAlign w:val="bottom"/>
          </w:tcPr>
          <w:p>
            <w:pPr>
              <w:jc w:val="right"/>
              <w:ind w:right="1592"/>
              <w:spacing w:after="0"/>
              <w:rPr>
                <w:sz w:val="20"/>
                <w:szCs w:val="20"/>
                <w:color w:val="auto"/>
              </w:rPr>
            </w:pPr>
            <w:r>
              <w:rPr>
                <w:rFonts w:ascii="Arial" w:cs="Arial" w:eastAsia="Arial" w:hAnsi="Arial"/>
                <w:sz w:val="18"/>
                <w:szCs w:val="18"/>
                <w:color w:val="auto"/>
                <w:w w:val="87"/>
              </w:rPr>
              <w:t>, 2013.</w:t>
            </w:r>
          </w:p>
        </w:tc>
        <w:tc>
          <w:tcPr>
            <w:tcW w:w="0" w:type="dxa"/>
            <w:vAlign w:val="bottom"/>
          </w:tcPr>
          <w:p>
            <w:pPr>
              <w:spacing w:after="0"/>
              <w:rPr>
                <w:sz w:val="1"/>
                <w:szCs w:val="1"/>
                <w:color w:val="auto"/>
              </w:rPr>
            </w:pPr>
          </w:p>
        </w:tc>
      </w:tr>
      <w:tr>
        <w:trPr>
          <w:trHeight w:val="285"/>
        </w:trPr>
        <w:tc>
          <w:tcPr>
            <w:tcW w:w="7020" w:type="dxa"/>
            <w:vAlign w:val="bottom"/>
          </w:tcPr>
          <w:p>
            <w:pPr>
              <w:spacing w:after="0"/>
              <w:rPr>
                <w:sz w:val="20"/>
                <w:szCs w:val="20"/>
                <w:color w:val="auto"/>
              </w:rPr>
            </w:pPr>
            <w:r>
              <w:rPr>
                <w:rFonts w:ascii="Arial" w:cs="Arial" w:eastAsia="Arial" w:hAnsi="Arial"/>
                <w:sz w:val="18"/>
                <w:szCs w:val="18"/>
                <w:b w:val="1"/>
                <w:bCs w:val="1"/>
                <w:color w:val="auto"/>
              </w:rPr>
              <w:t>Stifel Nicolaus Weisel</w:t>
            </w:r>
          </w:p>
        </w:tc>
        <w:tc>
          <w:tcPr>
            <w:tcW w:w="22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RBC Capital Markets</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Baird</w:t>
            </w:r>
          </w:p>
        </w:tc>
        <w:tc>
          <w:tcPr>
            <w:tcW w:w="2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1740"/>
              <w:spacing w:after="0"/>
              <w:rPr>
                <w:sz w:val="20"/>
                <w:szCs w:val="20"/>
                <w:color w:val="auto"/>
              </w:rPr>
            </w:pPr>
            <w:r>
              <w:rPr>
                <w:rFonts w:ascii="Arial" w:cs="Arial" w:eastAsia="Arial" w:hAnsi="Arial"/>
                <w:sz w:val="18"/>
                <w:szCs w:val="18"/>
                <w:b w:val="1"/>
                <w:bCs w:val="1"/>
                <w:color w:val="auto"/>
              </w:rPr>
              <w:t>Credit Suisse</w:t>
            </w:r>
          </w:p>
        </w:tc>
        <w:tc>
          <w:tcPr>
            <w:tcW w:w="2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3920"/>
              <w:spacing w:after="0"/>
              <w:rPr>
                <w:sz w:val="20"/>
                <w:szCs w:val="20"/>
                <w:color w:val="auto"/>
              </w:rPr>
            </w:pPr>
            <w:r>
              <w:rPr>
                <w:rFonts w:ascii="Arial" w:cs="Arial" w:eastAsia="Arial" w:hAnsi="Arial"/>
                <w:sz w:val="18"/>
                <w:szCs w:val="18"/>
                <w:b w:val="1"/>
                <w:bCs w:val="1"/>
                <w:color w:val="auto"/>
              </w:rPr>
              <w:t>Janney Montgomery Scott</w:t>
            </w:r>
          </w:p>
        </w:tc>
        <w:tc>
          <w:tcPr>
            <w:tcW w:w="2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6080"/>
              <w:spacing w:after="0"/>
              <w:rPr>
                <w:sz w:val="20"/>
                <w:szCs w:val="20"/>
                <w:color w:val="auto"/>
              </w:rPr>
            </w:pPr>
            <w:r>
              <w:rPr>
                <w:rFonts w:ascii="Arial" w:cs="Arial" w:eastAsia="Arial" w:hAnsi="Arial"/>
                <w:sz w:val="18"/>
                <w:szCs w:val="18"/>
                <w:b w:val="1"/>
                <w:bCs w:val="1"/>
                <w:color w:val="auto"/>
              </w:rPr>
              <w:t>Ladenburg Thalmann &amp; Co. Inc.</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0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Stephens Inc.</w:t>
            </w:r>
          </w:p>
        </w:tc>
        <w:tc>
          <w:tcPr>
            <w:tcW w:w="218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Sterne Agee</w:t>
            </w:r>
          </w:p>
        </w:tc>
        <w:tc>
          <w:tcPr>
            <w:tcW w:w="0" w:type="dxa"/>
            <w:vAlign w:val="bottom"/>
          </w:tcPr>
          <w:p>
            <w:pPr>
              <w:spacing w:after="0"/>
              <w:rPr>
                <w:sz w:val="1"/>
                <w:szCs w:val="1"/>
                <w:color w:val="auto"/>
              </w:rPr>
            </w:pPr>
          </w:p>
        </w:tc>
      </w:tr>
      <w:tr>
        <w:trPr>
          <w:trHeight w:val="216"/>
        </w:trPr>
        <w:tc>
          <w:tcPr>
            <w:tcW w:w="7020" w:type="dxa"/>
            <w:vAlign w:val="bottom"/>
            <w:vMerge w:val="restart"/>
          </w:tcPr>
          <w:p>
            <w:pPr>
              <w:ind w:left="3640"/>
              <w:spacing w:after="0"/>
              <w:rPr>
                <w:sz w:val="20"/>
                <w:szCs w:val="20"/>
                <w:color w:val="auto"/>
              </w:rPr>
            </w:pPr>
            <w:r>
              <w:rPr>
                <w:rFonts w:ascii="Arial" w:cs="Arial" w:eastAsia="Arial" w:hAnsi="Arial"/>
                <w:sz w:val="18"/>
                <w:szCs w:val="18"/>
                <w:b w:val="1"/>
                <w:bCs w:val="1"/>
                <w:color w:val="auto"/>
                <w:w w:val="93"/>
              </w:rPr>
              <w:t>The date of this prospectus supplement is</w:t>
            </w:r>
          </w:p>
        </w:tc>
        <w:tc>
          <w:tcPr>
            <w:tcW w:w="2220" w:type="dxa"/>
            <w:vAlign w:val="bottom"/>
            <w:vMerge w:val="restart"/>
          </w:tcPr>
          <w:p>
            <w:pPr>
              <w:jc w:val="right"/>
              <w:ind w:right="1372"/>
              <w:spacing w:after="0"/>
              <w:rPr>
                <w:sz w:val="20"/>
                <w:szCs w:val="20"/>
                <w:color w:val="auto"/>
              </w:rPr>
            </w:pPr>
            <w:r>
              <w:rPr>
                <w:rFonts w:ascii="Arial" w:cs="Arial" w:eastAsia="Arial" w:hAnsi="Arial"/>
                <w:sz w:val="18"/>
                <w:szCs w:val="18"/>
                <w:b w:val="1"/>
                <w:bCs w:val="1"/>
                <w:color w:val="auto"/>
              </w:rPr>
              <w:t>, 2013.</w:t>
            </w:r>
          </w:p>
        </w:tc>
        <w:tc>
          <w:tcPr>
            <w:tcW w:w="2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051"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supplement and the accompanying prospectus when considering whether to purchase any securities offered by this prospectus supplement.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gridSpan w:val="2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SPECIFIC TERMS OF THE NOTES AND THE OFFERING</w:t>
              </w:r>
            </w:hyperlink>
          </w:p>
        </w:tc>
        <w:tc>
          <w:tcPr>
            <w:tcW w:w="19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96"/>
        </w:trPr>
        <w:tc>
          <w:tcPr>
            <w:tcW w:w="36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b w:val="1"/>
                <w:bCs w:val="1"/>
                <w:color w:val="0000EE"/>
                <w:w w:val="96"/>
              </w:rPr>
            </w:pPr>
            <w:hyperlink w:anchor="page8">
              <w:r>
                <w:rPr>
                  <w:rFonts w:ascii="Arial" w:cs="Arial" w:eastAsia="Arial" w:hAnsi="Arial"/>
                  <w:sz w:val="18"/>
                  <w:szCs w:val="18"/>
                  <w:b w:val="1"/>
                  <w:bCs w:val="1"/>
                  <w:color w:val="0000EE"/>
                  <w:w w:val="96"/>
                </w:rPr>
                <w:t>SUPPLEMENTAL PROSPECTUS SUMMARY</w:t>
              </w:r>
            </w:hyperlink>
          </w:p>
        </w:tc>
        <w:tc>
          <w:tcPr>
            <w:tcW w:w="1020" w:type="dxa"/>
            <w:vAlign w:val="bottom"/>
            <w:tcBorders>
              <w:top w:val="single" w:sz="8" w:color="0000EE"/>
            </w:tcBorders>
            <w:gridSpan w:val="3"/>
          </w:tcPr>
          <w:p>
            <w:pPr>
              <w:spacing w:after="0"/>
              <w:rPr>
                <w:sz w:val="17"/>
                <w:szCs w:val="17"/>
                <w:color w:val="auto"/>
              </w:rPr>
            </w:pPr>
          </w:p>
        </w:tc>
        <w:tc>
          <w:tcPr>
            <w:tcW w:w="4440" w:type="dxa"/>
            <w:vAlign w:val="bottom"/>
            <w:gridSpan w:val="5"/>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S-5</w:t>
            </w:r>
          </w:p>
        </w:tc>
        <w:tc>
          <w:tcPr>
            <w:tcW w:w="0" w:type="dxa"/>
            <w:vAlign w:val="bottom"/>
          </w:tcPr>
          <w:p>
            <w:pPr>
              <w:spacing w:after="0"/>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FORWARD-LOOKING STATEMENTS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RISK FACTORS</w:t>
              </w:r>
            </w:hyperlink>
          </w:p>
        </w:tc>
        <w:tc>
          <w:tcPr>
            <w:tcW w:w="6040" w:type="dxa"/>
            <w:vAlign w:val="bottom"/>
            <w:gridSpan w:val="11"/>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3"/>
              </w:rPr>
            </w:pPr>
            <w:hyperlink w:anchor="page22">
              <w:r>
                <w:rPr>
                  <w:rFonts w:ascii="Arial" w:cs="Arial" w:eastAsia="Arial" w:hAnsi="Arial"/>
                  <w:sz w:val="18"/>
                  <w:szCs w:val="18"/>
                  <w:b w:val="1"/>
                  <w:bCs w:val="1"/>
                  <w:color w:val="0000EE"/>
                  <w:w w:val="93"/>
                </w:rPr>
                <w:t>USE OF PROCEEDS</w:t>
              </w:r>
            </w:hyperlink>
          </w:p>
        </w:tc>
        <w:tc>
          <w:tcPr>
            <w:tcW w:w="7440" w:type="dxa"/>
            <w:vAlign w:val="bottom"/>
            <w:gridSpan w:val="17"/>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S-19</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CAPITALIZATION</w:t>
              </w:r>
            </w:hyperlink>
          </w:p>
        </w:tc>
        <w:tc>
          <w:tcPr>
            <w:tcW w:w="7540" w:type="dxa"/>
            <w:vAlign w:val="bottom"/>
            <w:gridSpan w:val="18"/>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RATIO OF EARNINGS TO FIXED CHARGES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b w:val="1"/>
                <w:bCs w:val="1"/>
                <w:color w:val="0000EE"/>
                <w:w w:val="98"/>
              </w:rPr>
            </w:pPr>
            <w:hyperlink w:anchor="page25">
              <w:r>
                <w:rPr>
                  <w:rFonts w:ascii="Arial" w:cs="Arial" w:eastAsia="Arial" w:hAnsi="Arial"/>
                  <w:sz w:val="18"/>
                  <w:szCs w:val="18"/>
                  <w:b w:val="1"/>
                  <w:bCs w:val="1"/>
                  <w:color w:val="0000EE"/>
                  <w:w w:val="98"/>
                </w:rPr>
                <w:t>SELECTED FINANCIAL DATA</w:t>
              </w:r>
            </w:hyperlink>
          </w:p>
        </w:tc>
        <w:tc>
          <w:tcPr>
            <w:tcW w:w="1120" w:type="dxa"/>
            <w:vAlign w:val="bottom"/>
            <w:tcBorders>
              <w:top w:val="single" w:sz="8" w:color="0000EE"/>
            </w:tcBorders>
            <w:gridSpan w:val="4"/>
          </w:tcPr>
          <w:p>
            <w:pPr>
              <w:spacing w:after="0"/>
              <w:rPr>
                <w:sz w:val="17"/>
                <w:szCs w:val="17"/>
                <w:color w:val="auto"/>
              </w:rPr>
            </w:pPr>
          </w:p>
        </w:tc>
        <w:tc>
          <w:tcPr>
            <w:tcW w:w="5460" w:type="dxa"/>
            <w:vAlign w:val="bottom"/>
            <w:gridSpan w:val="8"/>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196"/>
        </w:trPr>
        <w:tc>
          <w:tcPr>
            <w:tcW w:w="908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7"/>
              </w:rPr>
            </w:pPr>
            <w:hyperlink w:anchor="page28">
              <w:r>
                <w:rPr>
                  <w:rFonts w:ascii="Arial" w:cs="Arial" w:eastAsia="Arial" w:hAnsi="Arial"/>
                  <w:sz w:val="18"/>
                  <w:szCs w:val="18"/>
                  <w:b w:val="1"/>
                  <w:bCs w:val="1"/>
                  <w:color w:val="0000EE"/>
                  <w:w w:val="97"/>
                </w:rPr>
                <w:t>MANAGEMENT’S DISCUSSION AND ANALYSIS OF FINANCIAL CONDITION AND RESULTS OF OPERATIONS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SENIOR SECURITIES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S-38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97"/>
              </w:rPr>
            </w:pPr>
            <w:hyperlink w:anchor="page42">
              <w:r>
                <w:rPr>
                  <w:rFonts w:ascii="Arial" w:cs="Arial" w:eastAsia="Arial" w:hAnsi="Arial"/>
                  <w:sz w:val="18"/>
                  <w:szCs w:val="18"/>
                  <w:b w:val="1"/>
                  <w:bCs w:val="1"/>
                  <w:color w:val="0000EE"/>
                  <w:w w:val="97"/>
                </w:rPr>
                <w:t>CERTAIN U.S. FEDERAL INCOME TAX CONSIDERATIONS</w:t>
              </w:r>
            </w:hyperlink>
          </w:p>
        </w:tc>
        <w:tc>
          <w:tcPr>
            <w:tcW w:w="4220" w:type="dxa"/>
            <w:vAlign w:val="bottom"/>
            <w:gridSpan w:val="2"/>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S-39</w:t>
            </w:r>
          </w:p>
        </w:tc>
        <w:tc>
          <w:tcPr>
            <w:tcW w:w="0" w:type="dxa"/>
            <w:vAlign w:val="bottom"/>
          </w:tcPr>
          <w:p>
            <w:pPr>
              <w:spacing w:after="0"/>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UNDERWRITING</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S-43</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LEGAL MATTERS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S-46</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INDEX TO FINANCIAL STATEMENTS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S-47</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98"/>
              </w:rPr>
            </w:pPr>
            <w:hyperlink w:anchor="page84">
              <w:r>
                <w:rPr>
                  <w:rFonts w:ascii="Arial" w:cs="Arial" w:eastAsia="Arial" w:hAnsi="Arial"/>
                  <w:sz w:val="18"/>
                  <w:szCs w:val="18"/>
                  <w:b w:val="1"/>
                  <w:bCs w:val="1"/>
                  <w:color w:val="0000EE"/>
                  <w:w w:val="98"/>
                </w:rPr>
                <w:t>CONSENT LETTER OF INDEPENDENT REGISTERED PUBLIC ACCOUNTING FIRM</w:t>
              </w:r>
            </w:hyperlink>
          </w:p>
        </w:tc>
        <w:tc>
          <w:tcPr>
            <w:tcW w:w="2180" w:type="dxa"/>
            <w:vAlign w:val="bottom"/>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S-81</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2"/>
          </w:tcPr>
          <w:p>
            <w:pPr>
              <w:ind w:left="280"/>
              <w:spacing w:after="0"/>
              <w:rPr>
                <w:sz w:val="20"/>
                <w:szCs w:val="20"/>
                <w:color w:val="auto"/>
              </w:rPr>
            </w:pPr>
            <w:r>
              <w:rPr>
                <w:rFonts w:ascii="Arial" w:cs="Arial" w:eastAsia="Arial" w:hAnsi="Arial"/>
                <w:sz w:val="18"/>
                <w:szCs w:val="18"/>
                <w:b w:val="1"/>
                <w:bCs w:val="1"/>
                <w:color w:val="auto"/>
              </w:rPr>
              <w:t>PROSPECTUS</w:t>
            </w: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080" w:type="dxa"/>
            <w:vAlign w:val="bottom"/>
            <w:gridSpan w:val="24"/>
            <w:vMerge w:val="restart"/>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PROSPECTUS SUMMARY</w:t>
              </w:r>
            </w:hyperlink>
          </w:p>
        </w:tc>
        <w:tc>
          <w:tcPr>
            <w:tcW w:w="19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9080" w:type="dxa"/>
            <w:vAlign w:val="bottom"/>
            <w:gridSpan w:val="24"/>
            <w:vMerge w:val="continue"/>
          </w:tcPr>
          <w:p>
            <w:pPr>
              <w:spacing w:after="0"/>
              <w:rPr>
                <w:sz w:val="13"/>
                <w:szCs w:val="13"/>
                <w:color w:val="auto"/>
              </w:rPr>
            </w:pPr>
          </w:p>
        </w:tc>
        <w:tc>
          <w:tcPr>
            <w:tcW w:w="1960" w:type="dxa"/>
            <w:vAlign w:val="bottom"/>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214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FEES AND EXPENSES</w:t>
              </w:r>
            </w:hyperlink>
          </w:p>
        </w:tc>
        <w:tc>
          <w:tcPr>
            <w:tcW w:w="6940" w:type="dxa"/>
            <w:vAlign w:val="bottom"/>
            <w:gridSpan w:val="14"/>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RISK FACTORS</w:t>
              </w:r>
            </w:hyperlink>
          </w:p>
        </w:tc>
        <w:tc>
          <w:tcPr>
            <w:tcW w:w="7260" w:type="dxa"/>
            <w:vAlign w:val="bottom"/>
            <w:gridSpan w:val="15"/>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FORWARD-LOOKING STATEMENTS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3"/>
              </w:rPr>
            </w:pPr>
            <w:hyperlink w:anchor="page120">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6"/>
          </w:tcPr>
          <w:p>
            <w:pPr>
              <w:spacing w:after="0"/>
              <w:rPr>
                <w:sz w:val="17"/>
                <w:szCs w:val="17"/>
                <w:color w:val="auto"/>
              </w:rPr>
            </w:pPr>
          </w:p>
        </w:tc>
        <w:tc>
          <w:tcPr>
            <w:tcW w:w="6040" w:type="dxa"/>
            <w:vAlign w:val="bottom"/>
            <w:gridSpan w:val="11"/>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8"/>
              </w:rPr>
            </w:pPr>
            <w:hyperlink w:anchor="page121">
              <w:r>
                <w:rPr>
                  <w:rFonts w:ascii="Arial" w:cs="Arial" w:eastAsia="Arial" w:hAnsi="Arial"/>
                  <w:sz w:val="18"/>
                  <w:szCs w:val="18"/>
                  <w:b w:val="1"/>
                  <w:bCs w:val="1"/>
                  <w:color w:val="0000EE"/>
                  <w:w w:val="98"/>
                </w:rPr>
                <w:t>SELECTED FINANCIAL DATA</w:t>
              </w:r>
            </w:hyperlink>
          </w:p>
        </w:tc>
        <w:tc>
          <w:tcPr>
            <w:tcW w:w="6580" w:type="dxa"/>
            <w:vAlign w:val="bottom"/>
            <w:gridSpan w:val="12"/>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908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7"/>
              </w:rPr>
            </w:pPr>
            <w:hyperlink w:anchor="page123">
              <w:r>
                <w:rPr>
                  <w:rFonts w:ascii="Arial" w:cs="Arial" w:eastAsia="Arial" w:hAnsi="Arial"/>
                  <w:sz w:val="18"/>
                  <w:szCs w:val="18"/>
                  <w:b w:val="1"/>
                  <w:bCs w:val="1"/>
                  <w:color w:val="0000EE"/>
                  <w:w w:val="97"/>
                </w:rPr>
                <w:t>MANAGEMENT’S DISCUSSION AND ANALYSIS OF FINANCIAL CONDITION AND RESULTS OF OPERATIONS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137">
              <w:r>
                <w:rPr>
                  <w:rFonts w:ascii="Arial" w:cs="Arial" w:eastAsia="Arial" w:hAnsi="Arial"/>
                  <w:sz w:val="18"/>
                  <w:szCs w:val="18"/>
                  <w:b w:val="1"/>
                  <w:bCs w:val="1"/>
                  <w:color w:val="0000EE"/>
                </w:rPr>
                <w:t>SENIOR SECURITIES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8"/>
              </w:rPr>
            </w:pPr>
            <w:hyperlink w:anchor="page138">
              <w:r>
                <w:rPr>
                  <w:rFonts w:ascii="Arial" w:cs="Arial" w:eastAsia="Arial" w:hAnsi="Arial"/>
                  <w:sz w:val="18"/>
                  <w:szCs w:val="18"/>
                  <w:b w:val="1"/>
                  <w:bCs w:val="1"/>
                  <w:color w:val="0000EE"/>
                  <w:w w:val="98"/>
                </w:rPr>
                <w:t>PRICE RANGE OF COMMON STOCK</w:t>
              </w:r>
            </w:hyperlink>
          </w:p>
        </w:tc>
        <w:tc>
          <w:tcPr>
            <w:tcW w:w="5960" w:type="dxa"/>
            <w:vAlign w:val="bottom"/>
            <w:gridSpan w:val="10"/>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6"/>
              </w:rPr>
            </w:pPr>
            <w:hyperlink w:anchor="page139">
              <w:r>
                <w:rPr>
                  <w:rFonts w:ascii="Arial" w:cs="Arial" w:eastAsia="Arial" w:hAnsi="Arial"/>
                  <w:sz w:val="18"/>
                  <w:szCs w:val="18"/>
                  <w:b w:val="1"/>
                  <w:bCs w:val="1"/>
                  <w:color w:val="0000EE"/>
                  <w:w w:val="96"/>
                </w:rPr>
                <w:t>SALES OF COMMON STOCK BELOW NET ASSET VALUE</w:t>
              </w:r>
            </w:hyperlink>
          </w:p>
        </w:tc>
        <w:tc>
          <w:tcPr>
            <w:tcW w:w="4320" w:type="dxa"/>
            <w:vAlign w:val="bottom"/>
            <w:gridSpan w:val="3"/>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145">
              <w:r>
                <w:rPr>
                  <w:rFonts w:ascii="Arial" w:cs="Arial" w:eastAsia="Arial" w:hAnsi="Arial"/>
                  <w:sz w:val="18"/>
                  <w:szCs w:val="18"/>
                  <w:b w:val="1"/>
                  <w:bCs w:val="1"/>
                  <w:color w:val="0000EE"/>
                </w:rPr>
                <w:t>DISTRIBUTIONS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147">
              <w:r>
                <w:rPr>
                  <w:rFonts w:ascii="Arial" w:cs="Arial" w:eastAsia="Arial" w:hAnsi="Arial"/>
                  <w:sz w:val="18"/>
                  <w:szCs w:val="18"/>
                  <w:b w:val="1"/>
                  <w:bCs w:val="1"/>
                  <w:color w:val="0000EE"/>
                  <w:w w:val="91"/>
                </w:rPr>
                <w:t>BUSINESS</w:t>
              </w:r>
            </w:hyperlink>
          </w:p>
        </w:tc>
        <w:tc>
          <w:tcPr>
            <w:tcW w:w="580" w:type="dxa"/>
            <w:vAlign w:val="bottom"/>
            <w:tcBorders>
              <w:top w:val="single" w:sz="8" w:color="0000EE"/>
            </w:tcBorders>
            <w:gridSpan w:val="3"/>
          </w:tcPr>
          <w:p>
            <w:pPr>
              <w:spacing w:after="0"/>
              <w:rPr>
                <w:sz w:val="17"/>
                <w:szCs w:val="17"/>
                <w:color w:val="auto"/>
              </w:rPr>
            </w:pPr>
          </w:p>
        </w:tc>
        <w:tc>
          <w:tcPr>
            <w:tcW w:w="7640" w:type="dxa"/>
            <w:vAlign w:val="bottom"/>
            <w:gridSpan w:val="20"/>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8"/>
              </w:rPr>
            </w:pPr>
            <w:hyperlink w:anchor="page151">
              <w:r>
                <w:rPr>
                  <w:rFonts w:ascii="Arial" w:cs="Arial" w:eastAsia="Arial" w:hAnsi="Arial"/>
                  <w:sz w:val="18"/>
                  <w:szCs w:val="18"/>
                  <w:b w:val="1"/>
                  <w:bCs w:val="1"/>
                  <w:color w:val="0000EE"/>
                  <w:w w:val="98"/>
                </w:rPr>
                <w:t>INVESTMENT OBJECTIVES AND POLICIES</w:t>
              </w:r>
            </w:hyperlink>
          </w:p>
        </w:tc>
        <w:tc>
          <w:tcPr>
            <w:tcW w:w="5420" w:type="dxa"/>
            <w:vAlign w:val="bottom"/>
            <w:gridSpan w:val="7"/>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7"/>
              </w:rPr>
            </w:pPr>
            <w:hyperlink w:anchor="page158">
              <w:r>
                <w:rPr>
                  <w:rFonts w:ascii="Arial" w:cs="Arial" w:eastAsia="Arial" w:hAnsi="Arial"/>
                  <w:sz w:val="18"/>
                  <w:szCs w:val="18"/>
                  <w:b w:val="1"/>
                  <w:bCs w:val="1"/>
                  <w:color w:val="0000EE"/>
                  <w:w w:val="97"/>
                </w:rPr>
                <w:t>PORTFOLIO COMPANIES</w:t>
              </w:r>
            </w:hyperlink>
          </w:p>
        </w:tc>
        <w:tc>
          <w:tcPr>
            <w:tcW w:w="6920" w:type="dxa"/>
            <w:vAlign w:val="bottom"/>
            <w:gridSpan w:val="13"/>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rPr>
            </w:pPr>
            <w:hyperlink w:anchor="page163">
              <w:r>
                <w:rPr>
                  <w:rFonts w:ascii="Arial" w:cs="Arial" w:eastAsia="Arial" w:hAnsi="Arial"/>
                  <w:sz w:val="18"/>
                  <w:szCs w:val="18"/>
                  <w:b w:val="1"/>
                  <w:bCs w:val="1"/>
                  <w:color w:val="0000EE"/>
                </w:rPr>
                <w:t>MANAGEMENT</w:t>
              </w:r>
            </w:hyperlink>
          </w:p>
        </w:tc>
        <w:tc>
          <w:tcPr>
            <w:tcW w:w="7740" w:type="dxa"/>
            <w:vAlign w:val="bottom"/>
            <w:gridSpan w:val="21"/>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6"/>
              </w:rPr>
            </w:pPr>
            <w:hyperlink w:anchor="page170">
              <w:r>
                <w:rPr>
                  <w:rFonts w:ascii="Arial" w:cs="Arial" w:eastAsia="Arial" w:hAnsi="Arial"/>
                  <w:sz w:val="18"/>
                  <w:szCs w:val="18"/>
                  <w:b w:val="1"/>
                  <w:bCs w:val="1"/>
                  <w:color w:val="0000EE"/>
                  <w:w w:val="96"/>
                </w:rPr>
                <w:t>CONTROL PERSONS AND PRINCIPAL STOCKHOLDERS</w:t>
              </w:r>
            </w:hyperlink>
          </w:p>
        </w:tc>
        <w:tc>
          <w:tcPr>
            <w:tcW w:w="4380" w:type="dxa"/>
            <w:vAlign w:val="bottom"/>
            <w:gridSpan w:val="4"/>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w w:val="97"/>
              </w:rPr>
            </w:pPr>
            <w:hyperlink w:anchor="page172">
              <w:r>
                <w:rPr>
                  <w:rFonts w:ascii="Arial" w:cs="Arial" w:eastAsia="Arial" w:hAnsi="Arial"/>
                  <w:sz w:val="18"/>
                  <w:szCs w:val="18"/>
                  <w:b w:val="1"/>
                  <w:bCs w:val="1"/>
                  <w:color w:val="0000EE"/>
                  <w:w w:val="97"/>
                </w:rPr>
                <w:t>CERTAIN RELATIONSHIPS AND TRANSACTIONS</w:t>
              </w:r>
            </w:hyperlink>
          </w:p>
        </w:tc>
        <w:tc>
          <w:tcPr>
            <w:tcW w:w="4940" w:type="dxa"/>
            <w:vAlign w:val="bottom"/>
            <w:gridSpan w:val="6"/>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9080" w:type="dxa"/>
            <w:vAlign w:val="bottom"/>
            <w:gridSpan w:val="24"/>
          </w:tcPr>
          <w:p>
            <w:pPr>
              <w:spacing w:after="0" w:line="196" w:lineRule="exact"/>
              <w:rPr>
                <w:rFonts w:ascii="Arial" w:cs="Arial" w:eastAsia="Arial" w:hAnsi="Arial"/>
                <w:sz w:val="18"/>
                <w:szCs w:val="18"/>
                <w:b w:val="1"/>
                <w:bCs w:val="1"/>
                <w:color w:val="0000EE"/>
              </w:rPr>
            </w:pPr>
            <w:hyperlink w:anchor="page177">
              <w:r>
                <w:rPr>
                  <w:rFonts w:ascii="Arial" w:cs="Arial" w:eastAsia="Arial" w:hAnsi="Arial"/>
                  <w:sz w:val="18"/>
                  <w:szCs w:val="18"/>
                  <w:b w:val="1"/>
                  <w:bCs w:val="1"/>
                  <w:color w:val="0000EE"/>
                </w:rPr>
                <w:t>DETERMINATION OF NET ASSET VALUE</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0" w:type="dxa"/>
            <w:vAlign w:val="bottom"/>
            <w:gridSpan w:val="15"/>
            <w:vMerge w:val="restart"/>
          </w:tcPr>
          <w:p>
            <w:pPr>
              <w:spacing w:after="0"/>
              <w:rPr>
                <w:rFonts w:ascii="Arial" w:cs="Arial" w:eastAsia="Arial" w:hAnsi="Arial"/>
                <w:sz w:val="18"/>
                <w:szCs w:val="18"/>
                <w:b w:val="1"/>
                <w:bCs w:val="1"/>
                <w:color w:val="0000EE"/>
              </w:rPr>
            </w:pPr>
            <w:hyperlink w:anchor="page180">
              <w:r>
                <w:rPr>
                  <w:rFonts w:ascii="Arial" w:cs="Arial" w:eastAsia="Arial" w:hAnsi="Arial"/>
                  <w:sz w:val="18"/>
                  <w:szCs w:val="18"/>
                  <w:b w:val="1"/>
                  <w:bCs w:val="1"/>
                  <w:color w:val="0000EE"/>
                </w:rPr>
                <w:t>DIVIDEND REINVESTMENT PLAN</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00" w:type="dxa"/>
            <w:vAlign w:val="bottom"/>
            <w:gridSpan w:val="15"/>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0" w:type="dxa"/>
            <w:vAlign w:val="bottom"/>
            <w:gridSpan w:val="15"/>
          </w:tcPr>
          <w:p>
            <w:pPr>
              <w:spacing w:after="0"/>
              <w:rPr>
                <w:rFonts w:ascii="Arial" w:cs="Arial" w:eastAsia="Arial" w:hAnsi="Arial"/>
                <w:sz w:val="18"/>
                <w:szCs w:val="18"/>
                <w:b w:val="1"/>
                <w:bCs w:val="1"/>
                <w:color w:val="0000EE"/>
              </w:rPr>
            </w:pPr>
            <w:hyperlink w:anchor="page181">
              <w:r>
                <w:rPr>
                  <w:rFonts w:ascii="Arial" w:cs="Arial" w:eastAsia="Arial" w:hAnsi="Arial"/>
                  <w:sz w:val="18"/>
                  <w:szCs w:val="18"/>
                  <w:b w:val="1"/>
                  <w:bCs w:val="1"/>
                  <w:color w:val="0000EE"/>
                </w:rPr>
                <w:t>DESCRIPTION OF OUR CAPITAL STOCK</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5"/>
          </w:tcPr>
          <w:p>
            <w:pPr>
              <w:spacing w:after="0" w:line="196" w:lineRule="exact"/>
              <w:rPr>
                <w:rFonts w:ascii="Arial" w:cs="Arial" w:eastAsia="Arial" w:hAnsi="Arial"/>
                <w:sz w:val="18"/>
                <w:szCs w:val="18"/>
                <w:b w:val="1"/>
                <w:bCs w:val="1"/>
                <w:color w:val="0000EE"/>
              </w:rPr>
            </w:pPr>
            <w:hyperlink w:anchor="page187">
              <w:r>
                <w:rPr>
                  <w:rFonts w:ascii="Arial" w:cs="Arial" w:eastAsia="Arial" w:hAnsi="Arial"/>
                  <w:sz w:val="18"/>
                  <w:szCs w:val="18"/>
                  <w:b w:val="1"/>
                  <w:bCs w:val="1"/>
                  <w:color w:val="0000EE"/>
                </w:rPr>
                <w:t>DESCRIPTION OF OUR PREFERRED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30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96"/>
              </w:rPr>
            </w:pPr>
            <w:hyperlink w:anchor="page188">
              <w:r>
                <w:rPr>
                  <w:rFonts w:ascii="Arial" w:cs="Arial" w:eastAsia="Arial" w:hAnsi="Arial"/>
                  <w:sz w:val="18"/>
                  <w:szCs w:val="18"/>
                  <w:b w:val="1"/>
                  <w:bCs w:val="1"/>
                  <w:color w:val="0000EE"/>
                  <w:w w:val="96"/>
                </w:rPr>
                <w:t>DESCRIPTION OF OUR WARRANTS</w:t>
              </w:r>
            </w:hyperlink>
          </w:p>
        </w:tc>
        <w:tc>
          <w:tcPr>
            <w:tcW w:w="720" w:type="dxa"/>
            <w:vAlign w:val="bottom"/>
            <w:tcBorders>
              <w:top w:val="single" w:sz="8" w:color="0000EE"/>
            </w:tcBorders>
            <w:gridSpan w:val="4"/>
          </w:tcPr>
          <w:p>
            <w:pPr>
              <w:spacing w:after="0"/>
              <w:rPr>
                <w:sz w:val="17"/>
                <w:szCs w:val="17"/>
                <w:color w:val="auto"/>
              </w:rPr>
            </w:pPr>
          </w:p>
        </w:tc>
        <w:tc>
          <w:tcPr>
            <w:tcW w:w="728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w w:val="97"/>
              </w:rPr>
            </w:pPr>
            <w:hyperlink w:anchor="page190">
              <w:r>
                <w:rPr>
                  <w:rFonts w:ascii="Arial" w:cs="Arial" w:eastAsia="Arial" w:hAnsi="Arial"/>
                  <w:sz w:val="18"/>
                  <w:szCs w:val="18"/>
                  <w:b w:val="1"/>
                  <w:bCs w:val="1"/>
                  <w:color w:val="0000EE"/>
                  <w:w w:val="97"/>
                </w:rPr>
                <w:t>DESCRIPTION OF OUR SUBSCRIPTION RIGHTS</w:t>
              </w:r>
            </w:hyperlink>
          </w:p>
        </w:tc>
        <w:tc>
          <w:tcPr>
            <w:tcW w:w="69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7"/>
              </w:rPr>
            </w:pPr>
            <w:hyperlink w:anchor="page191">
              <w:r>
                <w:rPr>
                  <w:rFonts w:ascii="Arial" w:cs="Arial" w:eastAsia="Arial" w:hAnsi="Arial"/>
                  <w:sz w:val="18"/>
                  <w:szCs w:val="18"/>
                  <w:b w:val="1"/>
                  <w:bCs w:val="1"/>
                  <w:color w:val="0000EE"/>
                  <w:w w:val="97"/>
                </w:rPr>
                <w:t>DESCRIPTION OF OUR DEBT SECURITIES</w:t>
              </w:r>
            </w:hyperlink>
          </w:p>
        </w:tc>
        <w:tc>
          <w:tcPr>
            <w:tcW w:w="74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0000EE"/>
            </w:tcBorders>
          </w:tcPr>
          <w:p>
            <w:pPr>
              <w:spacing w:after="0" w:line="196" w:lineRule="exact"/>
              <w:rPr>
                <w:rFonts w:ascii="Arial" w:cs="Arial" w:eastAsia="Arial" w:hAnsi="Arial"/>
                <w:sz w:val="18"/>
                <w:szCs w:val="18"/>
                <w:b w:val="1"/>
                <w:bCs w:val="1"/>
                <w:color w:val="0000EE"/>
                <w:w w:val="99"/>
              </w:rPr>
            </w:pPr>
            <w:hyperlink w:anchor="page205">
              <w:r>
                <w:rPr>
                  <w:rFonts w:ascii="Arial" w:cs="Arial" w:eastAsia="Arial" w:hAnsi="Arial"/>
                  <w:sz w:val="18"/>
                  <w:szCs w:val="18"/>
                  <w:b w:val="1"/>
                  <w:bCs w:val="1"/>
                  <w:color w:val="0000EE"/>
                  <w:w w:val="99"/>
                </w:rPr>
                <w:t>REGULATION</w:t>
              </w:r>
            </w:hyperlink>
          </w:p>
        </w:tc>
        <w:tc>
          <w:tcPr>
            <w:tcW w:w="980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7"/>
              </w:rPr>
            </w:pPr>
            <w:hyperlink w:anchor="page211">
              <w:r>
                <w:rPr>
                  <w:rFonts w:ascii="Arial" w:cs="Arial" w:eastAsia="Arial" w:hAnsi="Arial"/>
                  <w:sz w:val="18"/>
                  <w:szCs w:val="18"/>
                  <w:b w:val="1"/>
                  <w:bCs w:val="1"/>
                  <w:color w:val="0000EE"/>
                  <w:w w:val="97"/>
                </w:rPr>
                <w:t>BROKERAGE ALLOCATIONS AND OTHER PRACTICES</w:t>
              </w:r>
            </w:hyperlink>
          </w:p>
        </w:tc>
        <w:tc>
          <w:tcPr>
            <w:tcW w:w="63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8"/>
              </w:rPr>
            </w:pPr>
            <w:hyperlink w:anchor="page212">
              <w:r>
                <w:rPr>
                  <w:rFonts w:ascii="Arial" w:cs="Arial" w:eastAsia="Arial" w:hAnsi="Arial"/>
                  <w:sz w:val="18"/>
                  <w:szCs w:val="18"/>
                  <w:b w:val="1"/>
                  <w:bCs w:val="1"/>
                  <w:color w:val="0000EE"/>
                  <w:w w:val="98"/>
                </w:rPr>
                <w:t>MATERIAL U.S. FEDERAL INCOME TAX CONSIDERATIONS</w:t>
              </w:r>
            </w:hyperlink>
          </w:p>
        </w:tc>
        <w:tc>
          <w:tcPr>
            <w:tcW w:w="59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9"/>
              </w:rPr>
            </w:pPr>
            <w:hyperlink w:anchor="page218">
              <w:r>
                <w:rPr>
                  <w:rFonts w:ascii="Arial" w:cs="Arial" w:eastAsia="Arial" w:hAnsi="Arial"/>
                  <w:sz w:val="18"/>
                  <w:szCs w:val="18"/>
                  <w:b w:val="1"/>
                  <w:bCs w:val="1"/>
                  <w:color w:val="0000EE"/>
                  <w:w w:val="99"/>
                </w:rPr>
                <w:t>PLAN OF DISTRIBUTION</w:t>
              </w:r>
            </w:hyperlink>
          </w:p>
        </w:tc>
        <w:tc>
          <w:tcPr>
            <w:tcW w:w="888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97"/>
              </w:rPr>
            </w:pPr>
            <w:hyperlink w:anchor="page220">
              <w:r>
                <w:rPr>
                  <w:rFonts w:ascii="Arial" w:cs="Arial" w:eastAsia="Arial" w:hAnsi="Arial"/>
                  <w:sz w:val="18"/>
                  <w:szCs w:val="18"/>
                  <w:b w:val="1"/>
                  <w:bCs w:val="1"/>
                  <w:color w:val="0000EE"/>
                  <w:w w:val="97"/>
                </w:rPr>
                <w:t>SUB-ADMINISTRATOR, CUSTODIAN, TRANSFER AGENT AND TRUSTEE</w:t>
              </w:r>
            </w:hyperlink>
          </w:p>
        </w:tc>
        <w:tc>
          <w:tcPr>
            <w:tcW w:w="49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11000" w:type="dxa"/>
            <w:vAlign w:val="bottom"/>
            <w:gridSpan w:val="15"/>
          </w:tcPr>
          <w:p>
            <w:pPr>
              <w:spacing w:after="0" w:line="196" w:lineRule="exact"/>
              <w:rPr>
                <w:rFonts w:ascii="Arial" w:cs="Arial" w:eastAsia="Arial" w:hAnsi="Arial"/>
                <w:sz w:val="18"/>
                <w:szCs w:val="18"/>
                <w:b w:val="1"/>
                <w:bCs w:val="1"/>
                <w:color w:val="0000EE"/>
              </w:rPr>
            </w:pPr>
            <w:hyperlink w:anchor="page220">
              <w:r>
                <w:rPr>
                  <w:rFonts w:ascii="Arial" w:cs="Arial" w:eastAsia="Arial" w:hAnsi="Arial"/>
                  <w:sz w:val="18"/>
                  <w:szCs w:val="18"/>
                  <w:b w:val="1"/>
                  <w:bCs w:val="1"/>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5"/>
          </w:tcPr>
          <w:p>
            <w:pPr>
              <w:spacing w:after="0" w:line="196" w:lineRule="exact"/>
              <w:rPr>
                <w:rFonts w:ascii="Arial" w:cs="Arial" w:eastAsia="Arial" w:hAnsi="Arial"/>
                <w:sz w:val="18"/>
                <w:szCs w:val="18"/>
                <w:b w:val="1"/>
                <w:bCs w:val="1"/>
                <w:color w:val="0000EE"/>
              </w:rPr>
            </w:pPr>
            <w:hyperlink w:anchor="page220">
              <w:r>
                <w:rPr>
                  <w:rFonts w:ascii="Arial" w:cs="Arial" w:eastAsia="Arial" w:hAnsi="Arial"/>
                  <w:sz w:val="18"/>
                  <w:szCs w:val="18"/>
                  <w:b w:val="1"/>
                  <w:bCs w:val="1"/>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960" w:type="dxa"/>
            <w:vAlign w:val="bottom"/>
            <w:tcBorders>
              <w:top w:val="single" w:sz="8" w:color="0000EE"/>
            </w:tcBorders>
            <w:gridSpan w:val="12"/>
          </w:tcPr>
          <w:p>
            <w:pPr>
              <w:spacing w:after="0" w:line="196" w:lineRule="exact"/>
              <w:rPr>
                <w:rFonts w:ascii="Arial" w:cs="Arial" w:eastAsia="Arial" w:hAnsi="Arial"/>
                <w:sz w:val="18"/>
                <w:szCs w:val="18"/>
                <w:b w:val="1"/>
                <w:bCs w:val="1"/>
                <w:color w:val="0000EE"/>
              </w:rPr>
            </w:pPr>
            <w:hyperlink w:anchor="page221">
              <w:r>
                <w:rPr>
                  <w:rFonts w:ascii="Arial" w:cs="Arial" w:eastAsia="Arial" w:hAnsi="Arial"/>
                  <w:sz w:val="18"/>
                  <w:szCs w:val="18"/>
                  <w:b w:val="1"/>
                  <w:bCs w:val="1"/>
                  <w:color w:val="0000EE"/>
                </w:rPr>
                <w:t>INDEX TO FINANCIAL STATEMENTS</w:t>
              </w:r>
            </w:hyperlink>
          </w:p>
        </w:tc>
        <w:tc>
          <w:tcPr>
            <w:tcW w:w="60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SPECIFIC TERMS OF THE NOTES AND THE OFFERING</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supplement sets forth certain terms of the Notes that we are offering pursuant to this prospectus supplement and the accompanying prospectus that is attached to the back of this prospectus supplement. This section outlines the specific legal and financial terms of the Notes. You should read this section together with the more general description of the Notes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Issuer</w:t>
            </w:r>
          </w:p>
        </w:tc>
        <w:tc>
          <w:tcPr>
            <w:tcW w:w="7640" w:type="dxa"/>
            <w:vAlign w:val="bottom"/>
            <w:gridSpan w:val="4"/>
          </w:tcPr>
          <w:p>
            <w:pPr>
              <w:ind w:left="360"/>
              <w:spacing w:after="0"/>
              <w:rPr>
                <w:sz w:val="20"/>
                <w:szCs w:val="20"/>
                <w:color w:val="auto"/>
              </w:rPr>
            </w:pPr>
            <w:r>
              <w:rPr>
                <w:rFonts w:ascii="Arial" w:cs="Arial" w:eastAsia="Arial" w:hAnsi="Arial"/>
                <w:sz w:val="18"/>
                <w:szCs w:val="18"/>
                <w:color w:val="auto"/>
              </w:rPr>
              <w:t>PennantPark Investment Corporation, or “we,” “us,” “our” or “Company”</w:t>
            </w:r>
          </w:p>
        </w:tc>
      </w:tr>
      <w:tr>
        <w:trPr>
          <w:trHeight w:val="324"/>
        </w:trPr>
        <w:tc>
          <w:tcPr>
            <w:tcW w:w="3760" w:type="dxa"/>
            <w:vAlign w:val="bottom"/>
          </w:tcPr>
          <w:p>
            <w:pPr>
              <w:spacing w:after="0"/>
              <w:rPr>
                <w:sz w:val="20"/>
                <w:szCs w:val="20"/>
                <w:color w:val="auto"/>
              </w:rPr>
            </w:pPr>
            <w:r>
              <w:rPr>
                <w:rFonts w:ascii="Arial" w:cs="Arial" w:eastAsia="Arial" w:hAnsi="Arial"/>
                <w:sz w:val="18"/>
                <w:szCs w:val="18"/>
                <w:color w:val="auto"/>
              </w:rPr>
              <w:t>Title of the securities</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 Senior Notes due 2025</w:t>
            </w:r>
          </w:p>
        </w:tc>
        <w:tc>
          <w:tcPr>
            <w:tcW w:w="16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24"/>
        </w:trPr>
        <w:tc>
          <w:tcPr>
            <w:tcW w:w="3760" w:type="dxa"/>
            <w:vAlign w:val="bottom"/>
          </w:tcPr>
          <w:p>
            <w:pPr>
              <w:spacing w:after="0"/>
              <w:rPr>
                <w:sz w:val="20"/>
                <w:szCs w:val="20"/>
                <w:color w:val="auto"/>
              </w:rPr>
            </w:pPr>
            <w:r>
              <w:rPr>
                <w:rFonts w:ascii="Arial" w:cs="Arial" w:eastAsia="Arial" w:hAnsi="Arial"/>
                <w:sz w:val="18"/>
                <w:szCs w:val="18"/>
                <w:color w:val="auto"/>
                <w:w w:val="99"/>
              </w:rPr>
              <w:t>Initial aggregate principal amount being offered</w:t>
            </w:r>
          </w:p>
        </w:tc>
        <w:tc>
          <w:tcPr>
            <w:tcW w:w="1020" w:type="dxa"/>
            <w:vAlign w:val="bottom"/>
          </w:tcPr>
          <w:p>
            <w:pPr>
              <w:ind w:left="360"/>
              <w:spacing w:after="0"/>
              <w:rPr>
                <w:sz w:val="20"/>
                <w:szCs w:val="20"/>
                <w:color w:val="auto"/>
              </w:rPr>
            </w:pPr>
            <w:r>
              <w:rPr>
                <w:rFonts w:ascii="Arial" w:cs="Arial" w:eastAsia="Arial" w:hAnsi="Arial"/>
                <w:sz w:val="18"/>
                <w:szCs w:val="18"/>
                <w:color w:val="auto"/>
              </w:rPr>
              <w:t>$</w:t>
            </w:r>
          </w:p>
        </w:tc>
        <w:tc>
          <w:tcPr>
            <w:tcW w:w="2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18"/>
        </w:trPr>
        <w:tc>
          <w:tcPr>
            <w:tcW w:w="3760" w:type="dxa"/>
            <w:vAlign w:val="bottom"/>
          </w:tcPr>
          <w:p>
            <w:pPr>
              <w:spacing w:after="0"/>
              <w:rPr>
                <w:sz w:val="20"/>
                <w:szCs w:val="20"/>
                <w:color w:val="auto"/>
              </w:rPr>
            </w:pPr>
            <w:r>
              <w:rPr>
                <w:rFonts w:ascii="Arial" w:cs="Arial" w:eastAsia="Arial" w:hAnsi="Arial"/>
                <w:sz w:val="18"/>
                <w:szCs w:val="18"/>
                <w:color w:val="auto"/>
              </w:rPr>
              <w:t>Overallotment option</w:t>
            </w:r>
          </w:p>
        </w:tc>
        <w:tc>
          <w:tcPr>
            <w:tcW w:w="5000" w:type="dxa"/>
            <w:vAlign w:val="bottom"/>
            <w:gridSpan w:val="3"/>
          </w:tcPr>
          <w:p>
            <w:pPr>
              <w:ind w:left="360"/>
              <w:spacing w:after="0"/>
              <w:rPr>
                <w:sz w:val="20"/>
                <w:szCs w:val="20"/>
                <w:color w:val="auto"/>
              </w:rPr>
            </w:pPr>
            <w:r>
              <w:rPr>
                <w:rFonts w:ascii="Arial" w:cs="Arial" w:eastAsia="Arial" w:hAnsi="Arial"/>
                <w:sz w:val="18"/>
                <w:szCs w:val="18"/>
                <w:color w:val="auto"/>
                <w:w w:val="88"/>
              </w:rPr>
              <w:t>The underwriters may also purchase from us up to an additional $</w:t>
            </w:r>
          </w:p>
        </w:tc>
        <w:tc>
          <w:tcPr>
            <w:tcW w:w="2640" w:type="dxa"/>
            <w:vAlign w:val="bottom"/>
          </w:tcPr>
          <w:p>
            <w:pPr>
              <w:ind w:left="380"/>
              <w:spacing w:after="0"/>
              <w:rPr>
                <w:sz w:val="20"/>
                <w:szCs w:val="20"/>
                <w:color w:val="auto"/>
              </w:rPr>
            </w:pPr>
            <w:r>
              <w:rPr>
                <w:rFonts w:ascii="Arial" w:cs="Arial" w:eastAsia="Arial" w:hAnsi="Arial"/>
                <w:sz w:val="18"/>
                <w:szCs w:val="18"/>
                <w:color w:val="auto"/>
              </w:rPr>
              <w:t>million aggregate principal</w:t>
            </w:r>
          </w:p>
        </w:tc>
      </w:tr>
      <w:tr>
        <w:trPr>
          <w:trHeight w:val="216"/>
        </w:trPr>
        <w:tc>
          <w:tcPr>
            <w:tcW w:w="3760" w:type="dxa"/>
            <w:vAlign w:val="bottom"/>
          </w:tcPr>
          <w:p>
            <w:pPr>
              <w:spacing w:after="0"/>
              <w:rPr>
                <w:sz w:val="18"/>
                <w:szCs w:val="18"/>
                <w:color w:val="auto"/>
              </w:rPr>
            </w:pPr>
          </w:p>
        </w:tc>
        <w:tc>
          <w:tcPr>
            <w:tcW w:w="7640" w:type="dxa"/>
            <w:vAlign w:val="bottom"/>
            <w:gridSpan w:val="4"/>
          </w:tcPr>
          <w:p>
            <w:pPr>
              <w:ind w:left="360"/>
              <w:spacing w:after="0"/>
              <w:rPr>
                <w:sz w:val="20"/>
                <w:szCs w:val="20"/>
                <w:color w:val="auto"/>
              </w:rPr>
            </w:pPr>
            <w:r>
              <w:rPr>
                <w:rFonts w:ascii="Arial" w:cs="Arial" w:eastAsia="Arial" w:hAnsi="Arial"/>
                <w:sz w:val="18"/>
                <w:szCs w:val="18"/>
                <w:color w:val="auto"/>
                <w:w w:val="98"/>
              </w:rPr>
              <w:t>amount of Notes to cover overallotments, if any, within 30 days of the date of this prospectus</w:t>
            </w:r>
          </w:p>
        </w:tc>
      </w:tr>
      <w:tr>
        <w:trPr>
          <w:trHeight w:val="222"/>
        </w:trPr>
        <w:tc>
          <w:tcPr>
            <w:tcW w:w="3760" w:type="dxa"/>
            <w:vAlign w:val="bottom"/>
          </w:tcPr>
          <w:p>
            <w:pPr>
              <w:spacing w:after="0"/>
              <w:rPr>
                <w:sz w:val="19"/>
                <w:szCs w:val="19"/>
                <w:color w:val="auto"/>
              </w:rPr>
            </w:pP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supplement under the ticker symbol</w:t>
            </w:r>
          </w:p>
        </w:tc>
        <w:tc>
          <w:tcPr>
            <w:tcW w:w="168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640" w:type="dxa"/>
            <w:vAlign w:val="bottom"/>
          </w:tcPr>
          <w:p>
            <w:pPr>
              <w:spacing w:after="0"/>
              <w:rPr>
                <w:sz w:val="19"/>
                <w:szCs w:val="19"/>
                <w:color w:val="auto"/>
              </w:rPr>
            </w:pPr>
          </w:p>
        </w:tc>
      </w:tr>
      <w:tr>
        <w:trPr>
          <w:trHeight w:val="324"/>
        </w:trPr>
        <w:tc>
          <w:tcPr>
            <w:tcW w:w="376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w w:val="92"/>
              </w:rPr>
              <w:t>100% of the aggregate principal amount</w:t>
            </w:r>
          </w:p>
        </w:tc>
        <w:tc>
          <w:tcPr>
            <w:tcW w:w="16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18"/>
        </w:trPr>
        <w:tc>
          <w:tcPr>
            <w:tcW w:w="3760" w:type="dxa"/>
            <w:vAlign w:val="bottom"/>
          </w:tcPr>
          <w:p>
            <w:pPr>
              <w:spacing w:after="0"/>
              <w:rPr>
                <w:sz w:val="20"/>
                <w:szCs w:val="20"/>
                <w:color w:val="auto"/>
              </w:rPr>
            </w:pPr>
            <w:r>
              <w:rPr>
                <w:rFonts w:ascii="Arial" w:cs="Arial" w:eastAsia="Arial" w:hAnsi="Arial"/>
                <w:sz w:val="18"/>
                <w:szCs w:val="18"/>
                <w:color w:val="auto"/>
              </w:rPr>
              <w:t>Principal payable at maturity</w:t>
            </w:r>
          </w:p>
        </w:tc>
        <w:tc>
          <w:tcPr>
            <w:tcW w:w="7640" w:type="dxa"/>
            <w:vAlign w:val="bottom"/>
            <w:gridSpan w:val="4"/>
          </w:tcPr>
          <w:p>
            <w:pPr>
              <w:ind w:left="360"/>
              <w:spacing w:after="0"/>
              <w:rPr>
                <w:sz w:val="20"/>
                <w:szCs w:val="20"/>
                <w:color w:val="auto"/>
              </w:rPr>
            </w:pPr>
            <w:r>
              <w:rPr>
                <w:rFonts w:ascii="Arial" w:cs="Arial" w:eastAsia="Arial" w:hAnsi="Arial"/>
                <w:sz w:val="18"/>
                <w:szCs w:val="18"/>
                <w:color w:val="auto"/>
                <w:w w:val="94"/>
              </w:rPr>
              <w:t>100% of the aggregate principal amount; the principal amount of each Note will be payable on its</w:t>
            </w:r>
          </w:p>
        </w:tc>
      </w:tr>
      <w:tr>
        <w:trPr>
          <w:trHeight w:val="216"/>
        </w:trPr>
        <w:tc>
          <w:tcPr>
            <w:tcW w:w="3760" w:type="dxa"/>
            <w:vAlign w:val="bottom"/>
          </w:tcPr>
          <w:p>
            <w:pPr>
              <w:spacing w:after="0"/>
              <w:rPr>
                <w:sz w:val="18"/>
                <w:szCs w:val="18"/>
                <w:color w:val="auto"/>
              </w:rPr>
            </w:pPr>
          </w:p>
        </w:tc>
        <w:tc>
          <w:tcPr>
            <w:tcW w:w="7640" w:type="dxa"/>
            <w:vAlign w:val="bottom"/>
            <w:gridSpan w:val="4"/>
          </w:tcPr>
          <w:p>
            <w:pPr>
              <w:ind w:left="360"/>
              <w:spacing w:after="0"/>
              <w:rPr>
                <w:sz w:val="20"/>
                <w:szCs w:val="20"/>
                <w:color w:val="auto"/>
              </w:rPr>
            </w:pPr>
            <w:r>
              <w:rPr>
                <w:rFonts w:ascii="Arial" w:cs="Arial" w:eastAsia="Arial" w:hAnsi="Arial"/>
                <w:sz w:val="18"/>
                <w:szCs w:val="18"/>
                <w:color w:val="auto"/>
                <w:w w:val="89"/>
              </w:rPr>
              <w:t>stated maturity date at the office of the Paying Agent, Registrar and Transfer Agent for the Notes or at</w:t>
            </w:r>
          </w:p>
        </w:tc>
      </w:tr>
      <w:tr>
        <w:trPr>
          <w:trHeight w:val="222"/>
        </w:trPr>
        <w:tc>
          <w:tcPr>
            <w:tcW w:w="3760" w:type="dxa"/>
            <w:vAlign w:val="bottom"/>
          </w:tcPr>
          <w:p>
            <w:pPr>
              <w:spacing w:after="0"/>
              <w:rPr>
                <w:sz w:val="19"/>
                <w:szCs w:val="19"/>
                <w:color w:val="auto"/>
              </w:rPr>
            </w:pPr>
          </w:p>
        </w:tc>
        <w:tc>
          <w:tcPr>
            <w:tcW w:w="5000" w:type="dxa"/>
            <w:vAlign w:val="bottom"/>
            <w:gridSpan w:val="3"/>
          </w:tcPr>
          <w:p>
            <w:pPr>
              <w:ind w:left="360"/>
              <w:spacing w:after="0"/>
              <w:rPr>
                <w:sz w:val="20"/>
                <w:szCs w:val="20"/>
                <w:color w:val="auto"/>
              </w:rPr>
            </w:pPr>
            <w:r>
              <w:rPr>
                <w:rFonts w:ascii="Arial" w:cs="Arial" w:eastAsia="Arial" w:hAnsi="Arial"/>
                <w:sz w:val="18"/>
                <w:szCs w:val="18"/>
                <w:color w:val="auto"/>
              </w:rPr>
              <w:t>such other office in New York City as we may designate.</w:t>
            </w:r>
          </w:p>
        </w:tc>
        <w:tc>
          <w:tcPr>
            <w:tcW w:w="2640" w:type="dxa"/>
            <w:vAlign w:val="bottom"/>
          </w:tcPr>
          <w:p>
            <w:pPr>
              <w:spacing w:after="0"/>
              <w:rPr>
                <w:sz w:val="19"/>
                <w:szCs w:val="19"/>
                <w:color w:val="auto"/>
              </w:rPr>
            </w:pPr>
          </w:p>
        </w:tc>
      </w:tr>
      <w:tr>
        <w:trPr>
          <w:trHeight w:val="324"/>
        </w:trPr>
        <w:tc>
          <w:tcPr>
            <w:tcW w:w="3760" w:type="dxa"/>
            <w:vAlign w:val="bottom"/>
          </w:tcPr>
          <w:p>
            <w:pPr>
              <w:spacing w:after="0"/>
              <w:rPr>
                <w:sz w:val="20"/>
                <w:szCs w:val="20"/>
                <w:color w:val="auto"/>
              </w:rPr>
            </w:pPr>
            <w:r>
              <w:rPr>
                <w:rFonts w:ascii="Arial" w:cs="Arial" w:eastAsia="Arial" w:hAnsi="Arial"/>
                <w:sz w:val="18"/>
                <w:szCs w:val="18"/>
                <w:color w:val="auto"/>
              </w:rPr>
              <w:t>Type of Note</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Fixed rate note</w:t>
            </w:r>
          </w:p>
        </w:tc>
        <w:tc>
          <w:tcPr>
            <w:tcW w:w="16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24"/>
        </w:trPr>
        <w:tc>
          <w:tcPr>
            <w:tcW w:w="3760" w:type="dxa"/>
            <w:vAlign w:val="bottom"/>
          </w:tcPr>
          <w:p>
            <w:pPr>
              <w:spacing w:after="0"/>
              <w:rPr>
                <w:sz w:val="20"/>
                <w:szCs w:val="20"/>
                <w:color w:val="auto"/>
              </w:rPr>
            </w:pPr>
            <w:r>
              <w:rPr>
                <w:rFonts w:ascii="Arial" w:cs="Arial" w:eastAsia="Arial" w:hAnsi="Arial"/>
                <w:sz w:val="18"/>
                <w:szCs w:val="18"/>
                <w:color w:val="auto"/>
              </w:rPr>
              <w:t>Listing</w:t>
            </w:r>
          </w:p>
        </w:tc>
        <w:tc>
          <w:tcPr>
            <w:tcW w:w="7640" w:type="dxa"/>
            <w:vAlign w:val="bottom"/>
            <w:gridSpan w:val="4"/>
          </w:tcPr>
          <w:p>
            <w:pPr>
              <w:ind w:left="360"/>
              <w:spacing w:after="0"/>
              <w:rPr>
                <w:sz w:val="20"/>
                <w:szCs w:val="20"/>
                <w:color w:val="auto"/>
              </w:rPr>
            </w:pPr>
            <w:r>
              <w:rPr>
                <w:rFonts w:ascii="Arial" w:cs="Arial" w:eastAsia="Arial" w:hAnsi="Arial"/>
                <w:sz w:val="18"/>
                <w:szCs w:val="18"/>
                <w:color w:val="auto"/>
                <w:w w:val="89"/>
              </w:rPr>
              <w:t>We intend to list the Notes on the New York Stock Exchange within 30 days of the original issue date.</w:t>
            </w:r>
          </w:p>
        </w:tc>
      </w:tr>
      <w:tr>
        <w:trPr>
          <w:trHeight w:val="324"/>
        </w:trPr>
        <w:tc>
          <w:tcPr>
            <w:tcW w:w="3760" w:type="dxa"/>
            <w:vAlign w:val="bottom"/>
          </w:tcPr>
          <w:p>
            <w:pPr>
              <w:spacing w:after="0"/>
              <w:rPr>
                <w:sz w:val="20"/>
                <w:szCs w:val="20"/>
                <w:color w:val="auto"/>
              </w:rPr>
            </w:pPr>
            <w:r>
              <w:rPr>
                <w:rFonts w:ascii="Arial" w:cs="Arial" w:eastAsia="Arial" w:hAnsi="Arial"/>
                <w:sz w:val="18"/>
                <w:szCs w:val="18"/>
                <w:color w:val="auto"/>
              </w:rPr>
              <w:t>Interest rate</w:t>
            </w:r>
          </w:p>
        </w:tc>
        <w:tc>
          <w:tcPr>
            <w:tcW w:w="3320" w:type="dxa"/>
            <w:vAlign w:val="bottom"/>
            <w:gridSpan w:val="2"/>
          </w:tcPr>
          <w:p>
            <w:pPr>
              <w:ind w:left="580"/>
              <w:spacing w:after="0"/>
              <w:rPr>
                <w:sz w:val="20"/>
                <w:szCs w:val="20"/>
                <w:color w:val="auto"/>
              </w:rPr>
            </w:pPr>
            <w:r>
              <w:rPr>
                <w:rFonts w:ascii="Arial" w:cs="Arial" w:eastAsia="Arial" w:hAnsi="Arial"/>
                <w:sz w:val="18"/>
                <w:szCs w:val="18"/>
                <w:color w:val="auto"/>
              </w:rPr>
              <w:t>% per year</w:t>
            </w:r>
          </w:p>
        </w:tc>
        <w:tc>
          <w:tcPr>
            <w:tcW w:w="16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24"/>
        </w:trPr>
        <w:tc>
          <w:tcPr>
            <w:tcW w:w="3760" w:type="dxa"/>
            <w:vAlign w:val="bottom"/>
          </w:tcPr>
          <w:p>
            <w:pPr>
              <w:spacing w:after="0"/>
              <w:rPr>
                <w:sz w:val="20"/>
                <w:szCs w:val="20"/>
                <w:color w:val="auto"/>
              </w:rPr>
            </w:pPr>
            <w:r>
              <w:rPr>
                <w:rFonts w:ascii="Arial" w:cs="Arial" w:eastAsia="Arial" w:hAnsi="Arial"/>
                <w:sz w:val="18"/>
                <w:szCs w:val="18"/>
                <w:color w:val="auto"/>
              </w:rPr>
              <w:t>Day count basis</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w w:val="96"/>
              </w:rPr>
              <w:t>360-day year of twelve 30-day months</w:t>
            </w:r>
          </w:p>
        </w:tc>
        <w:tc>
          <w:tcPr>
            <w:tcW w:w="16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24"/>
        </w:trPr>
        <w:tc>
          <w:tcPr>
            <w:tcW w:w="3760" w:type="dxa"/>
            <w:vAlign w:val="bottom"/>
          </w:tcPr>
          <w:p>
            <w:pPr>
              <w:spacing w:after="0"/>
              <w:rPr>
                <w:sz w:val="20"/>
                <w:szCs w:val="20"/>
                <w:color w:val="auto"/>
              </w:rPr>
            </w:pPr>
            <w:r>
              <w:rPr>
                <w:rFonts w:ascii="Arial" w:cs="Arial" w:eastAsia="Arial" w:hAnsi="Arial"/>
                <w:sz w:val="18"/>
                <w:szCs w:val="18"/>
                <w:color w:val="auto"/>
              </w:rPr>
              <w:t>Original issue date</w:t>
            </w:r>
          </w:p>
        </w:tc>
        <w:tc>
          <w:tcPr>
            <w:tcW w:w="1020" w:type="dxa"/>
            <w:vAlign w:val="bottom"/>
          </w:tcPr>
          <w:p>
            <w:pPr>
              <w:ind w:left="360"/>
              <w:spacing w:after="0"/>
              <w:rPr>
                <w:sz w:val="20"/>
                <w:szCs w:val="20"/>
                <w:color w:val="auto"/>
              </w:rPr>
            </w:pPr>
            <w:r>
              <w:rPr>
                <w:rFonts w:ascii="Arial" w:cs="Arial" w:eastAsia="Arial" w:hAnsi="Arial"/>
                <w:sz w:val="18"/>
                <w:szCs w:val="18"/>
                <w:color w:val="auto"/>
                <w:w w:val="99"/>
              </w:rPr>
              <w:t>January</w:t>
            </w:r>
          </w:p>
        </w:tc>
        <w:tc>
          <w:tcPr>
            <w:tcW w:w="2300" w:type="dxa"/>
            <w:vAlign w:val="bottom"/>
          </w:tcPr>
          <w:p>
            <w:pPr>
              <w:jc w:val="right"/>
              <w:ind w:right="1652"/>
              <w:spacing w:after="0"/>
              <w:rPr>
                <w:sz w:val="20"/>
                <w:szCs w:val="20"/>
                <w:color w:val="auto"/>
              </w:rPr>
            </w:pPr>
            <w:r>
              <w:rPr>
                <w:rFonts w:ascii="Arial" w:cs="Arial" w:eastAsia="Arial" w:hAnsi="Arial"/>
                <w:sz w:val="18"/>
                <w:szCs w:val="18"/>
                <w:color w:val="auto"/>
              </w:rPr>
              <w:t>, 2013</w:t>
            </w:r>
          </w:p>
        </w:tc>
        <w:tc>
          <w:tcPr>
            <w:tcW w:w="16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24"/>
        </w:trPr>
        <w:tc>
          <w:tcPr>
            <w:tcW w:w="3760" w:type="dxa"/>
            <w:vAlign w:val="bottom"/>
          </w:tcPr>
          <w:p>
            <w:pPr>
              <w:spacing w:after="0"/>
              <w:rPr>
                <w:sz w:val="20"/>
                <w:szCs w:val="20"/>
                <w:color w:val="auto"/>
              </w:rPr>
            </w:pPr>
            <w:r>
              <w:rPr>
                <w:rFonts w:ascii="Arial" w:cs="Arial" w:eastAsia="Arial" w:hAnsi="Arial"/>
                <w:sz w:val="18"/>
                <w:szCs w:val="18"/>
                <w:color w:val="auto"/>
              </w:rPr>
              <w:t>Stated maturity date</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February 1, 2025</w:t>
            </w:r>
          </w:p>
        </w:tc>
        <w:tc>
          <w:tcPr>
            <w:tcW w:w="16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24"/>
        </w:trPr>
        <w:tc>
          <w:tcPr>
            <w:tcW w:w="3760" w:type="dxa"/>
            <w:vAlign w:val="bottom"/>
          </w:tcPr>
          <w:p>
            <w:pPr>
              <w:spacing w:after="0"/>
              <w:rPr>
                <w:sz w:val="20"/>
                <w:szCs w:val="20"/>
                <w:color w:val="auto"/>
              </w:rPr>
            </w:pPr>
            <w:r>
              <w:rPr>
                <w:rFonts w:ascii="Arial" w:cs="Arial" w:eastAsia="Arial" w:hAnsi="Arial"/>
                <w:sz w:val="18"/>
                <w:szCs w:val="18"/>
                <w:color w:val="auto"/>
              </w:rPr>
              <w:t>Date interest starts accruing</w:t>
            </w:r>
          </w:p>
        </w:tc>
        <w:tc>
          <w:tcPr>
            <w:tcW w:w="1020" w:type="dxa"/>
            <w:vAlign w:val="bottom"/>
          </w:tcPr>
          <w:p>
            <w:pPr>
              <w:ind w:left="360"/>
              <w:spacing w:after="0"/>
              <w:rPr>
                <w:sz w:val="20"/>
                <w:szCs w:val="20"/>
                <w:color w:val="auto"/>
              </w:rPr>
            </w:pPr>
            <w:r>
              <w:rPr>
                <w:rFonts w:ascii="Arial" w:cs="Arial" w:eastAsia="Arial" w:hAnsi="Arial"/>
                <w:sz w:val="18"/>
                <w:szCs w:val="18"/>
                <w:color w:val="auto"/>
                <w:w w:val="99"/>
              </w:rPr>
              <w:t>January</w:t>
            </w:r>
          </w:p>
        </w:tc>
        <w:tc>
          <w:tcPr>
            <w:tcW w:w="2300" w:type="dxa"/>
            <w:vAlign w:val="bottom"/>
          </w:tcPr>
          <w:p>
            <w:pPr>
              <w:jc w:val="right"/>
              <w:ind w:right="1652"/>
              <w:spacing w:after="0"/>
              <w:rPr>
                <w:sz w:val="20"/>
                <w:szCs w:val="20"/>
                <w:color w:val="auto"/>
              </w:rPr>
            </w:pPr>
            <w:r>
              <w:rPr>
                <w:rFonts w:ascii="Arial" w:cs="Arial" w:eastAsia="Arial" w:hAnsi="Arial"/>
                <w:sz w:val="18"/>
                <w:szCs w:val="18"/>
                <w:color w:val="auto"/>
              </w:rPr>
              <w:t>, 2013</w:t>
            </w:r>
          </w:p>
        </w:tc>
        <w:tc>
          <w:tcPr>
            <w:tcW w:w="16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18"/>
        </w:trPr>
        <w:tc>
          <w:tcPr>
            <w:tcW w:w="37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640" w:type="dxa"/>
            <w:vAlign w:val="bottom"/>
            <w:gridSpan w:val="4"/>
          </w:tcPr>
          <w:p>
            <w:pPr>
              <w:ind w:left="360"/>
              <w:spacing w:after="0"/>
              <w:rPr>
                <w:sz w:val="20"/>
                <w:szCs w:val="20"/>
                <w:color w:val="auto"/>
              </w:rPr>
            </w:pPr>
            <w:r>
              <w:rPr>
                <w:rFonts w:ascii="Arial" w:cs="Arial" w:eastAsia="Arial" w:hAnsi="Arial"/>
                <w:sz w:val="18"/>
                <w:szCs w:val="18"/>
                <w:color w:val="auto"/>
                <w:w w:val="89"/>
              </w:rPr>
              <w:t>Every February 1, May 1, August 1 and November 1, commencing May 1, 2013. If an interest payment</w:t>
            </w:r>
          </w:p>
        </w:tc>
      </w:tr>
      <w:tr>
        <w:trPr>
          <w:trHeight w:val="216"/>
        </w:trPr>
        <w:tc>
          <w:tcPr>
            <w:tcW w:w="3760" w:type="dxa"/>
            <w:vAlign w:val="bottom"/>
          </w:tcPr>
          <w:p>
            <w:pPr>
              <w:spacing w:after="0"/>
              <w:rPr>
                <w:sz w:val="18"/>
                <w:szCs w:val="18"/>
                <w:color w:val="auto"/>
              </w:rPr>
            </w:pPr>
          </w:p>
        </w:tc>
        <w:tc>
          <w:tcPr>
            <w:tcW w:w="7640" w:type="dxa"/>
            <w:vAlign w:val="bottom"/>
            <w:gridSpan w:val="4"/>
          </w:tcPr>
          <w:p>
            <w:pPr>
              <w:ind w:left="360"/>
              <w:spacing w:after="0"/>
              <w:rPr>
                <w:sz w:val="20"/>
                <w:szCs w:val="20"/>
                <w:color w:val="auto"/>
              </w:rPr>
            </w:pPr>
            <w:r>
              <w:rPr>
                <w:rFonts w:ascii="Arial" w:cs="Arial" w:eastAsia="Arial" w:hAnsi="Arial"/>
                <w:sz w:val="18"/>
                <w:szCs w:val="18"/>
                <w:color w:val="auto"/>
                <w:w w:val="88"/>
              </w:rPr>
              <w:t>date is a non-business day, the applicable interest payment will be made on the next business day, and</w:t>
            </w:r>
          </w:p>
        </w:tc>
      </w:tr>
      <w:tr>
        <w:trPr>
          <w:trHeight w:val="222"/>
        </w:trPr>
        <w:tc>
          <w:tcPr>
            <w:tcW w:w="3760" w:type="dxa"/>
            <w:vAlign w:val="bottom"/>
          </w:tcPr>
          <w:p>
            <w:pPr>
              <w:spacing w:after="0"/>
              <w:rPr>
                <w:sz w:val="19"/>
                <w:szCs w:val="19"/>
                <w:color w:val="auto"/>
              </w:rPr>
            </w:pPr>
          </w:p>
        </w:tc>
        <w:tc>
          <w:tcPr>
            <w:tcW w:w="7640" w:type="dxa"/>
            <w:vAlign w:val="bottom"/>
            <w:gridSpan w:val="4"/>
          </w:tcPr>
          <w:p>
            <w:pPr>
              <w:ind w:left="360"/>
              <w:spacing w:after="0"/>
              <w:rPr>
                <w:sz w:val="20"/>
                <w:szCs w:val="20"/>
                <w:color w:val="auto"/>
              </w:rPr>
            </w:pPr>
            <w:r>
              <w:rPr>
                <w:rFonts w:ascii="Arial" w:cs="Arial" w:eastAsia="Arial" w:hAnsi="Arial"/>
                <w:sz w:val="18"/>
                <w:szCs w:val="18"/>
                <w:color w:val="auto"/>
              </w:rPr>
              <w:t>no additional interest will accrue as a result of such delayed payment.</w:t>
            </w:r>
          </w:p>
        </w:tc>
      </w:tr>
      <w:tr>
        <w:trPr>
          <w:trHeight w:val="318"/>
        </w:trPr>
        <w:tc>
          <w:tcPr>
            <w:tcW w:w="3760" w:type="dxa"/>
            <w:vAlign w:val="bottom"/>
          </w:tcPr>
          <w:p>
            <w:pPr>
              <w:spacing w:after="0"/>
              <w:rPr>
                <w:sz w:val="20"/>
                <w:szCs w:val="20"/>
                <w:color w:val="auto"/>
              </w:rPr>
            </w:pPr>
            <w:r>
              <w:rPr>
                <w:rFonts w:ascii="Arial" w:cs="Arial" w:eastAsia="Arial" w:hAnsi="Arial"/>
                <w:sz w:val="18"/>
                <w:szCs w:val="18"/>
                <w:color w:val="auto"/>
              </w:rPr>
              <w:t>Interest periods</w:t>
            </w:r>
          </w:p>
        </w:tc>
        <w:tc>
          <w:tcPr>
            <w:tcW w:w="5000" w:type="dxa"/>
            <w:vAlign w:val="bottom"/>
            <w:gridSpan w:val="3"/>
          </w:tcPr>
          <w:p>
            <w:pPr>
              <w:ind w:left="360"/>
              <w:spacing w:after="0"/>
              <w:rPr>
                <w:sz w:val="20"/>
                <w:szCs w:val="20"/>
                <w:color w:val="auto"/>
              </w:rPr>
            </w:pPr>
            <w:r>
              <w:rPr>
                <w:rFonts w:ascii="Arial" w:cs="Arial" w:eastAsia="Arial" w:hAnsi="Arial"/>
                <w:sz w:val="18"/>
                <w:szCs w:val="18"/>
                <w:color w:val="auto"/>
                <w:w w:val="94"/>
              </w:rPr>
              <w:t>The initial interest period will be the period from and including</w:t>
            </w:r>
          </w:p>
        </w:tc>
        <w:tc>
          <w:tcPr>
            <w:tcW w:w="2640" w:type="dxa"/>
            <w:vAlign w:val="bottom"/>
          </w:tcPr>
          <w:p>
            <w:pPr>
              <w:ind w:left="40"/>
              <w:spacing w:after="0"/>
              <w:rPr>
                <w:sz w:val="20"/>
                <w:szCs w:val="20"/>
                <w:color w:val="auto"/>
              </w:rPr>
            </w:pPr>
            <w:r>
              <w:rPr>
                <w:rFonts w:ascii="Arial" w:cs="Arial" w:eastAsia="Arial" w:hAnsi="Arial"/>
                <w:sz w:val="18"/>
                <w:szCs w:val="18"/>
                <w:color w:val="auto"/>
                <w:w w:val="93"/>
              </w:rPr>
              <w:t>to, but excluding May 1, 2013, and</w:t>
            </w:r>
          </w:p>
        </w:tc>
      </w:tr>
      <w:tr>
        <w:trPr>
          <w:trHeight w:val="216"/>
        </w:trPr>
        <w:tc>
          <w:tcPr>
            <w:tcW w:w="3760" w:type="dxa"/>
            <w:vAlign w:val="bottom"/>
          </w:tcPr>
          <w:p>
            <w:pPr>
              <w:spacing w:after="0"/>
              <w:rPr>
                <w:sz w:val="18"/>
                <w:szCs w:val="18"/>
                <w:color w:val="auto"/>
              </w:rPr>
            </w:pPr>
          </w:p>
        </w:tc>
        <w:tc>
          <w:tcPr>
            <w:tcW w:w="7640" w:type="dxa"/>
            <w:vAlign w:val="bottom"/>
            <w:gridSpan w:val="4"/>
          </w:tcPr>
          <w:p>
            <w:pPr>
              <w:ind w:left="360"/>
              <w:spacing w:after="0"/>
              <w:rPr>
                <w:sz w:val="20"/>
                <w:szCs w:val="20"/>
                <w:color w:val="auto"/>
              </w:rPr>
            </w:pPr>
            <w:r>
              <w:rPr>
                <w:rFonts w:ascii="Arial" w:cs="Arial" w:eastAsia="Arial" w:hAnsi="Arial"/>
                <w:sz w:val="18"/>
                <w:szCs w:val="18"/>
                <w:color w:val="auto"/>
                <w:w w:val="89"/>
              </w:rPr>
              <w:t>the subsequent interest periods will be the periods from and including an interest payment date to, but</w:t>
            </w:r>
          </w:p>
        </w:tc>
      </w:tr>
      <w:tr>
        <w:trPr>
          <w:trHeight w:val="222"/>
        </w:trPr>
        <w:tc>
          <w:tcPr>
            <w:tcW w:w="3760" w:type="dxa"/>
            <w:vAlign w:val="bottom"/>
          </w:tcPr>
          <w:p>
            <w:pPr>
              <w:spacing w:after="0"/>
              <w:rPr>
                <w:sz w:val="19"/>
                <w:szCs w:val="19"/>
                <w:color w:val="auto"/>
              </w:rPr>
            </w:pPr>
          </w:p>
        </w:tc>
        <w:tc>
          <w:tcPr>
            <w:tcW w:w="7640" w:type="dxa"/>
            <w:vAlign w:val="bottom"/>
            <w:gridSpan w:val="4"/>
          </w:tcPr>
          <w:p>
            <w:pPr>
              <w:ind w:left="360"/>
              <w:spacing w:after="0"/>
              <w:rPr>
                <w:sz w:val="20"/>
                <w:szCs w:val="20"/>
                <w:color w:val="auto"/>
              </w:rPr>
            </w:pPr>
            <w:r>
              <w:rPr>
                <w:rFonts w:ascii="Arial" w:cs="Arial" w:eastAsia="Arial" w:hAnsi="Arial"/>
                <w:sz w:val="18"/>
                <w:szCs w:val="18"/>
                <w:color w:val="auto"/>
              </w:rPr>
              <w:t>excluding, the next interest payment date or the stated maturity date, as the case may be.</w:t>
            </w:r>
          </w:p>
        </w:tc>
      </w:tr>
      <w:tr>
        <w:trPr>
          <w:trHeight w:val="318"/>
        </w:trPr>
        <w:tc>
          <w:tcPr>
            <w:tcW w:w="3760" w:type="dxa"/>
            <w:vAlign w:val="bottom"/>
          </w:tcPr>
          <w:p>
            <w:pPr>
              <w:spacing w:after="0"/>
              <w:rPr>
                <w:sz w:val="20"/>
                <w:szCs w:val="20"/>
                <w:color w:val="auto"/>
              </w:rPr>
            </w:pPr>
            <w:r>
              <w:rPr>
                <w:rFonts w:ascii="Arial" w:cs="Arial" w:eastAsia="Arial" w:hAnsi="Arial"/>
                <w:sz w:val="18"/>
                <w:szCs w:val="18"/>
                <w:color w:val="auto"/>
              </w:rPr>
              <w:t>Regular record dates for interest</w:t>
            </w:r>
          </w:p>
        </w:tc>
        <w:tc>
          <w:tcPr>
            <w:tcW w:w="7640" w:type="dxa"/>
            <w:vAlign w:val="bottom"/>
            <w:gridSpan w:val="4"/>
          </w:tcPr>
          <w:p>
            <w:pPr>
              <w:ind w:left="360"/>
              <w:spacing w:after="0"/>
              <w:rPr>
                <w:sz w:val="20"/>
                <w:szCs w:val="20"/>
                <w:color w:val="auto"/>
              </w:rPr>
            </w:pPr>
            <w:r>
              <w:rPr>
                <w:rFonts w:ascii="Arial" w:cs="Arial" w:eastAsia="Arial" w:hAnsi="Arial"/>
                <w:sz w:val="18"/>
                <w:szCs w:val="18"/>
                <w:color w:val="auto"/>
                <w:w w:val="91"/>
              </w:rPr>
              <w:t>Every January 15, April 15, July 15 and October 15, commencing April 15, 2013; if a record date for</w:t>
            </w:r>
          </w:p>
        </w:tc>
      </w:tr>
      <w:tr>
        <w:trPr>
          <w:trHeight w:val="222"/>
        </w:trPr>
        <w:tc>
          <w:tcPr>
            <w:tcW w:w="3760" w:type="dxa"/>
            <w:vAlign w:val="bottom"/>
          </w:tcPr>
          <w:p>
            <w:pPr>
              <w:spacing w:after="0"/>
              <w:rPr>
                <w:sz w:val="19"/>
                <w:szCs w:val="19"/>
                <w:color w:val="auto"/>
              </w:rPr>
            </w:pPr>
          </w:p>
        </w:tc>
        <w:tc>
          <w:tcPr>
            <w:tcW w:w="7640" w:type="dxa"/>
            <w:vAlign w:val="bottom"/>
            <w:gridSpan w:val="4"/>
          </w:tcPr>
          <w:p>
            <w:pPr>
              <w:ind w:left="360"/>
              <w:spacing w:after="0"/>
              <w:rPr>
                <w:sz w:val="20"/>
                <w:szCs w:val="20"/>
                <w:color w:val="auto"/>
              </w:rPr>
            </w:pPr>
            <w:r>
              <w:rPr>
                <w:rFonts w:ascii="Arial" w:cs="Arial" w:eastAsia="Arial" w:hAnsi="Arial"/>
                <w:sz w:val="18"/>
                <w:szCs w:val="18"/>
                <w:color w:val="auto"/>
              </w:rPr>
              <w:t>interest is a non-business day, then that record date will be the next business day.</w:t>
            </w:r>
          </w:p>
        </w:tc>
      </w:tr>
      <w:tr>
        <w:trPr>
          <w:trHeight w:val="324"/>
        </w:trPr>
        <w:tc>
          <w:tcPr>
            <w:tcW w:w="3760" w:type="dxa"/>
            <w:vAlign w:val="bottom"/>
          </w:tcPr>
          <w:p>
            <w:pPr>
              <w:spacing w:after="0"/>
              <w:rPr>
                <w:sz w:val="20"/>
                <w:szCs w:val="20"/>
                <w:color w:val="auto"/>
              </w:rPr>
            </w:pPr>
            <w:r>
              <w:rPr>
                <w:rFonts w:ascii="Arial" w:cs="Arial" w:eastAsia="Arial" w:hAnsi="Arial"/>
                <w:sz w:val="18"/>
                <w:szCs w:val="18"/>
                <w:color w:val="auto"/>
              </w:rPr>
              <w:t>Specified currency</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U.S. Dollars</w:t>
            </w:r>
          </w:p>
        </w:tc>
        <w:tc>
          <w:tcPr>
            <w:tcW w:w="16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24"/>
        </w:trPr>
        <w:tc>
          <w:tcPr>
            <w:tcW w:w="3760" w:type="dxa"/>
            <w:vAlign w:val="bottom"/>
          </w:tcPr>
          <w:p>
            <w:pPr>
              <w:spacing w:after="0"/>
              <w:rPr>
                <w:sz w:val="20"/>
                <w:szCs w:val="20"/>
                <w:color w:val="auto"/>
              </w:rPr>
            </w:pPr>
            <w:r>
              <w:rPr>
                <w:rFonts w:ascii="Arial" w:cs="Arial" w:eastAsia="Arial" w:hAnsi="Arial"/>
                <w:sz w:val="18"/>
                <w:szCs w:val="18"/>
                <w:color w:val="auto"/>
              </w:rPr>
              <w:t>Place of payment</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The City of New York</w:t>
            </w:r>
          </w:p>
        </w:tc>
        <w:tc>
          <w:tcPr>
            <w:tcW w:w="168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65"/>
        </w:trPr>
        <w:tc>
          <w:tcPr>
            <w:tcW w:w="3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00" w:type="dxa"/>
            <w:vAlign w:val="bottom"/>
          </w:tcPr>
          <w:p>
            <w:pPr>
              <w:jc w:val="right"/>
              <w:ind w:right="1152"/>
              <w:spacing w:after="0"/>
              <w:rPr>
                <w:sz w:val="20"/>
                <w:szCs w:val="20"/>
                <w:color w:val="auto"/>
              </w:rPr>
            </w:pPr>
            <w:r>
              <w:rPr>
                <w:rFonts w:ascii="Arial" w:cs="Arial" w:eastAsia="Arial" w:hAnsi="Arial"/>
                <w:sz w:val="18"/>
                <w:szCs w:val="18"/>
                <w:color w:val="auto"/>
              </w:rPr>
              <w:t>S-1</w:t>
            </w:r>
          </w:p>
        </w:tc>
        <w:tc>
          <w:tcPr>
            <w:tcW w:w="1680" w:type="dxa"/>
            <w:vAlign w:val="bottom"/>
          </w:tcPr>
          <w:p>
            <w:pPr>
              <w:spacing w:after="0"/>
              <w:rPr>
                <w:sz w:val="24"/>
                <w:szCs w:val="24"/>
                <w:color w:val="auto"/>
              </w:rPr>
            </w:pPr>
          </w:p>
        </w:tc>
        <w:tc>
          <w:tcPr>
            <w:tcW w:w="264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00" w:type="dxa"/>
            <w:vAlign w:val="bottom"/>
          </w:tcPr>
          <w:p>
            <w:pPr>
              <w:spacing w:after="0"/>
              <w:rPr>
                <w:sz w:val="19"/>
                <w:szCs w:val="19"/>
                <w:color w:val="auto"/>
              </w:rPr>
            </w:pPr>
          </w:p>
        </w:tc>
        <w:tc>
          <w:tcPr>
            <w:tcW w:w="8820" w:type="dxa"/>
            <w:vAlign w:val="bottom"/>
            <w:gridSpan w:val="2"/>
          </w:tcPr>
          <w:p>
            <w:pPr>
              <w:ind w:left="340"/>
              <w:spacing w:after="0"/>
              <w:rPr>
                <w:sz w:val="20"/>
                <w:szCs w:val="20"/>
                <w:color w:val="auto"/>
              </w:rPr>
            </w:pPr>
            <w:r>
              <w:rPr>
                <w:rFonts w:ascii="Arial" w:cs="Arial" w:eastAsia="Arial" w:hAnsi="Arial"/>
                <w:sz w:val="18"/>
                <w:szCs w:val="18"/>
                <w:b w:val="1"/>
                <w:bCs w:val="1"/>
                <w:color w:val="auto"/>
              </w:rPr>
              <w:t>SPECIFIC TERMS OF THE NOTES AND THE OFFERING (continued)</w:t>
            </w:r>
          </w:p>
        </w:tc>
      </w:tr>
      <w:tr>
        <w:trPr>
          <w:trHeight w:val="358"/>
        </w:trPr>
        <w:tc>
          <w:tcPr>
            <w:tcW w:w="2600" w:type="dxa"/>
            <w:vAlign w:val="bottom"/>
          </w:tcPr>
          <w:p>
            <w:pPr>
              <w:spacing w:after="0"/>
              <w:rPr>
                <w:sz w:val="20"/>
                <w:szCs w:val="20"/>
                <w:color w:val="auto"/>
              </w:rPr>
            </w:pPr>
            <w:r>
              <w:rPr>
                <w:rFonts w:ascii="Arial" w:cs="Arial" w:eastAsia="Arial" w:hAnsi="Arial"/>
                <w:sz w:val="18"/>
                <w:szCs w:val="18"/>
                <w:color w:val="auto"/>
              </w:rPr>
              <w:t>Ranking of Notes</w:t>
            </w: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rPr>
              <w:t>The Notes will be our direct unsecured obligations and will rank:</w:t>
            </w:r>
          </w:p>
        </w:tc>
      </w:tr>
      <w:tr>
        <w:trPr>
          <w:trHeight w:val="216"/>
        </w:trPr>
        <w:tc>
          <w:tcPr>
            <w:tcW w:w="2600" w:type="dxa"/>
            <w:vAlign w:val="bottom"/>
          </w:tcPr>
          <w:p>
            <w:pPr>
              <w:spacing w:after="0"/>
              <w:rPr>
                <w:sz w:val="18"/>
                <w:szCs w:val="18"/>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7180" w:type="dxa"/>
            <w:vAlign w:val="bottom"/>
          </w:tcPr>
          <w:p>
            <w:pPr>
              <w:ind w:left="180"/>
              <w:spacing w:after="0"/>
              <w:rPr>
                <w:sz w:val="20"/>
                <w:szCs w:val="20"/>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future senior unsecured indebtedness;</w:t>
            </w:r>
          </w:p>
        </w:tc>
      </w:tr>
      <w:tr>
        <w:trPr>
          <w:trHeight w:val="216"/>
        </w:trPr>
        <w:tc>
          <w:tcPr>
            <w:tcW w:w="2600" w:type="dxa"/>
            <w:vAlign w:val="bottom"/>
          </w:tcPr>
          <w:p>
            <w:pPr>
              <w:spacing w:after="0"/>
              <w:rPr>
                <w:sz w:val="18"/>
                <w:szCs w:val="18"/>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7180" w:type="dxa"/>
            <w:vAlign w:val="bottom"/>
          </w:tcPr>
          <w:p>
            <w:pPr>
              <w:ind w:left="180"/>
              <w:spacing w:after="0"/>
              <w:rPr>
                <w:sz w:val="20"/>
                <w:szCs w:val="20"/>
                <w:color w:val="auto"/>
              </w:rPr>
            </w:pPr>
            <w:r>
              <w:rPr>
                <w:rFonts w:ascii="Arial" w:cs="Arial" w:eastAsia="Arial" w:hAnsi="Arial"/>
                <w:sz w:val="18"/>
                <w:szCs w:val="18"/>
                <w:color w:val="auto"/>
                <w:w w:val="95"/>
              </w:rPr>
              <w:t>senior to any of our future indebtedness that expressly states it is subordinated to the Notes;</w:t>
            </w:r>
          </w:p>
        </w:tc>
      </w:tr>
      <w:tr>
        <w:trPr>
          <w:trHeight w:val="216"/>
        </w:trPr>
        <w:tc>
          <w:tcPr>
            <w:tcW w:w="2600" w:type="dxa"/>
            <w:vAlign w:val="bottom"/>
          </w:tcPr>
          <w:p>
            <w:pPr>
              <w:spacing w:after="0"/>
              <w:rPr>
                <w:sz w:val="18"/>
                <w:szCs w:val="18"/>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7180" w:type="dxa"/>
            <w:vAlign w:val="bottom"/>
          </w:tcPr>
          <w:p>
            <w:pPr>
              <w:ind w:left="180"/>
              <w:spacing w:after="0"/>
              <w:rPr>
                <w:sz w:val="20"/>
                <w:szCs w:val="20"/>
                <w:color w:val="auto"/>
              </w:rPr>
            </w:pPr>
            <w:r>
              <w:rPr>
                <w:rFonts w:ascii="Arial" w:cs="Arial" w:eastAsia="Arial" w:hAnsi="Arial"/>
                <w:sz w:val="18"/>
                <w:szCs w:val="18"/>
                <w:color w:val="auto"/>
                <w:w w:val="99"/>
              </w:rPr>
              <w:t>effectively subordinated to all of our existing and future secured indebtedness (including</w:t>
            </w:r>
          </w:p>
        </w:tc>
      </w:tr>
      <w:tr>
        <w:trPr>
          <w:trHeight w:val="216"/>
        </w:trPr>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w w:val="89"/>
              </w:rPr>
              <w:t>indebtedness that is initially unsecured, but to which we subsequently grant security), to the extent</w:t>
            </w:r>
          </w:p>
        </w:tc>
      </w:tr>
      <w:tr>
        <w:trPr>
          <w:trHeight w:val="216"/>
        </w:trPr>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w w:val="90"/>
              </w:rPr>
              <w:t>of the value of the assets securing such indebtedness, including without limitation, approximately</w:t>
            </w:r>
          </w:p>
        </w:tc>
      </w:tr>
      <w:tr>
        <w:trPr>
          <w:trHeight w:val="216"/>
        </w:trPr>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w w:val="98"/>
              </w:rPr>
              <w:t>$145.0 million (including a $35.5 million temporary draw) of borrowings outstanding as of</w:t>
            </w:r>
          </w:p>
        </w:tc>
      </w:tr>
      <w:tr>
        <w:trPr>
          <w:trHeight w:val="216"/>
        </w:trPr>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w w:val="90"/>
              </w:rPr>
              <w:t>September 30, 2012 under our $380.0 million revolving credit facility, or the Credit Facility, to the</w:t>
            </w:r>
          </w:p>
        </w:tc>
      </w:tr>
      <w:tr>
        <w:trPr>
          <w:trHeight w:val="216"/>
        </w:trPr>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extent of the value of the assets securing the Credit Facility; and</w:t>
            </w:r>
          </w:p>
        </w:tc>
      </w:tr>
      <w:tr>
        <w:trPr>
          <w:trHeight w:val="216"/>
        </w:trPr>
        <w:tc>
          <w:tcPr>
            <w:tcW w:w="2600" w:type="dxa"/>
            <w:vAlign w:val="bottom"/>
          </w:tcPr>
          <w:p>
            <w:pPr>
              <w:spacing w:after="0"/>
              <w:rPr>
                <w:sz w:val="18"/>
                <w:szCs w:val="18"/>
                <w:color w:val="auto"/>
              </w:rPr>
            </w:pPr>
          </w:p>
        </w:tc>
        <w:tc>
          <w:tcPr>
            <w:tcW w:w="1640" w:type="dxa"/>
            <w:vAlign w:val="bottom"/>
          </w:tcPr>
          <w:p>
            <w:pPr>
              <w:ind w:left="1400"/>
              <w:spacing w:after="0"/>
              <w:rPr>
                <w:sz w:val="20"/>
                <w:szCs w:val="20"/>
                <w:color w:val="auto"/>
              </w:rPr>
            </w:pPr>
            <w:r>
              <w:rPr>
                <w:rFonts w:ascii="Arial" w:cs="Arial" w:eastAsia="Arial" w:hAnsi="Arial"/>
                <w:sz w:val="18"/>
                <w:szCs w:val="18"/>
                <w:color w:val="auto"/>
              </w:rPr>
              <w:t>-</w:t>
            </w:r>
          </w:p>
        </w:tc>
        <w:tc>
          <w:tcPr>
            <w:tcW w:w="7180" w:type="dxa"/>
            <w:vAlign w:val="bottom"/>
          </w:tcPr>
          <w:p>
            <w:pPr>
              <w:ind w:left="180"/>
              <w:spacing w:after="0"/>
              <w:rPr>
                <w:sz w:val="20"/>
                <w:szCs w:val="20"/>
                <w:color w:val="auto"/>
              </w:rPr>
            </w:pPr>
            <w:r>
              <w:rPr>
                <w:rFonts w:ascii="Arial" w:cs="Arial" w:eastAsia="Arial" w:hAnsi="Arial"/>
                <w:sz w:val="18"/>
                <w:szCs w:val="18"/>
                <w:color w:val="auto"/>
                <w:w w:val="89"/>
              </w:rPr>
              <w:t>structurally subordinated to all existing and future indebtedness and other obligations of any of our</w:t>
            </w:r>
          </w:p>
        </w:tc>
      </w:tr>
      <w:tr>
        <w:trPr>
          <w:trHeight w:val="216"/>
        </w:trPr>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w w:val="99"/>
              </w:rPr>
              <w:t>subsidiaries, financing vehicles or similar facilities, including our consolidated subsidiary</w:t>
            </w:r>
          </w:p>
        </w:tc>
      </w:tr>
      <w:tr>
        <w:trPr>
          <w:trHeight w:val="216"/>
        </w:trPr>
        <w:tc>
          <w:tcPr>
            <w:tcW w:w="2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w w:val="95"/>
              </w:rPr>
              <w:t>PennantPark SBIC LP’s U.S. Small Business Administration, or SBA, debentures of $150.0</w:t>
            </w:r>
          </w:p>
        </w:tc>
      </w:tr>
      <w:tr>
        <w:trPr>
          <w:trHeight w:val="222"/>
        </w:trPr>
        <w:tc>
          <w:tcPr>
            <w:tcW w:w="26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million of borrowings outstanding as of September 30, 2012.</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Denominations</w:t>
            </w: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w w:val="97"/>
              </w:rPr>
              <w:t>We will issue the Notes in denominations of $25 and integral multiples of $25 in excess thereof.</w:t>
            </w:r>
          </w:p>
        </w:tc>
      </w:tr>
      <w:tr>
        <w:trPr>
          <w:trHeight w:val="318"/>
        </w:trPr>
        <w:tc>
          <w:tcPr>
            <w:tcW w:w="2600" w:type="dxa"/>
            <w:vAlign w:val="bottom"/>
          </w:tcPr>
          <w:p>
            <w:pPr>
              <w:spacing w:after="0"/>
              <w:rPr>
                <w:sz w:val="20"/>
                <w:szCs w:val="20"/>
                <w:color w:val="auto"/>
              </w:rPr>
            </w:pPr>
            <w:r>
              <w:rPr>
                <w:rFonts w:ascii="Arial" w:cs="Arial" w:eastAsia="Arial" w:hAnsi="Arial"/>
                <w:sz w:val="18"/>
                <w:szCs w:val="18"/>
                <w:color w:val="auto"/>
              </w:rPr>
              <w:t>Business day</w:t>
            </w: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w w:val="88"/>
              </w:rPr>
              <w:t>Each Monday, Tuesday, Wednesday, Thursday and Friday that is not a day on which banking institutions</w:t>
            </w:r>
          </w:p>
        </w:tc>
      </w:tr>
      <w:tr>
        <w:trPr>
          <w:trHeight w:val="222"/>
        </w:trPr>
        <w:tc>
          <w:tcPr>
            <w:tcW w:w="2600" w:type="dxa"/>
            <w:vAlign w:val="bottom"/>
          </w:tcPr>
          <w:p>
            <w:pPr>
              <w:spacing w:after="0"/>
              <w:rPr>
                <w:sz w:val="19"/>
                <w:szCs w:val="19"/>
                <w:color w:val="auto"/>
              </w:rPr>
            </w:pP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rPr>
              <w:t>in The City of New York are authorized or required by law or executive order to close.</w:t>
            </w:r>
          </w:p>
        </w:tc>
      </w:tr>
      <w:tr>
        <w:trPr>
          <w:trHeight w:val="318"/>
        </w:trPr>
        <w:tc>
          <w:tcPr>
            <w:tcW w:w="2600" w:type="dxa"/>
            <w:vAlign w:val="bottom"/>
          </w:tcPr>
          <w:p>
            <w:pPr>
              <w:spacing w:after="0"/>
              <w:rPr>
                <w:sz w:val="20"/>
                <w:szCs w:val="20"/>
                <w:color w:val="auto"/>
              </w:rPr>
            </w:pPr>
            <w:r>
              <w:rPr>
                <w:rFonts w:ascii="Arial" w:cs="Arial" w:eastAsia="Arial" w:hAnsi="Arial"/>
                <w:sz w:val="18"/>
                <w:szCs w:val="18"/>
                <w:color w:val="auto"/>
              </w:rPr>
              <w:t>Optional redemption</w:t>
            </w: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w w:val="89"/>
              </w:rPr>
              <w:t>The Notes may be redeemed in whole or in part at any time or from time to time at our option on or after</w:t>
            </w:r>
          </w:p>
        </w:tc>
      </w:tr>
      <w:tr>
        <w:trPr>
          <w:trHeight w:val="216"/>
        </w:trPr>
        <w:tc>
          <w:tcPr>
            <w:tcW w:w="2600" w:type="dxa"/>
            <w:vAlign w:val="bottom"/>
          </w:tcPr>
          <w:p>
            <w:pPr>
              <w:spacing w:after="0"/>
              <w:rPr>
                <w:sz w:val="18"/>
                <w:szCs w:val="18"/>
                <w:color w:val="auto"/>
              </w:rPr>
            </w:pP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w w:val="90"/>
              </w:rPr>
              <w:t>February 1, 2016, upon not less than 30 days’ nor more than 60 days’ written notice by mail prior to the</w:t>
            </w:r>
          </w:p>
        </w:tc>
      </w:tr>
      <w:tr>
        <w:trPr>
          <w:trHeight w:val="216"/>
        </w:trPr>
        <w:tc>
          <w:tcPr>
            <w:tcW w:w="2600" w:type="dxa"/>
            <w:vAlign w:val="bottom"/>
          </w:tcPr>
          <w:p>
            <w:pPr>
              <w:spacing w:after="0"/>
              <w:rPr>
                <w:sz w:val="18"/>
                <w:szCs w:val="18"/>
                <w:color w:val="auto"/>
              </w:rPr>
            </w:pP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w w:val="88"/>
              </w:rPr>
              <w:t>date fixed for redemption thereof, at a redemption price of $25 per Note plus accrued and unpaid interest</w:t>
            </w:r>
          </w:p>
        </w:tc>
      </w:tr>
      <w:tr>
        <w:trPr>
          <w:trHeight w:val="216"/>
        </w:trPr>
        <w:tc>
          <w:tcPr>
            <w:tcW w:w="2600" w:type="dxa"/>
            <w:vAlign w:val="bottom"/>
          </w:tcPr>
          <w:p>
            <w:pPr>
              <w:spacing w:after="0"/>
              <w:rPr>
                <w:sz w:val="18"/>
                <w:szCs w:val="18"/>
                <w:color w:val="auto"/>
              </w:rPr>
            </w:pP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w w:val="88"/>
              </w:rPr>
              <w:t>payments otherwise payable for the then-current quarterly interest period accrued to but not including the</w:t>
            </w:r>
          </w:p>
        </w:tc>
      </w:tr>
      <w:tr>
        <w:trPr>
          <w:trHeight w:val="216"/>
        </w:trPr>
        <w:tc>
          <w:tcPr>
            <w:tcW w:w="2600" w:type="dxa"/>
            <w:vAlign w:val="bottom"/>
          </w:tcPr>
          <w:p>
            <w:pPr>
              <w:spacing w:after="0"/>
              <w:rPr>
                <w:sz w:val="18"/>
                <w:szCs w:val="18"/>
                <w:color w:val="auto"/>
              </w:rPr>
            </w:pP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rPr>
              <w:t>date fixed for redemption.</w:t>
            </w:r>
          </w:p>
        </w:tc>
      </w:tr>
      <w:tr>
        <w:trPr>
          <w:trHeight w:val="216"/>
        </w:trPr>
        <w:tc>
          <w:tcPr>
            <w:tcW w:w="2600" w:type="dxa"/>
            <w:vAlign w:val="bottom"/>
          </w:tcPr>
          <w:p>
            <w:pPr>
              <w:spacing w:after="0"/>
              <w:rPr>
                <w:sz w:val="18"/>
                <w:szCs w:val="18"/>
                <w:color w:val="auto"/>
              </w:rPr>
            </w:pP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w w:val="88"/>
              </w:rPr>
              <w:t>You may be prevented from exchanging or transferring the Notes when they are subject to redemption. In</w:t>
            </w:r>
          </w:p>
        </w:tc>
      </w:tr>
      <w:tr>
        <w:trPr>
          <w:trHeight w:val="216"/>
        </w:trPr>
        <w:tc>
          <w:tcPr>
            <w:tcW w:w="2600" w:type="dxa"/>
            <w:vAlign w:val="bottom"/>
          </w:tcPr>
          <w:p>
            <w:pPr>
              <w:spacing w:after="0"/>
              <w:rPr>
                <w:sz w:val="18"/>
                <w:szCs w:val="18"/>
                <w:color w:val="auto"/>
              </w:rPr>
            </w:pP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w w:val="89"/>
              </w:rPr>
              <w:t>case any Notes are to be redeemed in part only, the redemption notice will provide that, upon surrender</w:t>
            </w:r>
          </w:p>
        </w:tc>
      </w:tr>
      <w:tr>
        <w:trPr>
          <w:trHeight w:val="216"/>
        </w:trPr>
        <w:tc>
          <w:tcPr>
            <w:tcW w:w="2600" w:type="dxa"/>
            <w:vAlign w:val="bottom"/>
          </w:tcPr>
          <w:p>
            <w:pPr>
              <w:spacing w:after="0"/>
              <w:rPr>
                <w:sz w:val="18"/>
                <w:szCs w:val="18"/>
                <w:color w:val="auto"/>
              </w:rPr>
            </w:pP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w w:val="94"/>
              </w:rPr>
              <w:t>of such Note, you will receive, without a charge, a new Note or Notes of authorized denominations</w:t>
            </w:r>
          </w:p>
        </w:tc>
      </w:tr>
      <w:tr>
        <w:trPr>
          <w:trHeight w:val="216"/>
        </w:trPr>
        <w:tc>
          <w:tcPr>
            <w:tcW w:w="2600" w:type="dxa"/>
            <w:vAlign w:val="bottom"/>
          </w:tcPr>
          <w:p>
            <w:pPr>
              <w:spacing w:after="0"/>
              <w:rPr>
                <w:sz w:val="18"/>
                <w:szCs w:val="18"/>
                <w:color w:val="auto"/>
              </w:rPr>
            </w:pP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rPr>
              <w:t>representing the principal amount of your remaining unredeemed Notes.</w:t>
            </w:r>
          </w:p>
        </w:tc>
      </w:tr>
      <w:tr>
        <w:trPr>
          <w:trHeight w:val="216"/>
        </w:trPr>
        <w:tc>
          <w:tcPr>
            <w:tcW w:w="2600" w:type="dxa"/>
            <w:vAlign w:val="bottom"/>
          </w:tcPr>
          <w:p>
            <w:pPr>
              <w:spacing w:after="0"/>
              <w:rPr>
                <w:sz w:val="18"/>
                <w:szCs w:val="18"/>
                <w:color w:val="auto"/>
              </w:rPr>
            </w:pP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w w:val="92"/>
              </w:rPr>
              <w:t>Any exercise of our option to redeem the Notes will be done in compliance with the 1940 Act and the</w:t>
            </w:r>
          </w:p>
        </w:tc>
      </w:tr>
      <w:tr>
        <w:trPr>
          <w:trHeight w:val="216"/>
        </w:trPr>
        <w:tc>
          <w:tcPr>
            <w:tcW w:w="2600" w:type="dxa"/>
            <w:vAlign w:val="bottom"/>
          </w:tcPr>
          <w:p>
            <w:pPr>
              <w:spacing w:after="0"/>
              <w:rPr>
                <w:sz w:val="18"/>
                <w:szCs w:val="18"/>
                <w:color w:val="auto"/>
              </w:rPr>
            </w:pP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rPr>
              <w:t>related rules, regulations and interpretations, to the extent applicable.</w:t>
            </w:r>
          </w:p>
        </w:tc>
      </w:tr>
      <w:tr>
        <w:trPr>
          <w:trHeight w:val="216"/>
        </w:trPr>
        <w:tc>
          <w:tcPr>
            <w:tcW w:w="2600" w:type="dxa"/>
            <w:vAlign w:val="bottom"/>
          </w:tcPr>
          <w:p>
            <w:pPr>
              <w:spacing w:after="0"/>
              <w:rPr>
                <w:sz w:val="18"/>
                <w:szCs w:val="18"/>
                <w:color w:val="auto"/>
              </w:rPr>
            </w:pP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w w:val="97"/>
              </w:rPr>
              <w:t>If we redeem only some of the Notes, the Trustee will determine the method for selection of the</w:t>
            </w:r>
          </w:p>
        </w:tc>
      </w:tr>
      <w:tr>
        <w:trPr>
          <w:trHeight w:val="216"/>
        </w:trPr>
        <w:tc>
          <w:tcPr>
            <w:tcW w:w="2600" w:type="dxa"/>
            <w:vAlign w:val="bottom"/>
          </w:tcPr>
          <w:p>
            <w:pPr>
              <w:spacing w:after="0"/>
              <w:rPr>
                <w:sz w:val="18"/>
                <w:szCs w:val="18"/>
                <w:color w:val="auto"/>
              </w:rPr>
            </w:pP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w w:val="91"/>
              </w:rPr>
              <w:t>particular Notes to be redeemed, in accordance with the 1940 Act, to the extent applicable. Unless we</w:t>
            </w:r>
          </w:p>
        </w:tc>
      </w:tr>
      <w:tr>
        <w:trPr>
          <w:trHeight w:val="216"/>
        </w:trPr>
        <w:tc>
          <w:tcPr>
            <w:tcW w:w="2600" w:type="dxa"/>
            <w:vAlign w:val="bottom"/>
          </w:tcPr>
          <w:p>
            <w:pPr>
              <w:spacing w:after="0"/>
              <w:rPr>
                <w:sz w:val="18"/>
                <w:szCs w:val="18"/>
                <w:color w:val="auto"/>
              </w:rPr>
            </w:pP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w w:val="93"/>
              </w:rPr>
              <w:t>default in payment of the redemption price, on and after the date of redemption interest will cease to</w:t>
            </w:r>
          </w:p>
        </w:tc>
      </w:tr>
      <w:tr>
        <w:trPr>
          <w:trHeight w:val="222"/>
        </w:trPr>
        <w:tc>
          <w:tcPr>
            <w:tcW w:w="2600" w:type="dxa"/>
            <w:vAlign w:val="bottom"/>
          </w:tcPr>
          <w:p>
            <w:pPr>
              <w:spacing w:after="0"/>
              <w:rPr>
                <w:sz w:val="19"/>
                <w:szCs w:val="19"/>
                <w:color w:val="auto"/>
              </w:rPr>
            </w:pP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rPr>
              <w:t>accrue on the Notes called for redemption.</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Sinking fund</w:t>
            </w: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rPr>
              <w:t>The Notes will not be subject to any sinking fund.</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Repayment at option of Holders</w:t>
            </w:r>
          </w:p>
        </w:tc>
        <w:tc>
          <w:tcPr>
            <w:tcW w:w="8820" w:type="dxa"/>
            <w:vAlign w:val="bottom"/>
            <w:gridSpan w:val="2"/>
          </w:tcPr>
          <w:p>
            <w:pPr>
              <w:ind w:left="1400"/>
              <w:spacing w:after="0"/>
              <w:rPr>
                <w:sz w:val="20"/>
                <w:szCs w:val="20"/>
                <w:color w:val="auto"/>
              </w:rPr>
            </w:pPr>
            <w:r>
              <w:rPr>
                <w:rFonts w:ascii="Arial" w:cs="Arial" w:eastAsia="Arial" w:hAnsi="Arial"/>
                <w:sz w:val="18"/>
                <w:szCs w:val="18"/>
                <w:color w:val="auto"/>
              </w:rPr>
              <w:t>Holders will not have the option to have the Notes repaid prior to the stated maturity date.</w:t>
            </w:r>
          </w:p>
        </w:tc>
      </w:tr>
      <w:tr>
        <w:trPr>
          <w:trHeight w:val="365"/>
        </w:trPr>
        <w:tc>
          <w:tcPr>
            <w:tcW w:w="2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180" w:type="dxa"/>
            <w:vAlign w:val="bottom"/>
          </w:tcPr>
          <w:p>
            <w:pPr>
              <w:ind w:left="13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60" w:type="dxa"/>
            <w:vAlign w:val="bottom"/>
            <w:gridSpan w:val="3"/>
          </w:tcPr>
          <w:p>
            <w:pPr>
              <w:ind w:left="2940"/>
              <w:spacing w:after="0"/>
              <w:rPr>
                <w:sz w:val="20"/>
                <w:szCs w:val="20"/>
                <w:color w:val="auto"/>
              </w:rPr>
            </w:pPr>
            <w:r>
              <w:rPr>
                <w:rFonts w:ascii="Arial" w:cs="Arial" w:eastAsia="Arial" w:hAnsi="Arial"/>
                <w:sz w:val="18"/>
                <w:szCs w:val="18"/>
                <w:b w:val="1"/>
                <w:bCs w:val="1"/>
                <w:color w:val="auto"/>
              </w:rPr>
              <w:t>SPECIFIC TERMS OF THE NOTES AND THE OFFERING (continued)</w:t>
            </w:r>
          </w:p>
        </w:tc>
      </w:tr>
      <w:tr>
        <w:trPr>
          <w:trHeight w:val="473"/>
        </w:trPr>
        <w:tc>
          <w:tcPr>
            <w:tcW w:w="3620" w:type="dxa"/>
            <w:vAlign w:val="bottom"/>
          </w:tcPr>
          <w:p>
            <w:pPr>
              <w:spacing w:after="0"/>
              <w:rPr>
                <w:sz w:val="20"/>
                <w:szCs w:val="20"/>
                <w:color w:val="auto"/>
              </w:rPr>
            </w:pPr>
            <w:r>
              <w:rPr>
                <w:rFonts w:ascii="Arial" w:cs="Arial" w:eastAsia="Arial" w:hAnsi="Arial"/>
                <w:sz w:val="18"/>
                <w:szCs w:val="18"/>
                <w:color w:val="auto"/>
              </w:rPr>
              <w:t>Defeasance</w:t>
            </w: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rPr>
              <w:t>The Notes are subject to defeasance by us.</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Covenant defeasance</w:t>
            </w: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rPr>
              <w:t>The Notes are subject to covenant defeasance by us.</w:t>
            </w:r>
          </w:p>
        </w:tc>
      </w:tr>
      <w:tr>
        <w:trPr>
          <w:trHeight w:val="318"/>
        </w:trPr>
        <w:tc>
          <w:tcPr>
            <w:tcW w:w="3620" w:type="dxa"/>
            <w:vAlign w:val="bottom"/>
          </w:tcPr>
          <w:p>
            <w:pPr>
              <w:spacing w:after="0"/>
              <w:rPr>
                <w:sz w:val="20"/>
                <w:szCs w:val="20"/>
                <w:color w:val="auto"/>
              </w:rPr>
            </w:pPr>
            <w:r>
              <w:rPr>
                <w:rFonts w:ascii="Arial" w:cs="Arial" w:eastAsia="Arial" w:hAnsi="Arial"/>
                <w:sz w:val="18"/>
                <w:szCs w:val="18"/>
                <w:color w:val="auto"/>
              </w:rPr>
              <w:t>Form of Notes</w:t>
            </w: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89"/>
              </w:rPr>
              <w:t>The Notes will be represented by global securities that will be deposited and registered in the name of</w:t>
            </w:r>
          </w:p>
        </w:tc>
      </w:tr>
      <w:tr>
        <w:trPr>
          <w:trHeight w:val="216"/>
        </w:trPr>
        <w:tc>
          <w:tcPr>
            <w:tcW w:w="3620" w:type="dxa"/>
            <w:vAlign w:val="bottom"/>
          </w:tcPr>
          <w:p>
            <w:pPr>
              <w:spacing w:after="0"/>
              <w:rPr>
                <w:sz w:val="18"/>
                <w:szCs w:val="18"/>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89"/>
              </w:rPr>
              <w:t>DTC or its nominee. This means that, except in limited circumstances, you will not receive certificates</w:t>
            </w:r>
          </w:p>
        </w:tc>
      </w:tr>
      <w:tr>
        <w:trPr>
          <w:trHeight w:val="216"/>
        </w:trPr>
        <w:tc>
          <w:tcPr>
            <w:tcW w:w="3620" w:type="dxa"/>
            <w:vAlign w:val="bottom"/>
          </w:tcPr>
          <w:p>
            <w:pPr>
              <w:spacing w:after="0"/>
              <w:rPr>
                <w:sz w:val="18"/>
                <w:szCs w:val="18"/>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93"/>
              </w:rPr>
              <w:t>for the Notes. Beneficial interests in the Notes will be represented through book-entry accounts of</w:t>
            </w:r>
          </w:p>
        </w:tc>
      </w:tr>
      <w:tr>
        <w:trPr>
          <w:trHeight w:val="216"/>
        </w:trPr>
        <w:tc>
          <w:tcPr>
            <w:tcW w:w="3620" w:type="dxa"/>
            <w:vAlign w:val="bottom"/>
          </w:tcPr>
          <w:p>
            <w:pPr>
              <w:spacing w:after="0"/>
              <w:rPr>
                <w:sz w:val="18"/>
                <w:szCs w:val="18"/>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92"/>
              </w:rPr>
              <w:t>financial institutions acting on behalf of beneficial owners as direct and indirect participants in DTC.</w:t>
            </w:r>
          </w:p>
        </w:tc>
      </w:tr>
      <w:tr>
        <w:trPr>
          <w:trHeight w:val="216"/>
        </w:trPr>
        <w:tc>
          <w:tcPr>
            <w:tcW w:w="3620" w:type="dxa"/>
            <w:vAlign w:val="bottom"/>
          </w:tcPr>
          <w:p>
            <w:pPr>
              <w:spacing w:after="0"/>
              <w:rPr>
                <w:sz w:val="18"/>
                <w:szCs w:val="18"/>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94"/>
              </w:rPr>
              <w:t>Investors may elect to hold interests in the Notes through either DTC, if they are a participant, or</w:t>
            </w:r>
          </w:p>
        </w:tc>
      </w:tr>
      <w:tr>
        <w:trPr>
          <w:trHeight w:val="222"/>
        </w:trPr>
        <w:tc>
          <w:tcPr>
            <w:tcW w:w="3620" w:type="dxa"/>
            <w:vAlign w:val="bottom"/>
          </w:tcPr>
          <w:p>
            <w:pPr>
              <w:spacing w:after="0"/>
              <w:rPr>
                <w:sz w:val="19"/>
                <w:szCs w:val="19"/>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rPr>
              <w:t>indirectly through organizations that are participants in DTC.</w:t>
            </w:r>
          </w:p>
        </w:tc>
      </w:tr>
      <w:tr>
        <w:trPr>
          <w:trHeight w:val="318"/>
        </w:trPr>
        <w:tc>
          <w:tcPr>
            <w:tcW w:w="3620" w:type="dxa"/>
            <w:vAlign w:val="bottom"/>
          </w:tcPr>
          <w:p>
            <w:pPr>
              <w:spacing w:after="0"/>
              <w:rPr>
                <w:sz w:val="20"/>
                <w:szCs w:val="20"/>
                <w:color w:val="auto"/>
              </w:rPr>
            </w:pPr>
            <w:r>
              <w:rPr>
                <w:rFonts w:ascii="Arial" w:cs="Arial" w:eastAsia="Arial" w:hAnsi="Arial"/>
                <w:sz w:val="18"/>
                <w:szCs w:val="18"/>
                <w:color w:val="auto"/>
                <w:w w:val="97"/>
              </w:rPr>
              <w:t>Trustee, Paying Agent, Registrar and Transfer</w:t>
            </w: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rPr>
              <w:t>American Stock Transfer &amp; Trust Company, LLC</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Agent</w:t>
            </w:r>
          </w:p>
        </w:tc>
        <w:tc>
          <w:tcPr>
            <w:tcW w:w="620" w:type="dxa"/>
            <w:vAlign w:val="bottom"/>
          </w:tcPr>
          <w:p>
            <w:pPr>
              <w:spacing w:after="0"/>
              <w:rPr>
                <w:sz w:val="19"/>
                <w:szCs w:val="19"/>
                <w:color w:val="auto"/>
              </w:rPr>
            </w:pPr>
          </w:p>
        </w:tc>
        <w:tc>
          <w:tcPr>
            <w:tcW w:w="7020" w:type="dxa"/>
            <w:vAlign w:val="bottom"/>
          </w:tcPr>
          <w:p>
            <w:pPr>
              <w:spacing w:after="0"/>
              <w:rPr>
                <w:sz w:val="19"/>
                <w:szCs w:val="19"/>
                <w:color w:val="auto"/>
              </w:rPr>
            </w:pPr>
          </w:p>
        </w:tc>
      </w:tr>
      <w:tr>
        <w:trPr>
          <w:trHeight w:val="318"/>
        </w:trPr>
        <w:tc>
          <w:tcPr>
            <w:tcW w:w="3620" w:type="dxa"/>
            <w:vAlign w:val="bottom"/>
          </w:tcPr>
          <w:p>
            <w:pPr>
              <w:spacing w:after="0"/>
              <w:rPr>
                <w:sz w:val="20"/>
                <w:szCs w:val="20"/>
                <w:color w:val="auto"/>
              </w:rPr>
            </w:pPr>
            <w:r>
              <w:rPr>
                <w:rFonts w:ascii="Arial" w:cs="Arial" w:eastAsia="Arial" w:hAnsi="Arial"/>
                <w:sz w:val="18"/>
                <w:szCs w:val="18"/>
                <w:color w:val="auto"/>
              </w:rPr>
              <w:t>Other covenants</w:t>
            </w: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w w:val="90"/>
              </w:rPr>
              <w:t>In addition to the covenants described in the prospectus attached to this prospectus supplement, the</w:t>
            </w:r>
          </w:p>
        </w:tc>
      </w:tr>
      <w:tr>
        <w:trPr>
          <w:trHeight w:val="216"/>
        </w:trPr>
        <w:tc>
          <w:tcPr>
            <w:tcW w:w="3620" w:type="dxa"/>
            <w:vAlign w:val="bottom"/>
          </w:tcPr>
          <w:p>
            <w:pPr>
              <w:spacing w:after="0"/>
              <w:rPr>
                <w:sz w:val="18"/>
                <w:szCs w:val="18"/>
                <w:color w:val="auto"/>
              </w:rPr>
            </w:pPr>
          </w:p>
        </w:tc>
        <w:tc>
          <w:tcPr>
            <w:tcW w:w="7640" w:type="dxa"/>
            <w:vAlign w:val="bottom"/>
            <w:gridSpan w:val="2"/>
          </w:tcPr>
          <w:p>
            <w:pPr>
              <w:ind w:left="380"/>
              <w:spacing w:after="0"/>
              <w:rPr>
                <w:sz w:val="20"/>
                <w:szCs w:val="20"/>
                <w:color w:val="auto"/>
              </w:rPr>
            </w:pPr>
            <w:r>
              <w:rPr>
                <w:rFonts w:ascii="Arial" w:cs="Arial" w:eastAsia="Arial" w:hAnsi="Arial"/>
                <w:sz w:val="18"/>
                <w:szCs w:val="18"/>
                <w:color w:val="auto"/>
              </w:rPr>
              <w:t>following covenants will apply to the Notes:</w:t>
            </w:r>
          </w:p>
        </w:tc>
      </w:tr>
      <w:tr>
        <w:trPr>
          <w:trHeight w:val="216"/>
        </w:trPr>
        <w:tc>
          <w:tcPr>
            <w:tcW w:w="362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7020" w:type="dxa"/>
            <w:vAlign w:val="bottom"/>
          </w:tcPr>
          <w:p>
            <w:pPr>
              <w:ind w:left="180"/>
              <w:spacing w:after="0"/>
              <w:rPr>
                <w:sz w:val="20"/>
                <w:szCs w:val="20"/>
                <w:color w:val="auto"/>
              </w:rPr>
            </w:pPr>
            <w:r>
              <w:rPr>
                <w:rFonts w:ascii="Arial" w:cs="Arial" w:eastAsia="Arial" w:hAnsi="Arial"/>
                <w:sz w:val="18"/>
                <w:szCs w:val="18"/>
                <w:color w:val="auto"/>
                <w:w w:val="90"/>
              </w:rPr>
              <w:t>We agree that for the period of time during which the Notes are outstanding, we will not violate</w:t>
            </w:r>
          </w:p>
        </w:tc>
      </w:tr>
      <w:tr>
        <w:trPr>
          <w:trHeight w:val="216"/>
        </w:trPr>
        <w:tc>
          <w:tcPr>
            <w:tcW w:w="3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88"/>
              </w:rPr>
              <w:t>Section 18(a)(1)(A) as modified by Section 61(a)(1) of the 1940 Act or any successor provisions.</w:t>
            </w:r>
          </w:p>
        </w:tc>
      </w:tr>
      <w:tr>
        <w:trPr>
          <w:trHeight w:val="216"/>
        </w:trPr>
        <w:tc>
          <w:tcPr>
            <w:tcW w:w="362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7020" w:type="dxa"/>
            <w:vAlign w:val="bottom"/>
          </w:tcPr>
          <w:p>
            <w:pPr>
              <w:ind w:left="180"/>
              <w:spacing w:after="0"/>
              <w:rPr>
                <w:sz w:val="20"/>
                <w:szCs w:val="20"/>
                <w:color w:val="auto"/>
              </w:rPr>
            </w:pPr>
            <w:r>
              <w:rPr>
                <w:rFonts w:ascii="Arial" w:cs="Arial" w:eastAsia="Arial" w:hAnsi="Arial"/>
                <w:sz w:val="18"/>
                <w:szCs w:val="18"/>
                <w:color w:val="auto"/>
                <w:w w:val="92"/>
              </w:rPr>
              <w:t>If, at any time, we are not subject to the reporting requirements of Sections 13 or 15(d) of the</w:t>
            </w:r>
          </w:p>
        </w:tc>
      </w:tr>
      <w:tr>
        <w:trPr>
          <w:trHeight w:val="216"/>
        </w:trPr>
        <w:tc>
          <w:tcPr>
            <w:tcW w:w="3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89"/>
              </w:rPr>
              <w:t>Securities Exchange Act of 1934, as amended, or the Exchange Act, to file any periodic reports</w:t>
            </w:r>
          </w:p>
        </w:tc>
      </w:tr>
      <w:tr>
        <w:trPr>
          <w:trHeight w:val="216"/>
        </w:trPr>
        <w:tc>
          <w:tcPr>
            <w:tcW w:w="3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89"/>
              </w:rPr>
              <w:t>with the SEC, we agree to furnish to holders of the Notes and the Trustee, for the period of time</w:t>
            </w:r>
          </w:p>
        </w:tc>
      </w:tr>
      <w:tr>
        <w:trPr>
          <w:trHeight w:val="216"/>
        </w:trPr>
        <w:tc>
          <w:tcPr>
            <w:tcW w:w="3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during which the Notes are outstanding, our audited annual consolidated financial statements,</w:t>
            </w:r>
          </w:p>
        </w:tc>
      </w:tr>
      <w:tr>
        <w:trPr>
          <w:trHeight w:val="216"/>
        </w:trPr>
        <w:tc>
          <w:tcPr>
            <w:tcW w:w="3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within 90 days of our fiscal year end, and unaudited interim consolidated financial statements,</w:t>
            </w:r>
          </w:p>
        </w:tc>
      </w:tr>
      <w:tr>
        <w:trPr>
          <w:trHeight w:val="216"/>
        </w:trPr>
        <w:tc>
          <w:tcPr>
            <w:tcW w:w="3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within 45 days of our fiscal quarter end (other than our fourth fiscal quarter). All such financial</w:t>
            </w:r>
          </w:p>
        </w:tc>
      </w:tr>
      <w:tr>
        <w:trPr>
          <w:trHeight w:val="216"/>
        </w:trPr>
        <w:tc>
          <w:tcPr>
            <w:tcW w:w="3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88"/>
              </w:rPr>
              <w:t>statements will be prepared, in all material respects, in accordance with applicable United States</w:t>
            </w:r>
          </w:p>
        </w:tc>
      </w:tr>
      <w:tr>
        <w:trPr>
          <w:trHeight w:val="216"/>
        </w:trPr>
        <w:tc>
          <w:tcPr>
            <w:tcW w:w="3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generally accepted accounting principles, or GAAP.</w:t>
            </w:r>
          </w:p>
        </w:tc>
      </w:tr>
      <w:tr>
        <w:trPr>
          <w:trHeight w:val="222"/>
        </w:trPr>
        <w:tc>
          <w:tcPr>
            <w:tcW w:w="3620" w:type="dxa"/>
            <w:vAlign w:val="bottom"/>
          </w:tcPr>
          <w:p>
            <w:pPr>
              <w:spacing w:after="0"/>
              <w:rPr>
                <w:sz w:val="19"/>
                <w:szCs w:val="19"/>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7020" w:type="dxa"/>
            <w:vAlign w:val="bottom"/>
          </w:tcPr>
          <w:p>
            <w:pPr>
              <w:ind w:left="180"/>
              <w:spacing w:after="0"/>
              <w:rPr>
                <w:sz w:val="20"/>
                <w:szCs w:val="20"/>
                <w:color w:val="auto"/>
              </w:rPr>
            </w:pPr>
            <w:r>
              <w:rPr>
                <w:rFonts w:ascii="Arial" w:cs="Arial" w:eastAsia="Arial" w:hAnsi="Arial"/>
                <w:sz w:val="18"/>
                <w:szCs w:val="18"/>
                <w:color w:val="auto"/>
              </w:rPr>
              <w:t>The lien covenant included in the form of indenture will not apply to the Notes.</w:t>
            </w:r>
          </w:p>
        </w:tc>
      </w:tr>
    </w:tbl>
    <w:p>
      <w:pPr>
        <w:spacing w:after="0" w:line="102" w:lineRule="exact"/>
        <w:rPr>
          <w:sz w:val="20"/>
          <w:szCs w:val="20"/>
          <w:color w:val="auto"/>
        </w:rPr>
      </w:pPr>
    </w:p>
    <w:p>
      <w:pPr>
        <w:spacing w:after="0"/>
        <w:tabs>
          <w:tab w:leader="none" w:pos="3980" w:val="left"/>
        </w:tabs>
        <w:rPr>
          <w:sz w:val="20"/>
          <w:szCs w:val="20"/>
          <w:color w:val="auto"/>
        </w:rPr>
      </w:pPr>
      <w:r>
        <w:rPr>
          <w:rFonts w:ascii="Arial" w:cs="Arial" w:eastAsia="Arial" w:hAnsi="Arial"/>
          <w:sz w:val="18"/>
          <w:szCs w:val="18"/>
          <w:color w:val="auto"/>
        </w:rPr>
        <w:t>Modifications to Events of Default</w:t>
      </w:r>
      <w:r>
        <w:rPr>
          <w:sz w:val="20"/>
          <w:szCs w:val="20"/>
          <w:color w:val="auto"/>
        </w:rPr>
        <w:tab/>
      </w:r>
      <w:r>
        <w:rPr>
          <w:rFonts w:ascii="Arial" w:cs="Arial" w:eastAsia="Arial" w:hAnsi="Arial"/>
          <w:sz w:val="15"/>
          <w:szCs w:val="15"/>
          <w:color w:val="auto"/>
        </w:rPr>
        <w:t>The following Event of Default, as described in the prospectus attached to this prospectus supplement:</w:t>
      </w:r>
    </w:p>
    <w:p>
      <w:pPr>
        <w:spacing w:after="0" w:line="15" w:lineRule="exact"/>
        <w:rPr>
          <w:sz w:val="20"/>
          <w:szCs w:val="20"/>
          <w:color w:val="auto"/>
        </w:rPr>
      </w:pPr>
    </w:p>
    <w:p>
      <w:pPr>
        <w:ind w:left="4440" w:hanging="434"/>
        <w:spacing w:after="0" w:line="250" w:lineRule="auto"/>
        <w:tabs>
          <w:tab w:leader="none" w:pos="4417"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 with respect to the Notes has been revised to read as follows:</w:t>
      </w:r>
    </w:p>
    <w:p>
      <w:pPr>
        <w:ind w:left="4420" w:hanging="414"/>
        <w:spacing w:after="0"/>
        <w:tabs>
          <w:tab w:leader="none" w:pos="4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any Note on its due date</w:t>
      </w:r>
    </w:p>
    <w:p>
      <w:pPr>
        <w:sectPr>
          <w:pgSz w:w="11900" w:h="16838" w:orient="portrait"/>
          <w:cols w:equalWidth="0" w:num="1">
            <w:col w:w="11320"/>
          </w:cols>
          <w:pgMar w:left="240" w:top="459" w:right="339" w:bottom="1440" w:gutter="0" w:footer="0" w:header="0"/>
        </w:sectPr>
      </w:pPr>
    </w:p>
    <w:p>
      <w:pPr>
        <w:spacing w:after="0" w:line="11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Modifications to Remedies if an Event of Default Occurs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The following remedy if an Event of Default occurs, as described in the prospectus attached to this prospectus supplement:</w:t>
      </w:r>
    </w:p>
    <w:p>
      <w:pPr>
        <w:ind w:left="440" w:right="20" w:hanging="434"/>
        <w:spacing w:after="0" w:line="254" w:lineRule="auto"/>
        <w:tabs>
          <w:tab w:leader="none" w:pos="417"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services to be due and immediately payable.</w:t>
      </w:r>
    </w:p>
    <w:p>
      <w:pPr>
        <w:spacing w:after="0" w:line="130" w:lineRule="exact"/>
        <w:rPr>
          <w:sz w:val="20"/>
          <w:szCs w:val="20"/>
          <w:color w:val="auto"/>
        </w:rPr>
      </w:pPr>
    </w:p>
    <w:p>
      <w:pPr>
        <w:sectPr>
          <w:pgSz w:w="11900" w:h="16838" w:orient="portrait"/>
          <w:cols w:equalWidth="0" w:num="2">
            <w:col w:w="3480" w:space="520"/>
            <w:col w:w="7320"/>
          </w:cols>
          <w:pgMar w:left="240" w:top="459" w:right="339" w:bottom="1440" w:gutter="0" w:footer="0" w:header="0"/>
          <w:type w:val="continuous"/>
        </w:sectPr>
      </w:pPr>
    </w:p>
    <w:p>
      <w:pPr>
        <w:jc w:val="center"/>
        <w:ind w:right="-11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320"/>
          </w:cols>
          <w:pgMar w:left="240" w:top="459" w:right="3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SPECIFIC TERMS OF THE NOTES AND THE OFFERING (continued)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with respect to the Notes has been revised to read as follows:</w:t>
            </w:r>
          </w:p>
        </w:tc>
      </w:tr>
      <w:tr>
        <w:trPr>
          <w:trHeight w:val="216"/>
        </w:trPr>
        <w:tc>
          <w:tcPr>
            <w:tcW w:w="38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140" w:type="dxa"/>
            <w:vAlign w:val="bottom"/>
          </w:tcPr>
          <w:p>
            <w:pPr>
              <w:ind w:left="180"/>
              <w:spacing w:after="0"/>
              <w:rPr>
                <w:sz w:val="20"/>
                <w:szCs w:val="20"/>
                <w:color w:val="auto"/>
              </w:rPr>
            </w:pPr>
            <w:r>
              <w:rPr>
                <w:rFonts w:ascii="Arial" w:cs="Arial" w:eastAsia="Arial" w:hAnsi="Arial"/>
                <w:sz w:val="18"/>
                <w:szCs w:val="18"/>
                <w:color w:val="auto"/>
                <w:w w:val="88"/>
              </w:rPr>
              <w:t>If an Event of Default has occurred and has not been cured or waived, the trustee or the holders of</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89"/>
              </w:rPr>
              <w:t>not less than 25% in principal amount of the debt securities of the affected series may declare the</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96"/>
              </w:rPr>
              <w:t>entire principal amount of all the debt securities of that services to be due and immediately</w:t>
            </w:r>
          </w:p>
        </w:tc>
      </w:tr>
      <w:tr>
        <w:trPr>
          <w:trHeight w:val="222"/>
        </w:trPr>
        <w:tc>
          <w:tcPr>
            <w:tcW w:w="3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payable.</w:t>
            </w:r>
          </w:p>
        </w:tc>
      </w:tr>
      <w:tr>
        <w:trPr>
          <w:trHeight w:val="318"/>
        </w:trPr>
        <w:tc>
          <w:tcPr>
            <w:tcW w:w="3840" w:type="dxa"/>
            <w:vAlign w:val="bottom"/>
          </w:tcPr>
          <w:p>
            <w:pPr>
              <w:spacing w:after="0"/>
              <w:rPr>
                <w:sz w:val="20"/>
                <w:szCs w:val="20"/>
                <w:color w:val="auto"/>
              </w:rPr>
            </w:pPr>
            <w:r>
              <w:rPr>
                <w:rFonts w:ascii="Arial" w:cs="Arial" w:eastAsia="Arial" w:hAnsi="Arial"/>
                <w:sz w:val="18"/>
                <w:szCs w:val="18"/>
                <w:color w:val="auto"/>
              </w:rPr>
              <w:t>Modifications to Merger or Consolidation</w:t>
            </w: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89"/>
              </w:rPr>
              <w:t>The following conditions that must be met for us to consolidate or merge with another entity or to sell all</w:t>
            </w:r>
          </w:p>
        </w:tc>
      </w:tr>
      <w:tr>
        <w:trPr>
          <w:trHeight w:val="216"/>
        </w:trPr>
        <w:tc>
          <w:tcPr>
            <w:tcW w:w="384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96"/>
              </w:rPr>
              <w:t>or substantially all of our assets to another entity, as described in the prospectus attached to this</w:t>
            </w:r>
          </w:p>
        </w:tc>
      </w:tr>
      <w:tr>
        <w:trPr>
          <w:trHeight w:val="216"/>
        </w:trPr>
        <w:tc>
          <w:tcPr>
            <w:tcW w:w="384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prospectus supplement:</w:t>
            </w:r>
          </w:p>
        </w:tc>
      </w:tr>
      <w:tr>
        <w:trPr>
          <w:trHeight w:val="216"/>
        </w:trPr>
        <w:tc>
          <w:tcPr>
            <w:tcW w:w="38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140" w:type="dxa"/>
            <w:vAlign w:val="bottom"/>
          </w:tcPr>
          <w:p>
            <w:pPr>
              <w:ind w:left="180"/>
              <w:spacing w:after="0"/>
              <w:rPr>
                <w:sz w:val="20"/>
                <w:szCs w:val="20"/>
                <w:color w:val="auto"/>
              </w:rPr>
            </w:pPr>
            <w:r>
              <w:rPr>
                <w:rFonts w:ascii="Arial" w:cs="Arial" w:eastAsia="Arial" w:hAnsi="Arial"/>
                <w:sz w:val="18"/>
                <w:szCs w:val="18"/>
                <w:color w:val="auto"/>
                <w:w w:val="92"/>
              </w:rPr>
              <w:t>if we do not survive such transaction or we convey, transfer or lease our properties and assets</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98"/>
              </w:rPr>
              <w:t>substantially as an entirety, the acquiring company must be a corporation, limited liability</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87"/>
              </w:rPr>
              <w:t>company, partnership or trust, or other corporate form, organized under the laws of any state of the</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89"/>
              </w:rPr>
              <w:t>United States or the District of Columbia, any country comprising the European Union, the United</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88"/>
              </w:rPr>
              <w:t>Kingdom or Japan and such company must agree to be legally responsible for our debt securities,</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93"/>
              </w:rPr>
              <w:t>and, if not already subject to the jurisdiction of any state of the United States or the District of</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90"/>
              </w:rPr>
              <w:t>Columbia, the new company must submit to such jurisdiction for all purposes with respect to the</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debt securities and appoint an agent for service of process;</w:t>
            </w:r>
          </w:p>
        </w:tc>
      </w:tr>
      <w:tr>
        <w:trPr>
          <w:trHeight w:val="216"/>
        </w:trPr>
        <w:tc>
          <w:tcPr>
            <w:tcW w:w="38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140" w:type="dxa"/>
            <w:vAlign w:val="bottom"/>
          </w:tcPr>
          <w:p>
            <w:pPr>
              <w:ind w:left="180"/>
              <w:spacing w:after="0"/>
              <w:rPr>
                <w:sz w:val="20"/>
                <w:szCs w:val="20"/>
                <w:color w:val="auto"/>
              </w:rPr>
            </w:pPr>
            <w:r>
              <w:rPr>
                <w:rFonts w:ascii="Arial" w:cs="Arial" w:eastAsia="Arial" w:hAnsi="Arial"/>
                <w:sz w:val="18"/>
                <w:szCs w:val="18"/>
                <w:color w:val="auto"/>
              </w:rPr>
              <w:t>alternatively, we must be the surviving company;</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with respect to the Notes have been revised to read as follows:</w:t>
            </w:r>
          </w:p>
        </w:tc>
      </w:tr>
      <w:tr>
        <w:trPr>
          <w:trHeight w:val="216"/>
        </w:trPr>
        <w:tc>
          <w:tcPr>
            <w:tcW w:w="38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140" w:type="dxa"/>
            <w:vAlign w:val="bottom"/>
          </w:tcPr>
          <w:p>
            <w:pPr>
              <w:ind w:left="180"/>
              <w:spacing w:after="0"/>
              <w:rPr>
                <w:sz w:val="20"/>
                <w:szCs w:val="20"/>
                <w:color w:val="auto"/>
              </w:rPr>
            </w:pPr>
            <w:r>
              <w:rPr>
                <w:rFonts w:ascii="Arial" w:cs="Arial" w:eastAsia="Arial" w:hAnsi="Arial"/>
                <w:sz w:val="18"/>
                <w:szCs w:val="18"/>
                <w:color w:val="auto"/>
                <w:w w:val="91"/>
              </w:rPr>
              <w:t>where we merge out of existence or sell our assets, the resulting entity must agree to be legally</w:t>
            </w:r>
          </w:p>
        </w:tc>
      </w:tr>
      <w:tr>
        <w:trPr>
          <w:trHeight w:val="222"/>
        </w:trPr>
        <w:tc>
          <w:tcPr>
            <w:tcW w:w="3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responsible for our obligations under the debt securities;</w:t>
            </w:r>
          </w:p>
        </w:tc>
      </w:tr>
      <w:tr>
        <w:trPr>
          <w:trHeight w:val="318"/>
        </w:trPr>
        <w:tc>
          <w:tcPr>
            <w:tcW w:w="3840" w:type="dxa"/>
            <w:vAlign w:val="bottom"/>
          </w:tcPr>
          <w:p>
            <w:pPr>
              <w:spacing w:after="0"/>
              <w:rPr>
                <w:sz w:val="20"/>
                <w:szCs w:val="20"/>
                <w:color w:val="auto"/>
              </w:rPr>
            </w:pPr>
            <w:r>
              <w:rPr>
                <w:rFonts w:ascii="Arial" w:cs="Arial" w:eastAsia="Arial" w:hAnsi="Arial"/>
                <w:sz w:val="18"/>
                <w:szCs w:val="18"/>
                <w:color w:val="auto"/>
                <w:w w:val="94"/>
              </w:rPr>
              <w:t>Modifications to Changes Requiring Your Approval</w:t>
            </w: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94"/>
              </w:rPr>
              <w:t>In addition to the changes that cannot be made without your specific approval, as described in the</w:t>
            </w:r>
          </w:p>
        </w:tc>
      </w:tr>
      <w:tr>
        <w:trPr>
          <w:trHeight w:val="216"/>
        </w:trPr>
        <w:tc>
          <w:tcPr>
            <w:tcW w:w="384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90"/>
              </w:rPr>
              <w:t>prospectus attached to this prospectus supplement, the following change cannot be made without your</w:t>
            </w:r>
          </w:p>
        </w:tc>
      </w:tr>
      <w:tr>
        <w:trPr>
          <w:trHeight w:val="216"/>
        </w:trPr>
        <w:tc>
          <w:tcPr>
            <w:tcW w:w="384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specific approval:</w:t>
            </w:r>
          </w:p>
        </w:tc>
      </w:tr>
      <w:tr>
        <w:trPr>
          <w:trHeight w:val="216"/>
        </w:trPr>
        <w:tc>
          <w:tcPr>
            <w:tcW w:w="38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140" w:type="dxa"/>
            <w:vAlign w:val="bottom"/>
          </w:tcPr>
          <w:p>
            <w:pPr>
              <w:ind w:left="180"/>
              <w:spacing w:after="0"/>
              <w:rPr>
                <w:sz w:val="20"/>
                <w:szCs w:val="20"/>
                <w:color w:val="auto"/>
              </w:rPr>
            </w:pPr>
            <w:r>
              <w:rPr>
                <w:rFonts w:ascii="Arial" w:cs="Arial" w:eastAsia="Arial" w:hAnsi="Arial"/>
                <w:sz w:val="18"/>
                <w:szCs w:val="18"/>
                <w:color w:val="auto"/>
                <w:w w:val="88"/>
              </w:rPr>
              <w:t>adversely affect any right of repayment at the holder’s option. The following change that cannot be</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w w:val="91"/>
              </w:rPr>
              <w:t>made without your specific approval, as described in the prospectus attached to this prospectus</w:t>
            </w:r>
          </w:p>
        </w:tc>
      </w:tr>
      <w:tr>
        <w:trPr>
          <w:trHeight w:val="216"/>
        </w:trPr>
        <w:tc>
          <w:tcPr>
            <w:tcW w:w="3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supplement:</w:t>
            </w:r>
          </w:p>
        </w:tc>
      </w:tr>
      <w:tr>
        <w:trPr>
          <w:trHeight w:val="216"/>
        </w:trPr>
        <w:tc>
          <w:tcPr>
            <w:tcW w:w="384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w:t>
            </w:r>
          </w:p>
        </w:tc>
        <w:tc>
          <w:tcPr>
            <w:tcW w:w="7140" w:type="dxa"/>
            <w:vAlign w:val="bottom"/>
          </w:tcPr>
          <w:p>
            <w:pPr>
              <w:ind w:left="180"/>
              <w:spacing w:after="0"/>
              <w:rPr>
                <w:sz w:val="20"/>
                <w:szCs w:val="20"/>
                <w:color w:val="auto"/>
              </w:rPr>
            </w:pPr>
            <w:r>
              <w:rPr>
                <w:rFonts w:ascii="Arial" w:cs="Arial" w:eastAsia="Arial" w:hAnsi="Arial"/>
                <w:sz w:val="18"/>
                <w:szCs w:val="18"/>
                <w:color w:val="auto"/>
                <w:w w:val="89"/>
              </w:rPr>
              <w:t>at any time after a change of control has occurred, reduce the premium payable upon a change of</w:t>
            </w:r>
          </w:p>
        </w:tc>
      </w:tr>
      <w:tr>
        <w:trPr>
          <w:trHeight w:val="222"/>
        </w:trPr>
        <w:tc>
          <w:tcPr>
            <w:tcW w:w="3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control does not apply to the Notes.</w:t>
            </w:r>
          </w:p>
        </w:tc>
      </w:tr>
      <w:tr>
        <w:trPr>
          <w:trHeight w:val="318"/>
        </w:trPr>
        <w:tc>
          <w:tcPr>
            <w:tcW w:w="3840" w:type="dxa"/>
            <w:vAlign w:val="bottom"/>
          </w:tcPr>
          <w:p>
            <w:pPr>
              <w:spacing w:after="0"/>
              <w:rPr>
                <w:sz w:val="20"/>
                <w:szCs w:val="20"/>
                <w:color w:val="auto"/>
              </w:rPr>
            </w:pPr>
            <w:r>
              <w:rPr>
                <w:rFonts w:ascii="Arial" w:cs="Arial" w:eastAsia="Arial" w:hAnsi="Arial"/>
                <w:sz w:val="18"/>
                <w:szCs w:val="18"/>
                <w:color w:val="auto"/>
              </w:rPr>
              <w:t>Global Clearance and Settlement Procedures</w:t>
            </w: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95"/>
              </w:rPr>
              <w:t>Interests in the Notes will trade in DTC’s Same Day Funds Settlement System, and any permitted</w:t>
            </w:r>
          </w:p>
        </w:tc>
      </w:tr>
      <w:tr>
        <w:trPr>
          <w:trHeight w:val="216"/>
        </w:trPr>
        <w:tc>
          <w:tcPr>
            <w:tcW w:w="384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94"/>
              </w:rPr>
              <w:t>secondary market trading activity in such Notes will, therefore, be required by DTC to be settled in</w:t>
            </w:r>
          </w:p>
        </w:tc>
      </w:tr>
      <w:tr>
        <w:trPr>
          <w:trHeight w:val="216"/>
        </w:trPr>
        <w:tc>
          <w:tcPr>
            <w:tcW w:w="384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94"/>
              </w:rPr>
              <w:t>immediately available funds. None of the Company, the Trustee or the Paying Agent will have any</w:t>
            </w:r>
          </w:p>
        </w:tc>
      </w:tr>
      <w:tr>
        <w:trPr>
          <w:trHeight w:val="216"/>
        </w:trPr>
        <w:tc>
          <w:tcPr>
            <w:tcW w:w="3840" w:type="dxa"/>
            <w:vAlign w:val="bottom"/>
          </w:tcPr>
          <w:p>
            <w:pPr>
              <w:spacing w:after="0"/>
              <w:rPr>
                <w:sz w:val="18"/>
                <w:szCs w:val="18"/>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w w:val="91"/>
              </w:rPr>
              <w:t>responsibility for the performance by DTC or its participants or indirect participants of their respective</w:t>
            </w:r>
          </w:p>
        </w:tc>
      </w:tr>
      <w:tr>
        <w:trPr>
          <w:trHeight w:val="222"/>
        </w:trPr>
        <w:tc>
          <w:tcPr>
            <w:tcW w:w="3840" w:type="dxa"/>
            <w:vAlign w:val="bottom"/>
          </w:tcPr>
          <w:p>
            <w:pPr>
              <w:spacing w:after="0"/>
              <w:rPr>
                <w:sz w:val="19"/>
                <w:szCs w:val="19"/>
                <w:color w:val="auto"/>
              </w:rPr>
            </w:pPr>
          </w:p>
        </w:tc>
        <w:tc>
          <w:tcPr>
            <w:tcW w:w="7540" w:type="dxa"/>
            <w:vAlign w:val="bottom"/>
            <w:gridSpan w:val="2"/>
          </w:tcPr>
          <w:p>
            <w:pPr>
              <w:ind w:left="160"/>
              <w:spacing w:after="0"/>
              <w:rPr>
                <w:sz w:val="20"/>
                <w:szCs w:val="20"/>
                <w:color w:val="auto"/>
              </w:rPr>
            </w:pPr>
            <w:r>
              <w:rPr>
                <w:rFonts w:ascii="Arial" w:cs="Arial" w:eastAsia="Arial" w:hAnsi="Arial"/>
                <w:sz w:val="18"/>
                <w:szCs w:val="18"/>
                <w:color w:val="auto"/>
              </w:rPr>
              <w:t>obligations under the rules and procedures governing their operations.</w:t>
            </w:r>
          </w:p>
        </w:tc>
      </w:tr>
      <w:tr>
        <w:trPr>
          <w:trHeight w:val="365"/>
        </w:trPr>
        <w:tc>
          <w:tcPr>
            <w:tcW w:w="3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40" w:type="dxa"/>
            <w:vAlign w:val="bottom"/>
          </w:tcPr>
          <w:p>
            <w:pPr>
              <w:ind w:left="13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03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0038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both us and our consolidated Small Business Investment Company, or SBIC, subsidiary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 In this prospectus supplement and the accompanying prospectus except where the context suggests otherwise the terms “we,” “us,” “our,” and “Company” refer to PennantPark Investment Corporation and its consolidated subsidiaries; “PennantPark Investment” refers to only PennantPark Investment Corporation; “SBIC LP” or “our SBIC” refers to our consolidated subsidiary, PennantPark SBIC LP, and its general partner, PennantPark SBIC GP, LLC; “PennantPark Investment Advisers” or “Investment Adviser” refers to PennantPark Investment Advisers, LLC; and “PennantPark Investment Administration” or “Administrator” refers to PennantPark Investment Administration, LLC.</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96" w:lineRule="exact"/>
        <w:rPr>
          <w:sz w:val="20"/>
          <w:szCs w:val="20"/>
          <w:color w:val="auto"/>
        </w:rPr>
      </w:pPr>
    </w:p>
    <w:p>
      <w:pPr>
        <w:ind w:left="200" w:right="40" w:firstLine="443"/>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85"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six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or the Credit Facility, the Small Business Administration, or SBA, debentures, proceeds from the rotation of our portfolio and proceeds from public and private offerings of securities to finance our investment objectives.</w:t>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20" w:firstLine="443"/>
        <w:spacing w:after="0" w:line="294" w:lineRule="auto"/>
        <w:rPr>
          <w:sz w:val="20"/>
          <w:szCs w:val="20"/>
          <w:color w:val="auto"/>
        </w:rPr>
      </w:pPr>
      <w:r>
        <w:rPr>
          <w:rFonts w:ascii="Arial" w:cs="Arial" w:eastAsia="Arial" w:hAnsi="Arial"/>
          <w:sz w:val="16"/>
          <w:szCs w:val="16"/>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London Interbank Offered Rate, or LIBOR, or prime floor). Our overall portfolio consisted of 54 companies with an average investment size of $18.3 million, a weighted average yield on debt investments of 13.2%, and was invested 30% in senior secured loans, 19% in second lien secured debt, 40% in subordinated debt and 11% in preferred and common equity investments.</w:t>
      </w:r>
    </w:p>
    <w:p>
      <w:pPr>
        <w:spacing w:after="0" w:line="11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debt portfolio consisted of 61% fixed-rate and 39% variable-rate investments (including 31% with a LIBOR or prime floor).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ind w:left="200" w:right="40" w:firstLine="443"/>
        <w:spacing w:after="0" w:line="323" w:lineRule="auto"/>
        <w:rPr>
          <w:sz w:val="20"/>
          <w:szCs w:val="20"/>
          <w:color w:val="auto"/>
        </w:rPr>
      </w:pPr>
      <w:r>
        <w:rPr>
          <w:rFonts w:ascii="Arial" w:cs="Arial" w:eastAsia="Arial" w:hAnsi="Arial"/>
          <w:sz w:val="15"/>
          <w:szCs w:val="15"/>
          <w:color w:val="auto"/>
        </w:rPr>
        <w:t>For the fiscal year ended September 30, 2012, we purchased $328.3 million of investments issued by 13 new and 17 existing portfolio companies with an overall weighted average yield of 13.3% on debt investments. For the fiscal years ended September 30, 2011 and 2010, we purchased $479.7 million of investments issued by 17 new and 11 existing portfolio companies with an overall average yield of 13.7% on debt investments and purchased $309.5 million of investments, issued by 17 new and 12 existing portfolio companies with an overall average yield of 14.9% on debt investments, respectively.</w:t>
      </w:r>
    </w:p>
    <w:p>
      <w:pPr>
        <w:spacing w:after="0" w:line="98" w:lineRule="exact"/>
        <w:rPr>
          <w:sz w:val="20"/>
          <w:szCs w:val="20"/>
          <w:color w:val="auto"/>
        </w:rPr>
      </w:pPr>
    </w:p>
    <w:p>
      <w:pPr>
        <w:ind w:left="200" w:right="240" w:firstLine="443"/>
        <w:spacing w:after="0" w:line="268" w:lineRule="auto"/>
        <w:rPr>
          <w:sz w:val="20"/>
          <w:szCs w:val="20"/>
          <w:color w:val="auto"/>
        </w:rPr>
      </w:pPr>
      <w:r>
        <w:rPr>
          <w:rFonts w:ascii="Arial" w:cs="Arial" w:eastAsia="Arial" w:hAnsi="Arial"/>
          <w:sz w:val="18"/>
          <w:szCs w:val="18"/>
          <w:color w:val="auto"/>
        </w:rPr>
        <w:t>For the fiscal year ended September 30, 2012, sales and repayments generated proceeds of $201.7 million. For the fiscal years ended September 30, 2011 and 2010, sales and repayments generated proceeds of $304.0 million and $145.2 million, respectively.</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have elected to be treated, and intend to qualify annually, as a regulated investment company, or RIC, under the Internal Revenue Code of 1986, as amended, or the Code.</w:t>
      </w:r>
    </w:p>
    <w:p>
      <w:pPr>
        <w:spacing w:after="0" w:line="120"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Our wholly owned SBIC subsidiary, PennantPark SBIC LP, was organized as a Delaware limited partnership in May 2010 and received a license from the SBA to operate as an SBIC under Section 301(c) of the Small Business Investment Act of 1958, as amended, or the 1958 Act, in July 2010. SBIC LP’s objective is to generate both current income and capital appreciation through debt and equity investments. SBIC LP, generally, invests with us in SBA eligible businesses that meet the investment criteria used by PennantPark Investment.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jc w:val="both"/>
        <w:ind w:left="200" w:right="200" w:firstLine="443"/>
        <w:spacing w:after="0" w:line="259" w:lineRule="auto"/>
        <w:rPr>
          <w:sz w:val="20"/>
          <w:szCs w:val="20"/>
          <w:color w:val="auto"/>
        </w:rPr>
      </w:pPr>
      <w:r>
        <w:rPr>
          <w:rFonts w:ascii="Arial" w:cs="Arial" w:eastAsia="Arial" w:hAnsi="Arial"/>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03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6038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0"/>
        <w:spacing w:after="0" w:line="290" w:lineRule="auto"/>
        <w:rPr>
          <w:sz w:val="20"/>
          <w:szCs w:val="20"/>
          <w:color w:val="auto"/>
        </w:rPr>
      </w:pPr>
      <w:r>
        <w:rPr>
          <w:rFonts w:ascii="Arial" w:cs="Arial" w:eastAsia="Arial" w:hAnsi="Arial"/>
          <w:sz w:val="16"/>
          <w:szCs w:val="16"/>
          <w:color w:val="auto"/>
        </w:rPr>
        <w:t>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should provide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$1.5 billion in debt and equity capital and has invested over $2.1 billion in more than 200 companies with over 100 different financial sponsors through its managed funds.</w:t>
      </w:r>
    </w:p>
    <w:p>
      <w:pPr>
        <w:spacing w:after="0" w:line="118"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effects the determination and publication of our net asset value,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1060" w:right="220" w:hanging="431"/>
        <w:spacing w:after="0" w:line="301"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increasing difficulty in raising debt through the capital markets. </w:t>
      </w:r>
      <w:r>
        <w:rPr>
          <w:rFonts w:ascii="Arial" w:cs="Arial" w:eastAsia="Arial" w:hAnsi="Arial"/>
          <w:sz w:val="16"/>
          <w:szCs w:val="16"/>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22" w:lineRule="exact"/>
        <w:rPr>
          <w:rFonts w:ascii="Arial" w:cs="Arial" w:eastAsia="Arial" w:hAnsi="Arial"/>
          <w:sz w:val="16"/>
          <w:szCs w:val="16"/>
          <w:color w:val="auto"/>
        </w:rPr>
      </w:pPr>
    </w:p>
    <w:p>
      <w:pPr>
        <w:ind w:left="1060" w:right="200" w:hanging="431"/>
        <w:spacing w:after="0" w:line="26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collateralized loan obligation, or CLO, funds have withdrawn capital from the middle-market resulting in opportunities for alternative funding sources.</w:t>
      </w:r>
    </w:p>
    <w:p>
      <w:pPr>
        <w:spacing w:after="0" w:line="51" w:lineRule="exact"/>
        <w:rPr>
          <w:rFonts w:ascii="Arial" w:cs="Arial" w:eastAsia="Arial" w:hAnsi="Arial"/>
          <w:sz w:val="18"/>
          <w:szCs w:val="18"/>
          <w:color w:val="auto"/>
        </w:rPr>
      </w:pPr>
    </w:p>
    <w:p>
      <w:pPr>
        <w:ind w:left="1060" w:right="540" w:hanging="431"/>
        <w:spacing w:after="0" w:line="338" w:lineRule="auto"/>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b w:val="1"/>
          <w:bCs w:val="1"/>
          <w:color w:val="auto"/>
        </w:rPr>
        <w:t xml:space="preserve">We believe that the current credit market dislocation for middle-market companies improves the risk-adjusted returns on our investments. </w:t>
      </w:r>
      <w:r>
        <w:rPr>
          <w:rFonts w:ascii="Arial" w:cs="Arial" w:eastAsia="Arial" w:hAnsi="Arial"/>
          <w:sz w:val="15"/>
          <w:szCs w:val="15"/>
          <w:color w:val="auto"/>
        </w:rPr>
        <w:t>In the current credit environment, market participants have reduced lending to middle-market and non-investment grade</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borrowers. As a result, there is less competition in our market, more conservative capital structures, higher yields and stronger covenants.</w:t>
      </w:r>
    </w:p>
    <w:p>
      <w:pPr>
        <w:ind w:left="1060" w:right="80" w:hanging="431"/>
        <w:spacing w:after="0" w:line="296"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jc w:val="both"/>
        <w:ind w:left="1060" w:right="140" w:hanging="431"/>
        <w:spacing w:after="0" w:line="26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 financings</w:t>
      </w:r>
      <w:r>
        <w:rPr>
          <w:rFonts w:ascii="Arial" w:cs="Arial" w:eastAsia="Arial" w:hAnsi="Arial"/>
          <w:sz w:val="18"/>
          <w:szCs w:val="18"/>
          <w:b w:val="1"/>
          <w:bCs w:val="1"/>
          <w:color w:val="auto"/>
        </w:rPr>
        <w:t xml:space="preserve"> </w:t>
      </w:r>
      <w:r>
        <w:rPr>
          <w:rFonts w:ascii="Arial" w:cs="Arial" w:eastAsia="Arial" w:hAnsi="Arial"/>
          <w:sz w:val="18"/>
          <w:szCs w:val="18"/>
          <w:color w:val="auto"/>
        </w:rPr>
        <w:t>were completed between the years 2004 and 2007, which will mature in the next few years. This supply of opportunities coupled with a lack of demand offers attractive risk-adjusted returns to investors.</w:t>
      </w: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 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left="200" w:right="60" w:firstLine="443"/>
        <w:spacing w:after="0" w:line="323" w:lineRule="auto"/>
        <w:rPr>
          <w:sz w:val="20"/>
          <w:szCs w:val="20"/>
          <w:color w:val="auto"/>
        </w:rPr>
      </w:pPr>
      <w:r>
        <w:rPr>
          <w:rFonts w:ascii="Arial" w:cs="Arial" w:eastAsia="Arial" w:hAnsi="Arial"/>
          <w:sz w:val="15"/>
          <w:szCs w:val="15"/>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98" w:lineRule="exact"/>
        <w:rPr>
          <w:sz w:val="20"/>
          <w:szCs w:val="20"/>
          <w:color w:val="auto"/>
        </w:rPr>
      </w:pPr>
    </w:p>
    <w:p>
      <w:pPr>
        <w:ind w:left="200" w:right="120" w:firstLine="443"/>
        <w:spacing w:after="0" w:line="255"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in this prospectus supplement and “Investment Objectives and Policies—Investment Selection Criteria” in the accompanying prospectus for more information.</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1060" w:hanging="431"/>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1060" w:hanging="431"/>
        <w:spacing w:after="0"/>
        <w:tabs>
          <w:tab w:leader="none" w:pos="10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6"/>
          <w:szCs w:val="16"/>
          <w:b w:val="1"/>
          <w:bCs w:val="1"/>
          <w:i w:val="1"/>
          <w:iCs w:val="1"/>
          <w:color w:val="auto"/>
        </w:rPr>
        <w:t>c. Ability to Source and Evaluate Transactions through our Investment Adviser’s Research Capability and Established Network</w:t>
      </w:r>
    </w:p>
    <w:p>
      <w:pPr>
        <w:spacing w:after="0" w:line="11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5"/>
          <w:szCs w:val="15"/>
          <w:color w:val="auto"/>
        </w:rPr>
        <w:t>The management team of the Investment Adviser has long-term relationships with financial sponsors, management consultants and management teams</w:t>
      </w:r>
    </w:p>
    <w:p>
      <w:pPr>
        <w:spacing w:after="0" w:line="50" w:lineRule="exact"/>
        <w:rPr>
          <w:sz w:val="20"/>
          <w:szCs w:val="20"/>
          <w:color w:val="auto"/>
        </w:rPr>
      </w:pPr>
    </w:p>
    <w:p>
      <w:pPr>
        <w:ind w:left="200" w:right="340"/>
        <w:spacing w:after="0" w:line="254" w:lineRule="auto"/>
        <w:rPr>
          <w:sz w:val="20"/>
          <w:szCs w:val="20"/>
          <w:color w:val="auto"/>
        </w:rPr>
      </w:pPr>
      <w:r>
        <w:rPr>
          <w:rFonts w:ascii="Arial" w:cs="Arial" w:eastAsia="Arial" w:hAnsi="Arial"/>
          <w:sz w:val="18"/>
          <w:szCs w:val="18"/>
          <w:color w:val="auto"/>
        </w:rPr>
        <w:t>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60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2609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left="200" w:right="400" w:firstLine="443"/>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left="200" w:right="280" w:firstLine="443"/>
        <w:spacing w:after="0" w:line="332" w:lineRule="auto"/>
        <w:rPr>
          <w:sz w:val="20"/>
          <w:szCs w:val="20"/>
          <w:color w:val="auto"/>
        </w:rPr>
      </w:pPr>
      <w:r>
        <w:rPr>
          <w:rFonts w:ascii="Arial" w:cs="Arial" w:eastAsia="Arial" w:hAnsi="Arial"/>
          <w:sz w:val="16"/>
          <w:szCs w:val="16"/>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We are committed to a value 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left="200" w:right="340" w:firstLine="443"/>
        <w:spacing w:after="0" w:line="298" w:lineRule="auto"/>
        <w:rPr>
          <w:sz w:val="20"/>
          <w:szCs w:val="20"/>
          <w:color w:val="auto"/>
        </w:rPr>
      </w:pPr>
      <w:r>
        <w:rPr>
          <w:rFonts w:ascii="Arial" w:cs="Arial" w:eastAsia="Arial" w:hAnsi="Arial"/>
          <w:sz w:val="16"/>
          <w:szCs w:val="16"/>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relationships, and access to market information to identify investment candidates and to structure investments efficiently and effectively.</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Value orientation and positive cash flow</w:t>
      </w:r>
    </w:p>
    <w:p>
      <w:pPr>
        <w:spacing w:after="0" w:line="9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Our investment philosophy places a premium on fundamental analysis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Experienced management and established financial sponsor relationships</w:t>
      </w:r>
    </w:p>
    <w:p>
      <w:pPr>
        <w:spacing w:after="0" w:line="90" w:lineRule="exact"/>
        <w:rPr>
          <w:sz w:val="20"/>
          <w:szCs w:val="20"/>
          <w:color w:val="auto"/>
        </w:rPr>
      </w:pPr>
    </w:p>
    <w:p>
      <w:pPr>
        <w:ind w:left="200" w:right="220" w:firstLine="443"/>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 Strong and defensible competitive market positions</w:t>
      </w:r>
    </w:p>
    <w:p>
      <w:pPr>
        <w:spacing w:after="0" w:line="90"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Viable exit strategy</w:t>
      </w:r>
    </w:p>
    <w:p>
      <w:pPr>
        <w:spacing w:after="0" w:line="90" w:lineRule="exact"/>
        <w:rPr>
          <w:sz w:val="20"/>
          <w:szCs w:val="20"/>
          <w:color w:val="auto"/>
        </w:rPr>
      </w:pPr>
    </w:p>
    <w:p>
      <w:pPr>
        <w:ind w:left="200" w:right="40" w:firstLine="443"/>
        <w:spacing w:after="0" w:line="318" w:lineRule="auto"/>
        <w:rPr>
          <w:sz w:val="20"/>
          <w:szCs w:val="20"/>
          <w:color w:val="auto"/>
        </w:rPr>
      </w:pPr>
      <w:r>
        <w:rPr>
          <w:rFonts w:ascii="Arial" w:cs="Arial" w:eastAsia="Arial" w:hAnsi="Arial"/>
          <w:sz w:val="15"/>
          <w:szCs w:val="15"/>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 transaction.</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left="200" w:right="80" w:firstLine="443"/>
        <w:spacing w:after="0" w:line="254"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maintain a multi-currency $380.0 million Credit Facility which matures in February 2016 and is secured by substantially all of our investment portfolio assets (excluding the assets of SBIC LP), under which we had $145.0 million (including a $35.5 million temporary draw) and $240.9 million of debt outstanding with a weighted average interest rate of 3.49% and 1.27% at September 30, 2012 and 2011 exclusive of the fee on undrawn commitments of 0.50% and 0.20%, respectively. Pricing of borrowings under our current Credit Facility is set at 275 basis points over LIBOR. As of September 30, 2012 and 2011, we had $235.0 million and $74.1 million, respectively, available to us under our Credit Facility. We believe that our capital resources will provide us with the flexibility to take advantage of market opportunities when they arise. In addition, any future additional debt capital we incur, to the extent it is available under current market conditions, may be issued at a higher cost and on less favorable terms and conditions than our current Credit Facility.</w:t>
      </w:r>
    </w:p>
    <w:p>
      <w:pPr>
        <w:spacing w:after="0" w:line="118" w:lineRule="exact"/>
        <w:rPr>
          <w:sz w:val="20"/>
          <w:szCs w:val="20"/>
          <w:color w:val="auto"/>
        </w:rPr>
      </w:pPr>
    </w:p>
    <w:p>
      <w:pPr>
        <w:ind w:left="200" w:right="80" w:firstLine="443"/>
        <w:spacing w:after="0" w:line="255" w:lineRule="auto"/>
        <w:rPr>
          <w:sz w:val="20"/>
          <w:szCs w:val="20"/>
          <w:color w:val="auto"/>
        </w:rPr>
      </w:pPr>
      <w:r>
        <w:rPr>
          <w:rFonts w:ascii="Arial" w:cs="Arial" w:eastAsia="Arial" w:hAnsi="Arial"/>
          <w:sz w:val="18"/>
          <w:szCs w:val="18"/>
          <w:color w:val="auto"/>
        </w:rPr>
        <w:t>As of September 30, 2012 and 2011, SBIC LP had drawn $150.0 million, with a weighted average interest rate of 3.70%, exclusive of 3.43% of upfront fees (4.04% inclusive of the upfront fees), and had no remaining borrowing capacity.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 in the accompanying prospectus for more information.</w:t>
      </w:r>
    </w:p>
    <w:p>
      <w:pPr>
        <w:spacing w:after="0" w:line="143" w:lineRule="exact"/>
        <w:rPr>
          <w:sz w:val="20"/>
          <w:szCs w:val="20"/>
          <w:color w:val="auto"/>
        </w:rPr>
      </w:pPr>
    </w:p>
    <w:p>
      <w:pPr>
        <w:ind w:left="200" w:right="160" w:firstLine="443"/>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 in this prospectus supplement and in the accompanying prospectus for more information.</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26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226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are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13" w:lineRule="exact"/>
        <w:rPr>
          <w:sz w:val="20"/>
          <w:szCs w:val="20"/>
          <w:color w:val="auto"/>
        </w:rPr>
      </w:pPr>
    </w:p>
    <w:p>
      <w:pPr>
        <w:ind w:left="200" w:right="160" w:firstLine="443"/>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pacing w:after="0" w:line="143" w:lineRule="exact"/>
        <w:rPr>
          <w:sz w:val="20"/>
          <w:szCs w:val="20"/>
          <w:color w:val="auto"/>
        </w:rPr>
      </w:pPr>
    </w:p>
    <w:p>
      <w:pPr>
        <w:jc w:val="both"/>
        <w:ind w:left="200" w:right="140" w:firstLine="443"/>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88"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and intend to qualify annually, to be treated for federal income tax purposes under the Code as a RIC. See “Material U.S. Federal Income Tax Considerations” in the accompanying prospectus for more information.</w:t>
      </w:r>
    </w:p>
    <w:p>
      <w:pPr>
        <w:spacing w:after="0" w:line="143" w:lineRule="exact"/>
        <w:rPr>
          <w:sz w:val="20"/>
          <w:szCs w:val="20"/>
          <w:color w:val="auto"/>
        </w:rPr>
      </w:pPr>
    </w:p>
    <w:p>
      <w:pPr>
        <w:jc w:val="both"/>
        <w:ind w:left="200" w:right="60" w:firstLine="443"/>
        <w:spacing w:after="0" w:line="306" w:lineRule="auto"/>
        <w:rPr>
          <w:sz w:val="20"/>
          <w:szCs w:val="20"/>
          <w:color w:val="auto"/>
        </w:rPr>
      </w:pPr>
      <w:r>
        <w:rPr>
          <w:rFonts w:ascii="Arial" w:cs="Arial" w:eastAsia="Arial" w:hAnsi="Arial"/>
          <w:sz w:val="16"/>
          <w:szCs w:val="16"/>
          <w:color w:val="auto"/>
        </w:rPr>
        <w:t>Our wholly-owned subsidiary, SBIC LP, received a license from the SBA to operate as an SBIC under Section 301(c) of the 1958 Act and is regulated by the SBA. The SBA regulates, among other matters, SBIC LP’s investing activities and periodically examines their operations. We serve as the investment adviser and administrator to SBIC LP. See “Regulation” in the accompanying prospectus for more information.</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or strategic purposes. See “Use of Proceeds” in this prospectus supplement for information regarding our outstanding borrowings as of September 30, 2012, the corresponding interest rate charged on such borrowings as of that date and the length of time that it may take us to invest any proceeds in new or existing portfolio companies.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right="120" w:firstLine="443"/>
        <w:spacing w:after="0" w:line="256" w:lineRule="auto"/>
        <w:rPr>
          <w:sz w:val="20"/>
          <w:szCs w:val="20"/>
          <w:color w:val="auto"/>
        </w:rPr>
      </w:pPr>
      <w:r>
        <w:rPr>
          <w:rFonts w:ascii="Arial" w:cs="Arial" w:eastAsia="Arial" w:hAnsi="Arial"/>
          <w:sz w:val="18"/>
          <w:szCs w:val="18"/>
          <w:color w:val="auto"/>
        </w:rPr>
        <w:t>On October 25, 2012, we sold an additional 700,000 shares of common stock at a public offering price of $10.82 per share generating gross proceeds of approximately $7.6 million and net proceeds of approximately $7.3 million after underwriting discounts and offering expenses payable by us, from the underwriters’ partial exercise of the option to purchase additional shares we granted to them in connection with the offering of 9,000,000 shares of common stock that closed on September 28, 2012.</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6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65646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Ratio of Earnings to Fixed Charges</w:t>
      </w:r>
    </w:p>
    <w:p>
      <w:pPr>
        <w:spacing w:after="0" w:line="96" w:lineRule="exact"/>
        <w:rPr>
          <w:sz w:val="20"/>
          <w:szCs w:val="20"/>
          <w:color w:val="auto"/>
        </w:rPr>
      </w:pPr>
    </w:p>
    <w:p>
      <w:pPr>
        <w:ind w:left="200" w:right="940" w:firstLine="443"/>
        <w:spacing w:after="0" w:line="268" w:lineRule="auto"/>
        <w:rPr>
          <w:sz w:val="20"/>
          <w:szCs w:val="20"/>
          <w:color w:val="auto"/>
        </w:rPr>
      </w:pPr>
      <w:r>
        <w:rPr>
          <w:rFonts w:ascii="Arial" w:cs="Arial" w:eastAsia="Arial" w:hAnsi="Arial"/>
          <w:sz w:val="18"/>
          <w:szCs w:val="18"/>
          <w:color w:val="auto"/>
        </w:rPr>
        <w:t>For the years ended September 30, 2012, 2011, 2010, 2009 and 2008, our ratios of earnings to fixed charges were 5.4, 1.9, 4.5, 7.7 and (6.5), respectively. See “Ratio of Earnings to Fixed Charges” in this prospectus supplement for more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right="220" w:firstLine="443"/>
        <w:spacing w:after="0" w:line="253"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supplement or the accompanying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prospectus, and you should not consider information contained on our website to be part of this prospectus supplement or accompanying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material that we file with the SEC on the EDGAR Database.</w:t>
      </w:r>
    </w:p>
    <w:p>
      <w:pPr>
        <w:spacing w:after="0" w:line="2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Consolidated Portfolio</w:t>
      </w:r>
    </w:p>
    <w:p>
      <w:pPr>
        <w:spacing w:after="0" w:line="90" w:lineRule="exact"/>
        <w:rPr>
          <w:sz w:val="20"/>
          <w:szCs w:val="20"/>
          <w:color w:val="auto"/>
        </w:rPr>
      </w:pPr>
    </w:p>
    <w:p>
      <w:pPr>
        <w:ind w:left="200" w:right="340" w:firstLine="443"/>
        <w:spacing w:after="0" w:line="259" w:lineRule="auto"/>
        <w:rPr>
          <w:sz w:val="20"/>
          <w:szCs w:val="20"/>
          <w:color w:val="auto"/>
        </w:rPr>
      </w:pPr>
      <w:r>
        <w:rPr>
          <w:rFonts w:ascii="Arial" w:cs="Arial" w:eastAsia="Arial" w:hAnsi="Arial"/>
          <w:sz w:val="18"/>
          <w:szCs w:val="18"/>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4580" w:type="dxa"/>
            <w:vAlign w:val="bottom"/>
          </w:tcPr>
          <w:p>
            <w:pPr>
              <w:ind w:left="100"/>
              <w:spacing w:after="0"/>
              <w:rPr>
                <w:sz w:val="20"/>
                <w:szCs w:val="20"/>
                <w:color w:val="auto"/>
              </w:rPr>
            </w:pPr>
            <w:r>
              <w:rPr>
                <w:rFonts w:ascii="Arial" w:cs="Arial" w:eastAsia="Arial" w:hAnsi="Arial"/>
                <w:sz w:val="18"/>
                <w:szCs w:val="18"/>
                <w:color w:val="auto"/>
              </w:rPr>
              <w:t>Aerospace and Defense</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4780" w:type="dxa"/>
            <w:vAlign w:val="bottom"/>
          </w:tcPr>
          <w:p>
            <w:pPr>
              <w:ind w:left="100"/>
              <w:spacing w:after="0"/>
              <w:rPr>
                <w:sz w:val="20"/>
                <w:szCs w:val="20"/>
                <w:color w:val="auto"/>
              </w:rPr>
            </w:pPr>
            <w:r>
              <w:rPr>
                <w:rFonts w:ascii="Arial" w:cs="Arial" w:eastAsia="Arial" w:hAnsi="Arial"/>
                <w:sz w:val="18"/>
                <w:szCs w:val="18"/>
                <w:color w:val="auto"/>
              </w:rPr>
              <w:t>Environmental Services</w:t>
            </w:r>
          </w:p>
        </w:tc>
        <w:tc>
          <w:tcPr>
            <w:tcW w:w="0" w:type="dxa"/>
            <w:vAlign w:val="bottom"/>
          </w:tcPr>
          <w:p>
            <w:pPr>
              <w:spacing w:after="0"/>
              <w:rPr>
                <w:sz w:val="1"/>
                <w:szCs w:val="1"/>
                <w:color w:val="auto"/>
              </w:rPr>
            </w:pPr>
          </w:p>
        </w:tc>
      </w:tr>
      <w:tr>
        <w:trPr>
          <w:trHeight w:val="297"/>
        </w:trPr>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4580" w:type="dxa"/>
            <w:vAlign w:val="bottom"/>
          </w:tcPr>
          <w:p>
            <w:pPr>
              <w:ind w:left="100"/>
              <w:spacing w:after="0"/>
              <w:rPr>
                <w:sz w:val="20"/>
                <w:szCs w:val="20"/>
                <w:color w:val="auto"/>
              </w:rPr>
            </w:pPr>
            <w:r>
              <w:rPr>
                <w:rFonts w:ascii="Arial" w:cs="Arial" w:eastAsia="Arial" w:hAnsi="Arial"/>
                <w:sz w:val="18"/>
                <w:szCs w:val="18"/>
                <w:color w:val="auto"/>
              </w:rPr>
              <w:t>Auto Sector</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4780" w:type="dxa"/>
            <w:vAlign w:val="bottom"/>
          </w:tcPr>
          <w:p>
            <w:pPr>
              <w:ind w:left="100"/>
              <w:spacing w:after="0"/>
              <w:rPr>
                <w:sz w:val="20"/>
                <w:szCs w:val="20"/>
                <w:color w:val="auto"/>
              </w:rPr>
            </w:pPr>
            <w:r>
              <w:rPr>
                <w:rFonts w:ascii="Arial" w:cs="Arial" w:eastAsia="Arial" w:hAnsi="Arial"/>
                <w:sz w:val="18"/>
                <w:szCs w:val="18"/>
                <w:color w:val="auto"/>
              </w:rPr>
              <w:t>Financial Services</w:t>
            </w:r>
          </w:p>
        </w:tc>
        <w:tc>
          <w:tcPr>
            <w:tcW w:w="0" w:type="dxa"/>
            <w:vAlign w:val="bottom"/>
          </w:tcPr>
          <w:p>
            <w:pPr>
              <w:spacing w:after="0"/>
              <w:rPr>
                <w:sz w:val="1"/>
                <w:szCs w:val="1"/>
                <w:color w:val="auto"/>
              </w:rPr>
            </w:pPr>
          </w:p>
        </w:tc>
      </w:tr>
      <w:tr>
        <w:trPr>
          <w:trHeight w:val="297"/>
        </w:trPr>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4580" w:type="dxa"/>
            <w:vAlign w:val="bottom"/>
          </w:tcPr>
          <w:p>
            <w:pPr>
              <w:ind w:left="120"/>
              <w:spacing w:after="0"/>
              <w:rPr>
                <w:sz w:val="20"/>
                <w:szCs w:val="20"/>
                <w:color w:val="auto"/>
              </w:rPr>
            </w:pPr>
            <w:r>
              <w:rPr>
                <w:rFonts w:ascii="Arial" w:cs="Arial" w:eastAsia="Arial" w:hAnsi="Arial"/>
                <w:sz w:val="18"/>
                <w:szCs w:val="18"/>
                <w:color w:val="auto"/>
              </w:rPr>
              <w:t>Beverage, Food and Tobacco</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4780" w:type="dxa"/>
            <w:vAlign w:val="bottom"/>
          </w:tcPr>
          <w:p>
            <w:pPr>
              <w:ind w:left="100"/>
              <w:spacing w:after="0"/>
              <w:rPr>
                <w:sz w:val="20"/>
                <w:szCs w:val="20"/>
                <w:color w:val="auto"/>
              </w:rPr>
            </w:pPr>
            <w:r>
              <w:rPr>
                <w:rFonts w:ascii="Arial" w:cs="Arial" w:eastAsia="Arial" w:hAnsi="Arial"/>
                <w:sz w:val="18"/>
                <w:szCs w:val="18"/>
                <w:color w:val="auto"/>
              </w:rPr>
              <w:t>Grocery</w:t>
            </w:r>
          </w:p>
        </w:tc>
        <w:tc>
          <w:tcPr>
            <w:tcW w:w="0" w:type="dxa"/>
            <w:vAlign w:val="bottom"/>
          </w:tcPr>
          <w:p>
            <w:pPr>
              <w:spacing w:after="0"/>
              <w:rPr>
                <w:sz w:val="1"/>
                <w:szCs w:val="1"/>
                <w:color w:val="auto"/>
              </w:rPr>
            </w:pPr>
          </w:p>
        </w:tc>
      </w:tr>
      <w:tr>
        <w:trPr>
          <w:trHeight w:val="297"/>
        </w:trPr>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4580" w:type="dxa"/>
            <w:vAlign w:val="bottom"/>
          </w:tcPr>
          <w:p>
            <w:pPr>
              <w:ind w:left="120"/>
              <w:spacing w:after="0"/>
              <w:rPr>
                <w:sz w:val="20"/>
                <w:szCs w:val="20"/>
                <w:color w:val="auto"/>
              </w:rPr>
            </w:pPr>
            <w:r>
              <w:rPr>
                <w:rFonts w:ascii="Arial" w:cs="Arial" w:eastAsia="Arial" w:hAnsi="Arial"/>
                <w:sz w:val="18"/>
                <w:szCs w:val="18"/>
                <w:color w:val="auto"/>
              </w:rPr>
              <w:t>Broadcasting and Entertainment</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4780" w:type="dxa"/>
            <w:vAlign w:val="bottom"/>
          </w:tcPr>
          <w:p>
            <w:pPr>
              <w:ind w:left="100"/>
              <w:spacing w:after="0"/>
              <w:rPr>
                <w:sz w:val="20"/>
                <w:szCs w:val="20"/>
                <w:color w:val="auto"/>
              </w:rPr>
            </w:pPr>
            <w:r>
              <w:rPr>
                <w:rFonts w:ascii="Arial" w:cs="Arial" w:eastAsia="Arial" w:hAnsi="Arial"/>
                <w:sz w:val="18"/>
                <w:szCs w:val="18"/>
                <w:color w:val="auto"/>
              </w:rPr>
              <w:t>Healthcare, Education and Childcare</w:t>
            </w:r>
          </w:p>
        </w:tc>
        <w:tc>
          <w:tcPr>
            <w:tcW w:w="0" w:type="dxa"/>
            <w:vAlign w:val="bottom"/>
          </w:tcPr>
          <w:p>
            <w:pPr>
              <w:spacing w:after="0"/>
              <w:rPr>
                <w:sz w:val="1"/>
                <w:szCs w:val="1"/>
                <w:color w:val="auto"/>
              </w:rPr>
            </w:pPr>
          </w:p>
        </w:tc>
      </w:tr>
      <w:tr>
        <w:trPr>
          <w:trHeight w:val="291"/>
        </w:trPr>
        <w:tc>
          <w:tcPr>
            <w:tcW w:w="800" w:type="dxa"/>
            <w:vAlign w:val="bottom"/>
          </w:tcPr>
          <w:p>
            <w:pPr>
              <w:ind w:left="640"/>
              <w:spacing w:after="0"/>
              <w:rPr>
                <w:sz w:val="20"/>
                <w:szCs w:val="20"/>
                <w:color w:val="auto"/>
              </w:rPr>
            </w:pPr>
            <w:r>
              <w:rPr>
                <w:rFonts w:ascii="Arial" w:cs="Arial" w:eastAsia="Arial" w:hAnsi="Arial"/>
                <w:sz w:val="18"/>
                <w:szCs w:val="18"/>
                <w:color w:val="auto"/>
              </w:rPr>
              <w:t>•</w:t>
            </w:r>
          </w:p>
        </w:tc>
        <w:tc>
          <w:tcPr>
            <w:tcW w:w="4580" w:type="dxa"/>
            <w:vAlign w:val="bottom"/>
          </w:tcPr>
          <w:p>
            <w:pPr>
              <w:ind w:left="120"/>
              <w:spacing w:after="0"/>
              <w:rPr>
                <w:sz w:val="20"/>
                <w:szCs w:val="20"/>
                <w:color w:val="auto"/>
              </w:rPr>
            </w:pPr>
            <w:r>
              <w:rPr>
                <w:rFonts w:ascii="Arial" w:cs="Arial" w:eastAsia="Arial" w:hAnsi="Arial"/>
                <w:sz w:val="18"/>
                <w:szCs w:val="18"/>
                <w:color w:val="auto"/>
              </w:rPr>
              <w:t>Buildings and Real Estate</w:t>
            </w:r>
          </w:p>
        </w:tc>
        <w:tc>
          <w:tcPr>
            <w:tcW w:w="1300" w:type="dxa"/>
            <w:vAlign w:val="bottom"/>
          </w:tcPr>
          <w:p>
            <w:pPr>
              <w:ind w:left="1120"/>
              <w:spacing w:after="0"/>
              <w:rPr>
                <w:sz w:val="20"/>
                <w:szCs w:val="20"/>
                <w:color w:val="auto"/>
              </w:rPr>
            </w:pPr>
            <w:r>
              <w:rPr>
                <w:rFonts w:ascii="Arial" w:cs="Arial" w:eastAsia="Arial" w:hAnsi="Arial"/>
                <w:sz w:val="18"/>
                <w:szCs w:val="18"/>
                <w:color w:val="auto"/>
              </w:rPr>
              <w:t>•</w:t>
            </w:r>
          </w:p>
        </w:tc>
        <w:tc>
          <w:tcPr>
            <w:tcW w:w="4780" w:type="dxa"/>
            <w:vAlign w:val="bottom"/>
          </w:tcPr>
          <w:p>
            <w:pPr>
              <w:ind w:left="100"/>
              <w:spacing w:after="0"/>
              <w:rPr>
                <w:sz w:val="20"/>
                <w:szCs w:val="20"/>
                <w:color w:val="auto"/>
              </w:rPr>
            </w:pPr>
            <w:r>
              <w:rPr>
                <w:rFonts w:ascii="Arial" w:cs="Arial" w:eastAsia="Arial" w:hAnsi="Arial"/>
                <w:sz w:val="18"/>
                <w:szCs w:val="18"/>
                <w:color w:val="auto"/>
                <w:w w:val="93"/>
              </w:rPr>
              <w:t>Home &amp; Office Furnishings, Housewares &amp; Durable Consumer</w:t>
            </w:r>
          </w:p>
        </w:tc>
        <w:tc>
          <w:tcPr>
            <w:tcW w:w="0" w:type="dxa"/>
            <w:vAlign w:val="bottom"/>
          </w:tcPr>
          <w:p>
            <w:pPr>
              <w:spacing w:after="0"/>
              <w:rPr>
                <w:sz w:val="1"/>
                <w:szCs w:val="1"/>
                <w:color w:val="auto"/>
              </w:rPr>
            </w:pPr>
          </w:p>
        </w:tc>
      </w:tr>
      <w:tr>
        <w:trPr>
          <w:trHeight w:val="222"/>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Business Services</w:t>
            </w:r>
          </w:p>
        </w:tc>
        <w:tc>
          <w:tcPr>
            <w:tcW w:w="1300" w:type="dxa"/>
            <w:vAlign w:val="bottom"/>
          </w:tcPr>
          <w:p>
            <w:pPr>
              <w:spacing w:after="0"/>
              <w:rPr>
                <w:sz w:val="19"/>
                <w:szCs w:val="19"/>
                <w:color w:val="auto"/>
              </w:rPr>
            </w:pPr>
          </w:p>
        </w:tc>
        <w:tc>
          <w:tcPr>
            <w:tcW w:w="4780" w:type="dxa"/>
            <w:vAlign w:val="bottom"/>
          </w:tcPr>
          <w:p>
            <w:pPr>
              <w:ind w:left="260"/>
              <w:spacing w:after="0"/>
              <w:rPr>
                <w:sz w:val="20"/>
                <w:szCs w:val="20"/>
                <w:color w:val="auto"/>
              </w:rPr>
            </w:pPr>
            <w:r>
              <w:rPr>
                <w:rFonts w:ascii="Arial" w:cs="Arial" w:eastAsia="Arial" w:hAnsi="Arial"/>
                <w:sz w:val="18"/>
                <w:szCs w:val="18"/>
                <w:color w:val="auto"/>
              </w:rPr>
              <w:t>Products</w:t>
            </w: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6080" w:type="dxa"/>
            <w:vAlign w:val="bottom"/>
            <w:gridSpan w:val="2"/>
            <w:vMerge w:val="restart"/>
          </w:tcPr>
          <w:p>
            <w:pPr>
              <w:ind w:left="1120"/>
              <w:spacing w:after="0"/>
              <w:rPr>
                <w:sz w:val="20"/>
                <w:szCs w:val="20"/>
                <w:color w:val="auto"/>
              </w:rPr>
            </w:pPr>
            <w:r>
              <w:rPr>
                <w:rFonts w:ascii="Arial" w:cs="Arial" w:eastAsia="Arial" w:hAnsi="Arial"/>
                <w:sz w:val="18"/>
                <w:szCs w:val="18"/>
                <w:color w:val="auto"/>
              </w:rPr>
              <w:t>•   Hotels, Motels, Inns and Gaming</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Cable Television</w:t>
            </w:r>
          </w:p>
        </w:tc>
        <w:tc>
          <w:tcPr>
            <w:tcW w:w="6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Insurance</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Cargo Transportation</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6080" w:type="dxa"/>
            <w:vAlign w:val="bottom"/>
            <w:gridSpan w:val="2"/>
            <w:vMerge w:val="restart"/>
          </w:tcPr>
          <w:p>
            <w:pPr>
              <w:ind w:left="1120"/>
              <w:spacing w:after="0"/>
              <w:rPr>
                <w:sz w:val="20"/>
                <w:szCs w:val="20"/>
                <w:color w:val="auto"/>
              </w:rPr>
            </w:pPr>
            <w:r>
              <w:rPr>
                <w:rFonts w:ascii="Arial" w:cs="Arial" w:eastAsia="Arial" w:hAnsi="Arial"/>
                <w:sz w:val="18"/>
                <w:szCs w:val="18"/>
                <w:color w:val="auto"/>
              </w:rPr>
              <w:t>•   Leisure, Amusement, Motion Picture, Entertainment</w:t>
            </w:r>
          </w:p>
        </w:tc>
        <w:tc>
          <w:tcPr>
            <w:tcW w:w="0" w:type="dxa"/>
            <w:vAlign w:val="bottom"/>
          </w:tcPr>
          <w:p>
            <w:pPr>
              <w:spacing w:after="0"/>
              <w:rPr>
                <w:sz w:val="1"/>
                <w:szCs w:val="1"/>
                <w:color w:val="auto"/>
              </w:rPr>
            </w:pPr>
          </w:p>
        </w:tc>
      </w:tr>
      <w:tr>
        <w:trPr>
          <w:trHeight w:val="216"/>
        </w:trPr>
        <w:tc>
          <w:tcPr>
            <w:tcW w:w="5380" w:type="dxa"/>
            <w:vAlign w:val="bottom"/>
            <w:gridSpan w:val="2"/>
            <w:vMerge w:val="restart"/>
          </w:tcPr>
          <w:p>
            <w:pPr>
              <w:ind w:left="640"/>
              <w:spacing w:after="0"/>
              <w:rPr>
                <w:sz w:val="20"/>
                <w:szCs w:val="20"/>
                <w:color w:val="auto"/>
              </w:rPr>
            </w:pPr>
            <w:r>
              <w:rPr>
                <w:rFonts w:ascii="Arial" w:cs="Arial" w:eastAsia="Arial" w:hAnsi="Arial"/>
                <w:sz w:val="18"/>
                <w:szCs w:val="18"/>
                <w:color w:val="auto"/>
              </w:rPr>
              <w:t>•   Chemicals, Plastics and Rubber</w:t>
            </w:r>
          </w:p>
        </w:tc>
        <w:tc>
          <w:tcPr>
            <w:tcW w:w="6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5380" w:type="dxa"/>
            <w:vAlign w:val="bottom"/>
            <w:gridSpan w:val="2"/>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Logistics</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Communications</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Manufacturing/Basic Industries</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Consumer Products</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Media</w:t>
            </w:r>
          </w:p>
        </w:tc>
        <w:tc>
          <w:tcPr>
            <w:tcW w:w="0" w:type="dxa"/>
            <w:vAlign w:val="bottom"/>
          </w:tcPr>
          <w:p>
            <w:pPr>
              <w:spacing w:after="0"/>
              <w:rPr>
                <w:sz w:val="1"/>
                <w:szCs w:val="1"/>
                <w:color w:val="auto"/>
              </w:rPr>
            </w:pPr>
          </w:p>
        </w:tc>
      </w:tr>
      <w:tr>
        <w:trPr>
          <w:trHeight w:val="216"/>
        </w:trPr>
        <w:tc>
          <w:tcPr>
            <w:tcW w:w="5380" w:type="dxa"/>
            <w:vAlign w:val="bottom"/>
            <w:gridSpan w:val="2"/>
            <w:vMerge w:val="restart"/>
          </w:tcPr>
          <w:p>
            <w:pPr>
              <w:ind w:left="640"/>
              <w:spacing w:after="0"/>
              <w:rPr>
                <w:sz w:val="20"/>
                <w:szCs w:val="20"/>
                <w:color w:val="auto"/>
              </w:rPr>
            </w:pPr>
            <w:r>
              <w:rPr>
                <w:rFonts w:ascii="Arial" w:cs="Arial" w:eastAsia="Arial" w:hAnsi="Arial"/>
                <w:sz w:val="18"/>
                <w:szCs w:val="18"/>
                <w:color w:val="auto"/>
              </w:rPr>
              <w:t>•   Containers Packaging &amp; Glass</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5380" w:type="dxa"/>
            <w:vAlign w:val="bottom"/>
            <w:gridSpan w:val="2"/>
            <w:vMerge w:val="continue"/>
          </w:tcPr>
          <w:p>
            <w:pPr>
              <w:spacing w:after="0"/>
              <w:rPr>
                <w:sz w:val="7"/>
                <w:szCs w:val="7"/>
                <w:color w:val="auto"/>
              </w:rPr>
            </w:pPr>
          </w:p>
        </w:tc>
        <w:tc>
          <w:tcPr>
            <w:tcW w:w="6080" w:type="dxa"/>
            <w:vAlign w:val="bottom"/>
            <w:gridSpan w:val="2"/>
            <w:vMerge w:val="restart"/>
          </w:tcPr>
          <w:p>
            <w:pPr>
              <w:ind w:left="1120"/>
              <w:spacing w:after="0"/>
              <w:rPr>
                <w:sz w:val="20"/>
                <w:szCs w:val="20"/>
                <w:color w:val="auto"/>
              </w:rPr>
            </w:pPr>
            <w:r>
              <w:rPr>
                <w:rFonts w:ascii="Arial" w:cs="Arial" w:eastAsia="Arial" w:hAnsi="Arial"/>
                <w:sz w:val="18"/>
                <w:szCs w:val="18"/>
                <w:color w:val="auto"/>
              </w:rPr>
              <w:t>•   Mining, Steel, Iron and Non-Precious Metals</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Distribution</w:t>
            </w:r>
          </w:p>
        </w:tc>
        <w:tc>
          <w:tcPr>
            <w:tcW w:w="6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Oil and Gas</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Diversified/Conglomerate Manufacturing</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Other Media</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Diversified/Conglomerate Services</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6080" w:type="dxa"/>
            <w:vAlign w:val="bottom"/>
            <w:gridSpan w:val="2"/>
            <w:vMerge w:val="restart"/>
          </w:tcPr>
          <w:p>
            <w:pPr>
              <w:ind w:left="1120"/>
              <w:spacing w:after="0"/>
              <w:rPr>
                <w:sz w:val="20"/>
                <w:szCs w:val="20"/>
                <w:color w:val="auto"/>
              </w:rPr>
            </w:pPr>
            <w:r>
              <w:rPr>
                <w:rFonts w:ascii="Arial" w:cs="Arial" w:eastAsia="Arial" w:hAnsi="Arial"/>
                <w:sz w:val="18"/>
                <w:szCs w:val="18"/>
                <w:color w:val="auto"/>
              </w:rPr>
              <w:t>•   Personal, Food and Miscellaneous Services</w:t>
            </w:r>
          </w:p>
        </w:tc>
        <w:tc>
          <w:tcPr>
            <w:tcW w:w="0" w:type="dxa"/>
            <w:vAlign w:val="bottom"/>
          </w:tcPr>
          <w:p>
            <w:pPr>
              <w:spacing w:after="0"/>
              <w:rPr>
                <w:sz w:val="1"/>
                <w:szCs w:val="1"/>
                <w:color w:val="auto"/>
              </w:rPr>
            </w:pPr>
          </w:p>
        </w:tc>
      </w:tr>
      <w:tr>
        <w:trPr>
          <w:trHeight w:val="216"/>
        </w:trPr>
        <w:tc>
          <w:tcPr>
            <w:tcW w:w="5380" w:type="dxa"/>
            <w:vAlign w:val="bottom"/>
            <w:gridSpan w:val="2"/>
            <w:vMerge w:val="restart"/>
          </w:tcPr>
          <w:p>
            <w:pPr>
              <w:ind w:left="640"/>
              <w:spacing w:after="0"/>
              <w:rPr>
                <w:sz w:val="20"/>
                <w:szCs w:val="20"/>
                <w:color w:val="auto"/>
              </w:rPr>
            </w:pPr>
            <w:r>
              <w:rPr>
                <w:rFonts w:ascii="Arial" w:cs="Arial" w:eastAsia="Arial" w:hAnsi="Arial"/>
                <w:sz w:val="18"/>
                <w:szCs w:val="18"/>
                <w:color w:val="auto"/>
                <w:w w:val="93"/>
              </w:rPr>
              <w:t>•   Diversified Natural Resources, Precious Metals and Minerals</w:t>
            </w:r>
          </w:p>
        </w:tc>
        <w:tc>
          <w:tcPr>
            <w:tcW w:w="6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5380" w:type="dxa"/>
            <w:vAlign w:val="bottom"/>
            <w:gridSpan w:val="2"/>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Printing and Publishing</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Education</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Retail Stores</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Electronics</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vMerge w:val="restart"/>
          </w:tcPr>
          <w:p>
            <w:pPr>
              <w:ind w:left="1120"/>
              <w:spacing w:after="0"/>
              <w:rPr>
                <w:sz w:val="20"/>
                <w:szCs w:val="20"/>
                <w:color w:val="auto"/>
              </w:rPr>
            </w:pPr>
            <w:r>
              <w:rPr>
                <w:rFonts w:ascii="Arial" w:cs="Arial" w:eastAsia="Arial" w:hAnsi="Arial"/>
                <w:sz w:val="18"/>
                <w:szCs w:val="18"/>
                <w:color w:val="auto"/>
              </w:rPr>
              <w:t>•</w:t>
            </w:r>
          </w:p>
        </w:tc>
        <w:tc>
          <w:tcPr>
            <w:tcW w:w="4780" w:type="dxa"/>
            <w:vAlign w:val="bottom"/>
            <w:vMerge w:val="restart"/>
          </w:tcPr>
          <w:p>
            <w:pPr>
              <w:ind w:left="10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16"/>
        </w:trPr>
        <w:tc>
          <w:tcPr>
            <w:tcW w:w="800" w:type="dxa"/>
            <w:vAlign w:val="bottom"/>
            <w:vMerge w:val="restart"/>
          </w:tcPr>
          <w:p>
            <w:pPr>
              <w:ind w:left="640"/>
              <w:spacing w:after="0"/>
              <w:rPr>
                <w:sz w:val="20"/>
                <w:szCs w:val="20"/>
                <w:color w:val="auto"/>
              </w:rPr>
            </w:pPr>
            <w:r>
              <w:rPr>
                <w:rFonts w:ascii="Arial" w:cs="Arial" w:eastAsia="Arial" w:hAnsi="Arial"/>
                <w:sz w:val="18"/>
                <w:szCs w:val="18"/>
                <w:color w:val="auto"/>
              </w:rPr>
              <w:t>•</w:t>
            </w: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Energy/Utilities</w:t>
            </w:r>
          </w:p>
        </w:tc>
        <w:tc>
          <w:tcPr>
            <w:tcW w:w="1300" w:type="dxa"/>
            <w:vAlign w:val="bottom"/>
            <w:vMerge w:val="continue"/>
          </w:tcPr>
          <w:p>
            <w:pPr>
              <w:spacing w:after="0"/>
              <w:rPr>
                <w:sz w:val="18"/>
                <w:szCs w:val="18"/>
                <w:color w:val="auto"/>
              </w:rPr>
            </w:pPr>
          </w:p>
        </w:tc>
        <w:tc>
          <w:tcPr>
            <w:tcW w:w="4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tcPr>
          <w:p>
            <w:pPr>
              <w:spacing w:after="0"/>
              <w:rPr>
                <w:sz w:val="7"/>
                <w:szCs w:val="7"/>
                <w:color w:val="auto"/>
              </w:rPr>
            </w:pPr>
          </w:p>
        </w:tc>
        <w:tc>
          <w:tcPr>
            <w:tcW w:w="458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4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80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9"/>
        </w:trPr>
        <w:tc>
          <w:tcPr>
            <w:tcW w:w="8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S-12</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0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64014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Listed below are our top ten portfolio companies and industries represented as a percentage of our consolidated portfolio assets (excluding cash equivalents)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September 30, 2012 and 2011:</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Portfolio Company</w:t>
            </w:r>
          </w:p>
        </w:tc>
        <w:tc>
          <w:tcPr>
            <w:tcW w:w="4060" w:type="dxa"/>
            <w:vAlign w:val="bottom"/>
          </w:tcPr>
          <w:p>
            <w:pPr>
              <w:spacing w:after="0"/>
              <w:rPr>
                <w:sz w:val="15"/>
                <w:szCs w:val="15"/>
                <w:color w:val="auto"/>
              </w:rPr>
            </w:pPr>
          </w:p>
        </w:tc>
        <w:tc>
          <w:tcPr>
            <w:tcW w:w="3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5"/>
                <w:szCs w:val="15"/>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Portfolio Company</w:t>
            </w:r>
          </w:p>
        </w:tc>
        <w:tc>
          <w:tcPr>
            <w:tcW w:w="368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r>
      <w:tr>
        <w:trPr>
          <w:trHeight w:val="181"/>
        </w:trPr>
        <w:tc>
          <w:tcPr>
            <w:tcW w:w="5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40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860" w:type="dxa"/>
            <w:vAlign w:val="bottom"/>
            <w:tcBorders>
              <w:top w:val="single" w:sz="8" w:color="CCEEFF"/>
            </w:tcBorders>
            <w:gridSpan w:val="4"/>
            <w:shd w:val="clear" w:color="auto" w:fill="CCEEFF"/>
          </w:tcPr>
          <w:p>
            <w:pPr>
              <w:spacing w:after="0" w:line="182" w:lineRule="exact"/>
              <w:rPr>
                <w:sz w:val="20"/>
                <w:szCs w:val="20"/>
                <w:color w:val="auto"/>
              </w:rPr>
            </w:pPr>
            <w:r>
              <w:rPr>
                <w:rFonts w:ascii="Arial" w:cs="Arial" w:eastAsia="Arial" w:hAnsi="Arial"/>
                <w:sz w:val="18"/>
                <w:szCs w:val="18"/>
                <w:color w:val="auto"/>
              </w:rPr>
              <w:t>Magnum Hunter Resources Corporation</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24"/>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Last Mile Funding, Corp. (3 PD, Inc.)</w:t>
            </w:r>
          </w:p>
        </w:tc>
        <w:tc>
          <w:tcPr>
            <w:tcW w:w="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(Eureka Hunter Pipeline, LLC)</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08"/>
        </w:trPr>
        <w:tc>
          <w:tcPr>
            <w:tcW w:w="5240" w:type="dxa"/>
            <w:vAlign w:val="bottom"/>
            <w:gridSpan w:val="3"/>
          </w:tcPr>
          <w:p>
            <w:pPr>
              <w:spacing w:after="0"/>
              <w:rPr>
                <w:sz w:val="20"/>
                <w:szCs w:val="20"/>
                <w:color w:val="auto"/>
              </w:rPr>
            </w:pPr>
            <w:r>
              <w:rPr>
                <w:rFonts w:ascii="Arial" w:cs="Arial" w:eastAsia="Arial" w:hAnsi="Arial"/>
                <w:sz w:val="18"/>
                <w:szCs w:val="18"/>
                <w:color w:val="auto"/>
              </w:rPr>
              <w:t>Magnum Hunter Resources Corporation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40" w:type="dxa"/>
            <w:vAlign w:val="bottom"/>
            <w:gridSpan w:val="3"/>
          </w:tcPr>
          <w:p>
            <w:pPr>
              <w:ind w:left="180"/>
              <w:spacing w:after="0"/>
              <w:rPr>
                <w:sz w:val="20"/>
                <w:szCs w:val="20"/>
                <w:color w:val="auto"/>
              </w:rPr>
            </w:pPr>
            <w:r>
              <w:rPr>
                <w:rFonts w:ascii="Arial" w:cs="Arial" w:eastAsia="Arial" w:hAnsi="Arial"/>
                <w:sz w:val="18"/>
                <w:szCs w:val="18"/>
                <w:color w:val="auto"/>
              </w:rPr>
              <w:t>(Eureka Hunter Pipeline, LLC)</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2"/>
              </w:rPr>
              <w:t>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Last Mile Funding Corp. (3PD, Inc.)</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r>
      <w:tr>
        <w:trPr>
          <w:trHeight w:val="217"/>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LTI Flexible Products, Inc.</w:t>
            </w:r>
          </w:p>
        </w:tc>
        <w:tc>
          <w:tcPr>
            <w:tcW w:w="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08"/>
        </w:trPr>
        <w:tc>
          <w:tcPr>
            <w:tcW w:w="5240" w:type="dxa"/>
            <w:vAlign w:val="bottom"/>
            <w:gridSpan w:val="3"/>
          </w:tcPr>
          <w:p>
            <w:pPr>
              <w:spacing w:after="0"/>
              <w:rPr>
                <w:sz w:val="20"/>
                <w:szCs w:val="20"/>
                <w:color w:val="auto"/>
              </w:rPr>
            </w:pPr>
            <w:r>
              <w:rPr>
                <w:rFonts w:ascii="Arial" w:cs="Arial" w:eastAsia="Arial" w:hAnsi="Arial"/>
                <w:sz w:val="18"/>
                <w:szCs w:val="18"/>
                <w:color w:val="auto"/>
              </w:rPr>
              <w:t>New Service Champ Holdings, Inc. (Service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Kadmon Pharmaceuticals LLC</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240" w:type="dxa"/>
            <w:vAlign w:val="bottom"/>
            <w:gridSpan w:val="3"/>
          </w:tcPr>
          <w:p>
            <w:pPr>
              <w:ind w:left="180"/>
              <w:spacing w:after="0"/>
              <w:rPr>
                <w:sz w:val="20"/>
                <w:szCs w:val="20"/>
                <w:color w:val="auto"/>
              </w:rPr>
            </w:pPr>
            <w:r>
              <w:rPr>
                <w:rFonts w:ascii="Arial" w:cs="Arial" w:eastAsia="Arial" w:hAnsi="Arial"/>
                <w:sz w:val="18"/>
                <w:szCs w:val="18"/>
                <w:color w:val="auto"/>
              </w:rPr>
              <w:t>Champ Inc.)</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20" w:type="dxa"/>
            <w:vAlign w:val="bottom"/>
            <w:gridSpan w:val="3"/>
          </w:tcPr>
          <w:p>
            <w:pPr>
              <w:ind w:left="140"/>
              <w:spacing w:after="0"/>
              <w:rPr>
                <w:sz w:val="20"/>
                <w:szCs w:val="20"/>
                <w:color w:val="auto"/>
              </w:rPr>
            </w:pPr>
            <w:r>
              <w:rPr>
                <w:rFonts w:ascii="Arial" w:cs="Arial" w:eastAsia="Arial" w:hAnsi="Arial"/>
                <w:sz w:val="18"/>
                <w:szCs w:val="18"/>
                <w:color w:val="auto"/>
              </w:rPr>
              <w:t>(f/k/a Three River Pharmaceuticals LLC)</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217"/>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American Gilsonite Company</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LTI Flexible Products, Inc.</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Veritext Corporation</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Learning Care Group, Inc.</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Instant Web, Inc.</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2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22"/>
        </w:trPr>
        <w:tc>
          <w:tcPr>
            <w:tcW w:w="5240" w:type="dxa"/>
            <w:vAlign w:val="bottom"/>
            <w:gridSpan w:val="3"/>
          </w:tcPr>
          <w:p>
            <w:pPr>
              <w:spacing w:after="0"/>
              <w:rPr>
                <w:sz w:val="20"/>
                <w:szCs w:val="20"/>
                <w:color w:val="auto"/>
              </w:rPr>
            </w:pPr>
            <w:r>
              <w:rPr>
                <w:rFonts w:ascii="Arial" w:cs="Arial" w:eastAsia="Arial" w:hAnsi="Arial"/>
                <w:sz w:val="18"/>
                <w:szCs w:val="18"/>
                <w:color w:val="auto"/>
              </w:rPr>
              <w:t>Prince Mineral Holdings Corp.</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60" w:type="dxa"/>
            <w:vAlign w:val="bottom"/>
            <w:gridSpan w:val="4"/>
          </w:tcPr>
          <w:p>
            <w:pPr>
              <w:spacing w:after="0"/>
              <w:rPr>
                <w:sz w:val="20"/>
                <w:szCs w:val="20"/>
                <w:color w:val="auto"/>
              </w:rPr>
            </w:pPr>
            <w:r>
              <w:rPr>
                <w:rFonts w:ascii="Arial" w:cs="Arial" w:eastAsia="Arial" w:hAnsi="Arial"/>
                <w:sz w:val="18"/>
                <w:szCs w:val="18"/>
                <w:color w:val="auto"/>
              </w:rPr>
              <w:t>Prince Mineral Holdings Corp.</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r>
      <w:tr>
        <w:trPr>
          <w:trHeight w:val="36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4720" w:type="dxa"/>
            <w:vAlign w:val="bottom"/>
            <w:gridSpan w:val="2"/>
          </w:tcPr>
          <w:p>
            <w:pPr>
              <w:spacing w:after="0"/>
              <w:rPr>
                <w:sz w:val="24"/>
                <w:szCs w:val="24"/>
                <w:color w:val="auto"/>
              </w:rPr>
            </w:pPr>
          </w:p>
        </w:tc>
        <w:tc>
          <w:tcPr>
            <w:tcW w:w="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2012</w:t>
            </w:r>
          </w:p>
        </w:tc>
        <w:tc>
          <w:tcPr>
            <w:tcW w:w="40" w:type="dxa"/>
            <w:vAlign w:val="bottom"/>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4300" w:type="dxa"/>
            <w:vAlign w:val="bottom"/>
            <w:gridSpan w:val="2"/>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r>
      <w:tr>
        <w:trPr>
          <w:trHeight w:val="203"/>
        </w:trPr>
        <w:tc>
          <w:tcPr>
            <w:tcW w:w="52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Healthcare, Education &amp; Childcare</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8%</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Business Services</w:t>
            </w:r>
          </w:p>
        </w:tc>
        <w:tc>
          <w:tcPr>
            <w:tcW w:w="3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Electronics</w:t>
            </w: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2"/>
              </w:rPr>
              <w:t>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Healthcare, Education &amp; Childcare</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10%</w:t>
            </w: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Auto Sector</w:t>
            </w: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2"/>
              </w:rPr>
              <w:t>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Cargo Transport</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Cargo Transport</w:t>
            </w: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2"/>
              </w:rPr>
              <w:t>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Oil and Gas</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24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2"/>
              </w:rPr>
              <w:t>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Personal, Food and Miscellaneous Services</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Distribution</w:t>
            </w:r>
          </w:p>
        </w:tc>
        <w:tc>
          <w:tcPr>
            <w:tcW w:w="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22"/>
        </w:trPr>
        <w:tc>
          <w:tcPr>
            <w:tcW w:w="5240" w:type="dxa"/>
            <w:vAlign w:val="bottom"/>
            <w:gridSpan w:val="3"/>
          </w:tcPr>
          <w:p>
            <w:pPr>
              <w:spacing w:after="0"/>
              <w:rPr>
                <w:sz w:val="20"/>
                <w:szCs w:val="20"/>
                <w:color w:val="auto"/>
              </w:rPr>
            </w:pPr>
            <w:r>
              <w:rPr>
                <w:rFonts w:ascii="Arial" w:cs="Arial" w:eastAsia="Arial" w:hAnsi="Arial"/>
                <w:sz w:val="18"/>
                <w:szCs w:val="18"/>
                <w:color w:val="auto"/>
              </w:rPr>
              <w:t>Personal, Food and Miscellaneous Services</w:t>
            </w:r>
          </w:p>
        </w:tc>
        <w:tc>
          <w:tcPr>
            <w:tcW w:w="300" w:type="dxa"/>
            <w:vAlign w:val="bottom"/>
            <w:gridSpan w:val="3"/>
          </w:tcPr>
          <w:p>
            <w:pPr>
              <w:jc w:val="center"/>
              <w:spacing w:after="0"/>
              <w:rPr>
                <w:sz w:val="20"/>
                <w:szCs w:val="20"/>
                <w:color w:val="auto"/>
              </w:rPr>
            </w:pPr>
            <w:r>
              <w:rPr>
                <w:rFonts w:ascii="Arial" w:cs="Arial" w:eastAsia="Arial" w:hAnsi="Arial"/>
                <w:sz w:val="18"/>
                <w:szCs w:val="18"/>
                <w:color w:val="auto"/>
                <w:w w:val="92"/>
              </w:rPr>
              <w:t>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bl>
    <w:p>
      <w:pPr>
        <w:spacing w:after="0" w:line="147"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and PennantPark Credit Opportunities Fund, L.P., a private investment fund. Accordingly, they may have obligations to investors in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 in the accompanying prospectus.</w:t>
      </w:r>
    </w:p>
    <w:p>
      <w:pPr>
        <w:spacing w:after="0" w:line="121" w:lineRule="exact"/>
        <w:rPr>
          <w:sz w:val="20"/>
          <w:szCs w:val="20"/>
          <w:color w:val="auto"/>
        </w:rPr>
      </w:pPr>
    </w:p>
    <w:p>
      <w:pPr>
        <w:ind w:left="200" w:right="760" w:firstLine="443"/>
        <w:spacing w:after="0" w:line="268"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539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15392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320"/>
        <w:spacing w:after="0" w:line="306" w:lineRule="auto"/>
        <w:rPr>
          <w:sz w:val="20"/>
          <w:szCs w:val="20"/>
          <w:color w:val="auto"/>
        </w:rPr>
      </w:pPr>
      <w:r>
        <w:rPr>
          <w:rFonts w:ascii="Arial" w:cs="Arial" w:eastAsia="Arial" w:hAnsi="Arial"/>
          <w:sz w:val="16"/>
          <w:szCs w:val="16"/>
          <w:color w:val="auto"/>
        </w:rPr>
        <w:t>investment company provided in Section 3(c) of the 1940 Act. We may also co-invest in the future on a concurrent basis with our affiliates,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00" w:firstLine="443"/>
        <w:spacing w:after="0" w:line="256" w:lineRule="auto"/>
        <w:rPr>
          <w:sz w:val="20"/>
          <w:szCs w:val="20"/>
          <w:color w:val="auto"/>
        </w:rPr>
      </w:pPr>
      <w:r>
        <w:rPr>
          <w:rFonts w:ascii="Arial" w:cs="Arial" w:eastAsia="Arial" w:hAnsi="Arial"/>
          <w:sz w:val="18"/>
          <w:szCs w:val="18"/>
          <w:color w:val="auto"/>
        </w:rPr>
        <w:t>The value of our assets, as well as the market price of our securities, will fluctuate. Our investments may be risky, and you may lose all or part of your investment in us. See “Risk Factors” beginning on page S-16 in this prospectus supplement and beginning on page 8 of the accompanying prospectus, and the other information included in the accompanying prospectus, for additional discussion of factors you should carefully consider before deciding to invest in the Notes.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supplement, including Management’s Discussion and Analysis of Financial Condition and Results of Operations, contains statements that constitute forward-looking statements, which relate to us and our consolidated subsidiaries regarding future events or our future performance or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prospects and the prospectus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this prospectus supplement and elsewhere in the accompanying prospectus entitled “Risk Factors.”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that we may file with SEC including annual and quarterly reports on Form 10-K/Q and current reports on Form 8-K.</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You should understand that, under Sections 27A(b)(2)(B) of the Securities Act of 1933, as amended, or the Securities Act, and Section 21E(b)(2)(B) of the Exchange Act, the “safe harbor” provisions of the Private Securities Litigation Reform Act of 1995, do not apply to statements made in connection with any offering of securities pursuant to this prospectus supplement or in periodic reports we file under the Exchange Act.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and in the accompanying prospectus. You should carefully consider these risk factors, together with all of the other information included in this prospectus supplement and the accompanying prospectus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or value of our notes may decline, and you may lose all or part of your investment.</w:t>
      </w:r>
    </w:p>
    <w:p>
      <w:pPr>
        <w:spacing w:after="0" w:line="19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The Notes will be unsecured and therefore will be effectively subordinated to any secured indebtedness we have currently incurred or may incur in the future.</w:t>
      </w:r>
    </w:p>
    <w:p>
      <w:pPr>
        <w:spacing w:after="0" w:line="4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Notes will not be secured by any of our assets or any of the assets of our subsidiaries. As a result, the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September 30, 2012, we had $145.0 million (including a $35.5 million temporary draw) outstanding under the Credit Facility. The Credit Facility is secured by substantially all of the assets in our portfolio (other than assets held by SBIC LP), and the indebtedness under the Credit Facility is therefore effectively senior in right of payment to the Notes to the extent of the value of such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structurally subordinated to the indebtedness and other liabilities of our subsidiaries.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Notes are obligations exclusively of PennantPark Investment Corporation and not of any of our subsidiaries. None of our subsidiaries are or act as a guarantor of the Notes and the Notes are not required to be guaranteed by any subsidiaries we may acquire or create in the future. Our secured indebtedness with respect to the SBA debentures is held through our wholly owned subsidiary SBIC LP. The assets of any such subsidiary are not directly available to satisfy the claims of our creditors, including holders of the Notes.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subsidiary and any subsidiaries that we may in the future acquire or establish as financing vehicles or otherwise. As of September 30, 2012, SBIC LP had $150.0 million of SBA debentures outstanding. All of such indebtedness would be structurally senior to the Notes. In addition, our subsidiaries may incur substantial additional indebtedness in the future, all of which would be structurally senior to the Notes.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 under which the Notes will be issued will contain limited protection for holders of the Notes.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62" w:lineRule="exact"/>
        <w:rPr>
          <w:sz w:val="20"/>
          <w:szCs w:val="20"/>
          <w:color w:val="auto"/>
        </w:rPr>
      </w:pPr>
    </w:p>
    <w:p>
      <w:pPr>
        <w:ind w:left="900" w:hanging="446"/>
        <w:spacing w:after="0" w:line="290"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would rank structurally senior to the Notes and (4) securities, indebtedness or other obligations issued 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37" w:lineRule="exact"/>
        <w:rPr>
          <w:rFonts w:ascii="Arial" w:cs="Arial" w:eastAsia="Arial" w:hAnsi="Arial"/>
          <w:sz w:val="16"/>
          <w:szCs w:val="16"/>
          <w:color w:val="auto"/>
        </w:rPr>
      </w:pPr>
    </w:p>
    <w:p>
      <w:pPr>
        <w:ind w:left="900" w:right="2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indenture will not require us to offer to purchase the Notes in connection with a change of control or any other event.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Certain of our current debt instruments include more protections for their holders than the indenture and the Notes. See “Risk Factors—Risks Relating to Our Business and Structure” including “Risk Factors—Risks Relating to Our Business and Structure—Market developments may adversely affect our business and results of operations by reducing availability under our Credit Facility and SBIC LP’s SBA debentures” in the accompanying prospectus for more information.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61" w:lineRule="auto"/>
        <w:rPr>
          <w:sz w:val="20"/>
          <w:szCs w:val="20"/>
          <w:color w:val="auto"/>
        </w:rPr>
      </w:pPr>
      <w:r>
        <w:rPr>
          <w:rFonts w:ascii="Arial" w:cs="Arial" w:eastAsia="Arial" w:hAnsi="Arial"/>
          <w:sz w:val="15"/>
          <w:szCs w:val="15"/>
          <w:b w:val="1"/>
          <w:bCs w:val="1"/>
          <w:color w:val="auto"/>
        </w:rPr>
        <w:t>An active trading market for the Notes may not develop, which could limit the market price of the Notes or your ability to sell them. If a rating agency assigns the Notes a non-investment grade rating, the Notes may be subject to greater price volatility than similar securities without such a rating.</w:t>
      </w:r>
    </w:p>
    <w:p>
      <w:pPr>
        <w:ind w:firstLine="456"/>
        <w:spacing w:after="0" w:line="288" w:lineRule="auto"/>
        <w:rPr>
          <w:sz w:val="20"/>
          <w:szCs w:val="20"/>
          <w:color w:val="auto"/>
        </w:rPr>
      </w:pPr>
      <w:r>
        <w:rPr>
          <w:rFonts w:ascii="Arial" w:cs="Arial" w:eastAsia="Arial" w:hAnsi="Arial"/>
          <w:sz w:val="16"/>
          <w:szCs w:val="16"/>
          <w:color w:val="auto"/>
        </w:rPr>
        <w:t>The Notes are a new issue of debt securities for which currently there is no trading market. Although we expect to list the Notes on the New York Stock Exchange within 30 days of the original issue date, we cannot provide any assurances that an active trading market will develop for the Notes or that you will be able to sell your Notes.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If a rating agency assigns the Notes a non-investment grade rating, the Notes may be subject to greater price volatility than securities of similar maturity without such a non-investment grade rating.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 may apply to payments to certain foreign entities.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Payments made under the Notes to a foreign financial institution or non-financial foreign entity (including such an institution or entity acting as an intermediary) may be subject to a U.S. withholding tax of 30% under a law (commonly known as “FATCA”) that was enacted in 2010. This tax may apply to certain payments of interest as well as payments made upon maturity, redemption, or sale of the Notes, unless the foreign financial institution or non-financial foreign entity complies with certain information reporting, withholding, identification, certification and related requirements imposed by FATCA. You should consult your own tax advisors regarding FATCA and how it may affect your investment in the Notes. See “Certain U.S. Federal Income Tax Considerations” for more information.</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80"/>
          </w:cols>
          <w:pgMar w:left="240" w:top="459" w:right="3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estimate that net proceeds we will receive from the sale of the $ million aggregate principal amount of the Notes in this offering will be approximately $ million (or approximately $ million if the underwriters fully exercise their overallotments), in each case based on a public offering price of 100% of par, after deducting the underwriting discounts and commissions of approximately $ million (or approximately $ million if the underwriters fully exercise their overallotment option) payable by us and estimated offering expenses of approximately $ payable by us.</w:t>
      </w:r>
    </w:p>
    <w:p>
      <w:pPr>
        <w:spacing w:after="0" w:line="113"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We expect to use the net proceeds from selling securities pursuant to this prospectus supplement to reduce outstanding obligations under our Credit Facility, to invest in new or existing portfolio companies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8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September 30, 2012, we had $235.0 million of unused borrowing capacity, subject to maintenance of the applicable ratio of total assets to debt test as defined under the 1940 Act, and $145.0 million (including a $35.5 million temporary draw) in borrowings outstanding under our $380.0 million Credit Facility. Borrowings under our Credit Facility bear interest at an annual rate equal to LIBOR plus 275 basis points. At September 30, 2012, we had a weighted average interest rate on our Credit Facility at the time of 3.49%. The Credit Facility is a revolving facility with a stated maturity date of February 21, 2016 and is secured by substantially all of the assets in our investment portfolio, excluding assets of SBIC LP. Amounts repaid under our Credit Facility remain available for future borrowings. See “Management’s Discussion and Analysis of Financial Condition and Results of Operations” in this prospectus supplement and the accompanying prospectus for more information.</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The following table sets forth our cash and capitalization on September 30, 2012 (1) on an actual basis and (2) on an as-adjusted basis to reflect the effects</w:t>
      </w:r>
    </w:p>
    <w:p>
      <w:pPr>
        <w:spacing w:after="0" w:line="3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of the sale of $</w:t>
      </w:r>
      <w:r>
        <w:rPr>
          <w:sz w:val="20"/>
          <w:szCs w:val="20"/>
          <w:color w:val="auto"/>
        </w:rPr>
        <w:tab/>
      </w:r>
      <w:r>
        <w:rPr>
          <w:rFonts w:ascii="Arial" w:cs="Arial" w:eastAsia="Arial" w:hAnsi="Arial"/>
          <w:sz w:val="16"/>
          <w:szCs w:val="16"/>
          <w:color w:val="auto"/>
        </w:rPr>
        <w:t>million aggregate principal amount of Notes in this offering based on a public offering price of 100% of par, after deducting the underwriting</w:t>
      </w:r>
    </w:p>
    <w:p>
      <w:pPr>
        <w:spacing w:after="0" w:line="9"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discounts and commissions of $ million payable by us and estimated offering expenses of approximately $ payable by us. The as-adjusted information is illustrative only; our capitalization following the completion of this offering is subject to further adjustments.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this prospectus supplement and in the accompanying prospectus for more information.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As of September 30, 2012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right"/>
              <w:ind w:right="19"/>
              <w:spacing w:after="0" w:line="115" w:lineRule="exact"/>
              <w:rPr>
                <w:sz w:val="20"/>
                <w:szCs w:val="20"/>
                <w:color w:val="auto"/>
              </w:rPr>
            </w:pPr>
            <w:r>
              <w:rPr>
                <w:rFonts w:ascii="Arial" w:cs="Arial" w:eastAsia="Arial" w:hAnsi="Arial"/>
                <w:sz w:val="12"/>
                <w:szCs w:val="12"/>
                <w:b w:val="1"/>
                <w:bCs w:val="1"/>
                <w:color w:val="auto"/>
              </w:rPr>
              <w:t>As adjusted for</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tcBorders>
              <w:bottom w:val="single" w:sz="8" w:color="CCEEFF"/>
            </w:tcBorders>
          </w:tcPr>
          <w:p>
            <w:pPr>
              <w:spacing w:after="0"/>
              <w:rPr>
                <w:sz w:val="15"/>
                <w:szCs w:val="15"/>
                <w:color w:val="auto"/>
              </w:rPr>
            </w:pPr>
          </w:p>
        </w:tc>
        <w:tc>
          <w:tcPr>
            <w:tcW w:w="64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Actual</w:t>
            </w: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9"/>
              <w:spacing w:after="0" w:line="176" w:lineRule="exact"/>
              <w:rPr>
                <w:sz w:val="20"/>
                <w:szCs w:val="20"/>
                <w:color w:val="auto"/>
              </w:rPr>
            </w:pPr>
            <w:r>
              <w:rPr>
                <w:rFonts w:ascii="Arial" w:cs="Arial" w:eastAsia="Arial" w:hAnsi="Arial"/>
                <w:sz w:val="13"/>
                <w:szCs w:val="13"/>
                <w:b w:val="1"/>
                <w:bCs w:val="1"/>
                <w:color w:val="auto"/>
                <w:w w:val="97"/>
              </w:rPr>
              <w:t>the offering</w:t>
            </w:r>
            <w:r>
              <w:rPr>
                <w:rFonts w:ascii="Arial" w:cs="Arial" w:eastAsia="Arial" w:hAnsi="Arial"/>
                <w:sz w:val="20"/>
                <w:szCs w:val="20"/>
                <w:b w:val="1"/>
                <w:bCs w:val="1"/>
                <w:color w:val="auto"/>
                <w:w w:val="97"/>
                <w:vertAlign w:val="superscript"/>
              </w:rPr>
              <w:t>(1)</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6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Total assets</w:t>
            </w:r>
          </w:p>
        </w:tc>
        <w:tc>
          <w:tcPr>
            <w:tcW w:w="6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1,018,967,531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1,018,967,531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under the Credit Facility (cost—$145,000,000)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144,452,500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144,452,500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Borrowings under SBA debentures (cost—$150,000,000)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150,000,000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Notes (cost—$</w:t>
            </w:r>
          </w:p>
        </w:tc>
        <w:tc>
          <w:tcPr>
            <w:tcW w:w="6460" w:type="dxa"/>
            <w:vAlign w:val="bottom"/>
            <w:shd w:val="clear" w:color="auto" w:fill="CCEEFF"/>
          </w:tcPr>
          <w:p>
            <w:pPr>
              <w:jc w:val="right"/>
              <w:ind w:right="629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w w:val="89"/>
              </w:rPr>
              <w:t>Stockholders’ Equity</w:t>
            </w:r>
          </w:p>
        </w:tc>
        <w:tc>
          <w:tcPr>
            <w:tcW w:w="6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Common stock, 65,514,503 shares are issued and outstanding. Par value is $0.001 per share and 100,000,000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60" w:type="dxa"/>
            <w:vAlign w:val="bottom"/>
            <w:gridSpan w:val="2"/>
            <w:shd w:val="clear" w:color="auto" w:fill="CCEEFF"/>
          </w:tcPr>
          <w:p>
            <w:pPr>
              <w:jc w:val="right"/>
              <w:ind w:right="6232"/>
              <w:spacing w:after="0"/>
              <w:rPr>
                <w:sz w:val="20"/>
                <w:szCs w:val="20"/>
                <w:color w:val="auto"/>
              </w:rPr>
            </w:pPr>
            <w:r>
              <w:rPr>
                <w:rFonts w:ascii="Arial" w:cs="Arial" w:eastAsia="Arial" w:hAnsi="Arial"/>
                <w:sz w:val="18"/>
                <w:szCs w:val="18"/>
                <w:color w:val="auto"/>
                <w:w w:val="96"/>
              </w:rPr>
              <w:t>shares are authorized.</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65,514</w:t>
            </w: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Paid in capital in excess of par value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744,704,825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744,704,825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2,804,397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2,804,397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Accumulated net realized loss on investments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(60,273,037)</w:t>
            </w:r>
          </w:p>
        </w:tc>
        <w:tc>
          <w:tcPr>
            <w:tcW w:w="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(60,273,037)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(18,132,152)</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(18,132,152)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Net unrealized depreciation on Credit Facility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547,500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547,500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669,717,047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669,717,047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Total capitalization</w:t>
            </w:r>
          </w:p>
        </w:tc>
        <w:tc>
          <w:tcPr>
            <w:tcW w:w="64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964,169,547</w:t>
            </w: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6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include the underwriters’ overallotment option for this offering nor the 700,000 shares issued on October 25, 2012 at the public offering price of $10.82 per share.</w:t>
      </w:r>
    </w:p>
    <w:p>
      <w:pPr>
        <w:ind w:left="460" w:right="2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the net proceeds from this offering are invested in cash equivalents. You should read this table together with “Use of Proceeds” set forth in this prospectus supplement and in the accompanying prospectus for more information.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the years ended September 30, 2012, 2011, 2010, 2009 and 2008, the ratios of earnings to fixed charges of ours computed as set forth below,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w w:val="88"/>
              </w:rPr>
              <w:t>For the Fiscal Years Ended September 30,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w:t>
            </w:r>
            <w:r>
              <w:rPr>
                <w:rFonts w:ascii="Arial" w:cs="Arial" w:eastAsia="Arial" w:hAnsi="Arial"/>
                <w:sz w:val="11"/>
                <w:szCs w:val="11"/>
                <w:b w:val="1"/>
                <w:bCs w:val="1"/>
                <w:color w:val="auto"/>
              </w:rPr>
              <w:t>(1)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Net investment income (after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57,069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52,645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32,075</w:t>
            </w:r>
          </w:p>
        </w:tc>
        <w:tc>
          <w:tcPr>
            <w:tcW w:w="2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22,719</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18,556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Net realized (losses) gains on investments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(12,798)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(15,417)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(39,244)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Add: Net change in unrealized appreciation (depreciation)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19,082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(58,641)</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52,327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(48,104)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63,353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16,535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35,802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(40,703)</w:t>
            </w: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r>
              <w:rPr>
                <w:rFonts w:ascii="Arial" w:cs="Arial" w:eastAsia="Arial" w:hAnsi="Arial"/>
                <w:sz w:val="11"/>
                <w:szCs w:val="11"/>
                <w:b w:val="1"/>
                <w:bCs w:val="1"/>
                <w:color w:val="auto"/>
              </w:rPr>
              <w:t>(2)</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and SBA Debentures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Fixed Charges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11,681</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5,322</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3,672</w:t>
            </w:r>
          </w:p>
        </w:tc>
        <w:tc>
          <w:tcPr>
            <w:tcW w:w="2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4,629</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6,309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Ratio of Net Investment Income to Fixed Charges</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Earnings include net realized and unrealized gains or losses. Net realized and unrealized gains or losses can vary substantially from period to period.</w:t>
      </w:r>
    </w:p>
    <w:p>
      <w:pPr>
        <w:spacing w:after="0" w:line="38"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 charges include interest and related expenses on our Credit Facility, which is indexed to LIBOR and fluctuate with changes in interest rates, and SBA debentures and amortization of debt issuance costs on our SBA debentures.</w:t>
      </w: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would need to generate additional earnings of $47,012 to achieve a coverage ratio of one-to-one for the year ended September 30, 2008.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derived the financial information below from our audited financial data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years ended September 30, 2012, 2011, 2010, 2009 and 2008 are derived from our Consolidated Financial Statements which have been audited by KPMG LLP, an independent registered public accounting firm. These selected financial data should be read in conjunction with our Consolidated Financial Statements and related notes thereto and “Management’s Discussion and Analysis of Financial Condition and Results of Operations” in this prospectus supplement and in the accompanying prospectus.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For the Years Ended September 30,</w:t>
            </w: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280" w:type="dxa"/>
            <w:vAlign w:val="bottom"/>
          </w:tcPr>
          <w:p>
            <w:pPr>
              <w:spacing w:after="0"/>
              <w:rPr>
                <w:sz w:val="12"/>
                <w:szCs w:val="12"/>
                <w:color w:val="auto"/>
              </w:rPr>
            </w:pPr>
          </w:p>
        </w:tc>
        <w:tc>
          <w:tcPr>
            <w:tcW w:w="80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2"/>
                <w:szCs w:val="12"/>
                <w:color w:val="auto"/>
              </w:rPr>
            </w:pPr>
          </w:p>
        </w:tc>
        <w:tc>
          <w:tcPr>
            <w:tcW w:w="6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92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740" w:type="dxa"/>
            <w:vAlign w:val="bottom"/>
            <w:gridSpan w:val="3"/>
          </w:tcPr>
          <w:p>
            <w:pPr>
              <w:jc w:val="right"/>
              <w:ind w:right="660"/>
              <w:spacing w:after="0"/>
              <w:rPr>
                <w:sz w:val="20"/>
                <w:szCs w:val="20"/>
                <w:color w:val="auto"/>
              </w:rPr>
            </w:pPr>
            <w:r>
              <w:rPr>
                <w:rFonts w:ascii="Arial" w:cs="Arial" w:eastAsia="Arial" w:hAnsi="Arial"/>
                <w:sz w:val="18"/>
                <w:szCs w:val="18"/>
                <w:color w:val="auto"/>
              </w:rPr>
              <w:t>$  113,392</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$ 91,738</w:t>
            </w: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$ 60,140</w:t>
            </w:r>
          </w:p>
        </w:tc>
        <w:tc>
          <w:tcPr>
            <w:tcW w:w="6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$ 45,119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$ 39,811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expenses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56,323</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39,093</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28,065</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22,400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57,069</w:t>
            </w: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52,645</w:t>
            </w: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32,075</w:t>
            </w:r>
          </w:p>
        </w:tc>
        <w:tc>
          <w:tcPr>
            <w:tcW w:w="6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22,719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18,556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(42,382)</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(15,539)</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13,083</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(59,259)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5"/>
              </w:rPr>
              <w:t>Net increase(decrease) in net assets resulting from operations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63,353</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10,263</w:t>
            </w: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16,535</w:t>
            </w:r>
          </w:p>
        </w:tc>
        <w:tc>
          <w:tcPr>
            <w:tcW w:w="6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35,802</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(40,703)</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asset value (at year end)</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10.13</w:t>
            </w: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10.69</w:t>
            </w:r>
          </w:p>
        </w:tc>
        <w:tc>
          <w:tcPr>
            <w:tcW w:w="6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11.85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6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(1.01)</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(0.53)</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0.62</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1"/>
              </w:rPr>
              <w:t>Net increase (decrease) in net assets resulting from operations</w:t>
            </w:r>
            <w:r>
              <w:rPr>
                <w:rFonts w:ascii="Arial" w:cs="Arial" w:eastAsia="Arial" w:hAnsi="Arial"/>
                <w:sz w:val="11"/>
                <w:szCs w:val="11"/>
                <w:color w:val="auto"/>
                <w:w w:val="91"/>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(1),(2)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w:t>
            </w: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6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0.96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Assets and Liabilities data:</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assets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1,018,968</w:t>
            </w: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928,738</w:t>
            </w: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711,494</w:t>
            </w:r>
          </w:p>
        </w:tc>
        <w:tc>
          <w:tcPr>
            <w:tcW w:w="6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512,381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419,811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portfolio</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990,480</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827,549</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664,724</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469,760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372,148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Borrowings outstanding</w:t>
            </w:r>
            <w:r>
              <w:rPr>
                <w:rFonts w:ascii="Arial" w:cs="Arial" w:eastAsia="Arial" w:hAnsi="Arial"/>
                <w:sz w:val="11"/>
                <w:szCs w:val="11"/>
                <w:color w:val="auto"/>
              </w:rPr>
              <w:t>(3)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294,452</w:t>
            </w: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388,792</w:t>
            </w: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233,641</w:t>
            </w:r>
          </w:p>
        </w:tc>
        <w:tc>
          <w:tcPr>
            <w:tcW w:w="6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175,475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202,000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4"/>
              </w:rPr>
              <w:t>Payable for investments purchased and unfunded investments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26,935</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55,705</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74,988</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25,821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net asset value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669,717</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462,657</w:t>
            </w:r>
          </w:p>
        </w:tc>
        <w:tc>
          <w:tcPr>
            <w:tcW w:w="7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386,575</w:t>
            </w:r>
          </w:p>
        </w:tc>
        <w:tc>
          <w:tcPr>
            <w:tcW w:w="6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300,580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210,728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28.71%</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(7.37)%</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44.79%</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30.39%</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year end)</w:t>
            </w:r>
            <w:r>
              <w:rPr>
                <w:rFonts w:ascii="Arial" w:cs="Arial" w:eastAsia="Arial" w:hAnsi="Arial"/>
                <w:sz w:val="11"/>
                <w:szCs w:val="11"/>
                <w:color w:val="auto"/>
              </w:rPr>
              <w:t>(5)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Yield on debt portfolio (at year end)</w:t>
            </w:r>
            <w:r>
              <w:rPr>
                <w:rFonts w:ascii="Arial" w:cs="Arial" w:eastAsia="Arial" w:hAnsi="Arial"/>
                <w:sz w:val="11"/>
                <w:szCs w:val="11"/>
                <w:color w:val="auto"/>
              </w:rPr>
              <w:t>(5)</w:t>
            </w: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13.2%</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13.3%</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12.7%</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years.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fair value in the case of our Credit Facility (except for 2008).</w:t>
      </w:r>
    </w:p>
    <w:p>
      <w:pPr>
        <w:spacing w:after="0" w:line="9"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w:t>
      </w: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Unaudited.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2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6"/>
              </w:rPr>
              <w:t>$30,806</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8"/>
              </w:rPr>
              <w:t>$ 29,385</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$26,362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$26,839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980" w:type="dxa"/>
            <w:vAlign w:val="bottom"/>
            <w:gridSpan w:val="4"/>
          </w:tcPr>
          <w:p>
            <w:pPr>
              <w:ind w:left="2400"/>
              <w:spacing w:after="0"/>
              <w:rPr>
                <w:sz w:val="20"/>
                <w:szCs w:val="20"/>
                <w:color w:val="auto"/>
              </w:rPr>
            </w:pPr>
            <w:r>
              <w:rPr>
                <w:rFonts w:ascii="Arial" w:cs="Arial" w:eastAsia="Arial" w:hAnsi="Arial"/>
                <w:sz w:val="18"/>
                <w:szCs w:val="18"/>
                <w:color w:val="auto"/>
                <w:w w:val="86"/>
              </w:rPr>
              <w:t>$16,742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7"/>
          </w:tcPr>
          <w:p>
            <w:pPr>
              <w:ind w:left="200"/>
              <w:spacing w:after="0"/>
              <w:rPr>
                <w:sz w:val="20"/>
                <w:szCs w:val="20"/>
                <w:color w:val="auto"/>
              </w:rPr>
            </w:pPr>
            <w:r>
              <w:rPr>
                <w:rFonts w:ascii="Arial" w:cs="Arial" w:eastAsia="Arial" w:hAnsi="Arial"/>
                <w:sz w:val="18"/>
                <w:szCs w:val="18"/>
                <w:color w:val="auto"/>
                <w:w w:val="88"/>
              </w:rPr>
              <w:t>$ 15,571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gridSpan w:val="4"/>
          </w:tcPr>
          <w:p>
            <w:pPr>
              <w:ind w:left="80"/>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9,759</w:t>
            </w:r>
          </w:p>
        </w:tc>
        <w:tc>
          <w:tcPr>
            <w:tcW w:w="16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$14,997</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254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9"/>
            <w:shd w:val="clear" w:color="auto" w:fill="CCEEFF"/>
          </w:tcPr>
          <w:p>
            <w:pPr>
              <w:ind w:left="200"/>
              <w:spacing w:after="0"/>
              <w:rPr>
                <w:sz w:val="20"/>
                <w:szCs w:val="20"/>
                <w:color w:val="auto"/>
              </w:rPr>
            </w:pPr>
            <w:r>
              <w:rPr>
                <w:rFonts w:ascii="Arial" w:cs="Arial" w:eastAsia="Arial" w:hAnsi="Arial"/>
                <w:sz w:val="18"/>
                <w:szCs w:val="18"/>
                <w:color w:val="auto"/>
              </w:rPr>
              <w:t>$ (12,151)</w:t>
            </w:r>
          </w:p>
        </w:tc>
        <w:tc>
          <w:tcPr>
            <w:tcW w:w="70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w w:val="98"/>
              </w:rPr>
              <w:t>$16,638</w:t>
            </w: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980" w:type="dxa"/>
            <w:vAlign w:val="bottom"/>
            <w:gridSpan w:val="4"/>
          </w:tcPr>
          <w:p>
            <w:pPr>
              <w:ind w:left="2400"/>
              <w:spacing w:after="0"/>
              <w:rPr>
                <w:sz w:val="20"/>
                <w:szCs w:val="20"/>
                <w:color w:val="auto"/>
              </w:rPr>
            </w:pPr>
            <w:r>
              <w:rPr>
                <w:rFonts w:ascii="Arial" w:cs="Arial" w:eastAsia="Arial" w:hAnsi="Arial"/>
                <w:sz w:val="18"/>
                <w:szCs w:val="18"/>
                <w:color w:val="auto"/>
                <w:w w:val="86"/>
              </w:rPr>
              <w:t>$17,690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3,420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7"/>
          </w:tcPr>
          <w:p>
            <w:pPr>
              <w:jc w:val="right"/>
              <w:ind w:right="40"/>
              <w:spacing w:after="0"/>
              <w:rPr>
                <w:sz w:val="20"/>
                <w:szCs w:val="20"/>
                <w:color w:val="auto"/>
              </w:rPr>
            </w:pPr>
            <w:r>
              <w:rPr>
                <w:rFonts w:ascii="Arial" w:cs="Arial" w:eastAsia="Arial" w:hAnsi="Arial"/>
                <w:sz w:val="18"/>
                <w:szCs w:val="18"/>
                <w:color w:val="auto"/>
                <w:w w:val="98"/>
              </w:rPr>
              <w:t>$26,397</w:t>
            </w:r>
          </w:p>
        </w:tc>
        <w:tc>
          <w:tcPr>
            <w:tcW w:w="16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$15,846</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increase in net assets resulting from operations per common share</w:t>
            </w:r>
          </w:p>
        </w:tc>
        <w:tc>
          <w:tcPr>
            <w:tcW w:w="254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2540" w:type="dxa"/>
            <w:vAlign w:val="bottom"/>
            <w:gridSpan w:val="3"/>
          </w:tcPr>
          <w:p>
            <w:pPr>
              <w:ind w:left="24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10.22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gridSpan w:val="4"/>
          </w:tcPr>
          <w:p>
            <w:pPr>
              <w:ind w:left="80"/>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10.38</w:t>
            </w:r>
          </w:p>
        </w:tc>
        <w:tc>
          <w:tcPr>
            <w:tcW w:w="1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10.19</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254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10.40</w:t>
            </w: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10.09</w:t>
            </w:r>
          </w:p>
        </w:tc>
        <w:tc>
          <w:tcPr>
            <w:tcW w:w="80" w:type="dxa"/>
            <w:vAlign w:val="bottom"/>
            <w:shd w:val="clear" w:color="auto" w:fill="CCEEFF"/>
          </w:tcPr>
          <w:p>
            <w:pPr>
              <w:spacing w:after="0"/>
              <w:rPr>
                <w:sz w:val="18"/>
                <w:szCs w:val="18"/>
                <w:color w:val="auto"/>
              </w:rPr>
            </w:pPr>
          </w:p>
        </w:tc>
      </w:tr>
      <w:tr>
        <w:trPr>
          <w:trHeight w:val="351"/>
        </w:trPr>
        <w:tc>
          <w:tcPr>
            <w:tcW w:w="5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5"/>
          </w:tcPr>
          <w:p>
            <w:pPr>
              <w:jc w:val="right"/>
              <w:ind w:right="58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2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$ 26,139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88"/>
              </w:rPr>
              <w:t>$ 22,908</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$22,712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$19,979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investment income</w:t>
            </w:r>
          </w:p>
        </w:tc>
        <w:tc>
          <w:tcPr>
            <w:tcW w:w="3220" w:type="dxa"/>
            <w:vAlign w:val="bottom"/>
            <w:gridSpan w:val="6"/>
          </w:tcPr>
          <w:p>
            <w:pPr>
              <w:jc w:val="right"/>
              <w:ind w:right="220"/>
              <w:spacing w:after="0"/>
              <w:rPr>
                <w:sz w:val="20"/>
                <w:szCs w:val="20"/>
                <w:color w:val="auto"/>
              </w:rPr>
            </w:pPr>
            <w:r>
              <w:rPr>
                <w:rFonts w:ascii="Arial" w:cs="Arial" w:eastAsia="Arial" w:hAnsi="Arial"/>
                <w:sz w:val="18"/>
                <w:szCs w:val="18"/>
                <w:color w:val="auto"/>
              </w:rPr>
              <w:t>$ 15,095</w:t>
            </w:r>
          </w:p>
        </w:tc>
        <w:tc>
          <w:tcPr>
            <w:tcW w:w="860" w:type="dxa"/>
            <w:vAlign w:val="bottom"/>
            <w:gridSpan w:val="8"/>
          </w:tcPr>
          <w:p>
            <w:pPr>
              <w:ind w:left="220"/>
              <w:spacing w:after="0"/>
              <w:rPr>
                <w:sz w:val="20"/>
                <w:szCs w:val="20"/>
                <w:color w:val="auto"/>
              </w:rPr>
            </w:pPr>
            <w:r>
              <w:rPr>
                <w:rFonts w:ascii="Arial" w:cs="Arial" w:eastAsia="Arial" w:hAnsi="Arial"/>
                <w:sz w:val="18"/>
                <w:szCs w:val="18"/>
                <w:color w:val="auto"/>
                <w:w w:val="88"/>
              </w:rPr>
              <w:t>$ 13,220</w:t>
            </w:r>
          </w:p>
        </w:tc>
        <w:tc>
          <w:tcPr>
            <w:tcW w:w="340" w:type="dxa"/>
            <w:vAlign w:val="bottom"/>
          </w:tcPr>
          <w:p>
            <w:pPr>
              <w:spacing w:after="0"/>
              <w:rPr>
                <w:sz w:val="18"/>
                <w:szCs w:val="18"/>
                <w:color w:val="auto"/>
              </w:rPr>
            </w:pPr>
          </w:p>
        </w:tc>
        <w:tc>
          <w:tcPr>
            <w:tcW w:w="700" w:type="dxa"/>
            <w:vAlign w:val="bottom"/>
            <w:gridSpan w:val="7"/>
          </w:tcPr>
          <w:p>
            <w:pPr>
              <w:jc w:val="right"/>
              <w:spacing w:after="0"/>
              <w:rPr>
                <w:sz w:val="20"/>
                <w:szCs w:val="20"/>
                <w:color w:val="auto"/>
              </w:rPr>
            </w:pPr>
            <w:r>
              <w:rPr>
                <w:rFonts w:ascii="Arial" w:cs="Arial" w:eastAsia="Arial" w:hAnsi="Arial"/>
                <w:sz w:val="18"/>
                <w:szCs w:val="18"/>
                <w:color w:val="auto"/>
              </w:rPr>
              <w:t>$13,159</w:t>
            </w:r>
          </w:p>
        </w:tc>
        <w:tc>
          <w:tcPr>
            <w:tcW w:w="16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$11,171</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322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 (46,260)</w:t>
            </w:r>
          </w:p>
        </w:tc>
        <w:tc>
          <w:tcPr>
            <w:tcW w:w="1200" w:type="dxa"/>
            <w:vAlign w:val="bottom"/>
            <w:gridSpan w:val="9"/>
            <w:shd w:val="clear" w:color="auto" w:fill="CCEEFF"/>
          </w:tcPr>
          <w:p>
            <w:pPr>
              <w:ind w:left="220"/>
              <w:spacing w:after="0"/>
              <w:rPr>
                <w:sz w:val="20"/>
                <w:szCs w:val="20"/>
                <w:color w:val="auto"/>
              </w:rPr>
            </w:pPr>
            <w:r>
              <w:rPr>
                <w:rFonts w:ascii="Arial" w:cs="Arial" w:eastAsia="Arial" w:hAnsi="Arial"/>
                <w:sz w:val="18"/>
                <w:szCs w:val="18"/>
                <w:color w:val="auto"/>
              </w:rPr>
              <w:t>$ (10,901)</w:t>
            </w:r>
          </w:p>
        </w:tc>
        <w:tc>
          <w:tcPr>
            <w:tcW w:w="20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$14,351</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3220" w:type="dxa"/>
            <w:vAlign w:val="bottom"/>
            <w:gridSpan w:val="6"/>
          </w:tcPr>
          <w:p>
            <w:pPr>
              <w:jc w:val="right"/>
              <w:ind w:right="160"/>
              <w:spacing w:after="0"/>
              <w:rPr>
                <w:sz w:val="20"/>
                <w:szCs w:val="20"/>
                <w:color w:val="auto"/>
              </w:rPr>
            </w:pPr>
            <w:r>
              <w:rPr>
                <w:rFonts w:ascii="Arial" w:cs="Arial" w:eastAsia="Arial" w:hAnsi="Arial"/>
                <w:sz w:val="18"/>
                <w:szCs w:val="18"/>
                <w:color w:val="auto"/>
              </w:rPr>
              <w:t>$ (31,165)</w:t>
            </w:r>
          </w:p>
        </w:tc>
        <w:tc>
          <w:tcPr>
            <w:tcW w:w="340" w:type="dxa"/>
            <w:vAlign w:val="bottom"/>
            <w:gridSpan w:val="4"/>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2,319</w:t>
            </w:r>
          </w:p>
        </w:tc>
        <w:tc>
          <w:tcPr>
            <w:tcW w:w="340" w:type="dxa"/>
            <w:vAlign w:val="bottom"/>
          </w:tcPr>
          <w:p>
            <w:pPr>
              <w:spacing w:after="0"/>
              <w:rPr>
                <w:sz w:val="18"/>
                <w:szCs w:val="18"/>
                <w:color w:val="auto"/>
              </w:rPr>
            </w:pPr>
          </w:p>
        </w:tc>
        <w:tc>
          <w:tcPr>
            <w:tcW w:w="700" w:type="dxa"/>
            <w:vAlign w:val="bottom"/>
            <w:gridSpan w:val="7"/>
          </w:tcPr>
          <w:p>
            <w:pPr>
              <w:jc w:val="right"/>
              <w:spacing w:after="0"/>
              <w:rPr>
                <w:sz w:val="20"/>
                <w:szCs w:val="20"/>
                <w:color w:val="auto"/>
              </w:rPr>
            </w:pPr>
            <w:r>
              <w:rPr>
                <w:rFonts w:ascii="Arial" w:cs="Arial" w:eastAsia="Arial" w:hAnsi="Arial"/>
                <w:sz w:val="18"/>
                <w:szCs w:val="18"/>
                <w:color w:val="auto"/>
              </w:rPr>
              <w:t>$13,587</w:t>
            </w:r>
          </w:p>
        </w:tc>
        <w:tc>
          <w:tcPr>
            <w:tcW w:w="16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$25,522</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increase in net assets resulting from operations per common share</w:t>
            </w:r>
          </w:p>
        </w:tc>
        <w:tc>
          <w:tcPr>
            <w:tcW w:w="25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(0.68)</w:t>
            </w:r>
          </w:p>
        </w:tc>
        <w:tc>
          <w:tcPr>
            <w:tcW w:w="3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CCEEFF"/>
          </w:tcPr>
          <w:p>
            <w:pPr>
              <w:spacing w:after="0"/>
              <w:rPr>
                <w:sz w:val="18"/>
                <w:szCs w:val="18"/>
                <w:color w:val="auto"/>
              </w:rPr>
            </w:pPr>
          </w:p>
        </w:tc>
        <w:tc>
          <w:tcPr>
            <w:tcW w:w="20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0.71</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25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10.13</w:t>
            </w:r>
          </w:p>
        </w:tc>
        <w:tc>
          <w:tcPr>
            <w:tcW w:w="340" w:type="dxa"/>
            <w:vAlign w:val="bottom"/>
            <w:gridSpan w:val="4"/>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11.08</w:t>
            </w:r>
          </w:p>
        </w:tc>
        <w:tc>
          <w:tcPr>
            <w:tcW w:w="340" w:type="dxa"/>
            <w:vAlign w:val="bottom"/>
          </w:tcPr>
          <w:p>
            <w:pPr>
              <w:spacing w:after="0"/>
              <w:rPr>
                <w:sz w:val="18"/>
                <w:szCs w:val="18"/>
                <w:color w:val="auto"/>
              </w:rPr>
            </w:pPr>
          </w:p>
        </w:tc>
        <w:tc>
          <w:tcPr>
            <w:tcW w:w="200" w:type="dxa"/>
            <w:vAlign w:val="bottom"/>
            <w:gridSpan w:val="4"/>
          </w:tcPr>
          <w:p>
            <w:pPr>
              <w:ind w:left="120"/>
              <w:spacing w:after="0"/>
              <w:rPr>
                <w:sz w:val="20"/>
                <w:szCs w:val="20"/>
                <w:color w:val="auto"/>
              </w:rPr>
            </w:pPr>
            <w:r>
              <w:rPr>
                <w:rFonts w:ascii="Arial" w:cs="Arial" w:eastAsia="Arial" w:hAnsi="Arial"/>
                <w:sz w:val="15"/>
                <w:szCs w:val="15"/>
                <w:color w:val="auto"/>
                <w:w w:val="71"/>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11.30</w:t>
            </w:r>
          </w:p>
        </w:tc>
        <w:tc>
          <w:tcPr>
            <w:tcW w:w="1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11.14</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25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8.92</w:t>
            </w:r>
          </w:p>
        </w:tc>
        <w:tc>
          <w:tcPr>
            <w:tcW w:w="34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340" w:type="dxa"/>
            <w:vAlign w:val="bottom"/>
            <w:shd w:val="clear" w:color="auto" w:fill="CCEEFF"/>
          </w:tcPr>
          <w:p>
            <w:pPr>
              <w:spacing w:after="0"/>
              <w:rPr>
                <w:sz w:val="18"/>
                <w:szCs w:val="18"/>
                <w:color w:val="auto"/>
              </w:rPr>
            </w:pPr>
          </w:p>
        </w:tc>
        <w:tc>
          <w:tcPr>
            <w:tcW w:w="20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12.25</w:t>
            </w:r>
          </w:p>
        </w:tc>
        <w:tc>
          <w:tcPr>
            <w:tcW w:w="80" w:type="dxa"/>
            <w:vAlign w:val="bottom"/>
            <w:shd w:val="clear" w:color="auto" w:fill="CCEEFF"/>
          </w:tcPr>
          <w:p>
            <w:pPr>
              <w:spacing w:after="0"/>
              <w:rPr>
                <w:sz w:val="18"/>
                <w:szCs w:val="18"/>
                <w:color w:val="auto"/>
              </w:rPr>
            </w:pPr>
          </w:p>
        </w:tc>
      </w:tr>
      <w:tr>
        <w:trPr>
          <w:trHeight w:val="351"/>
        </w:trPr>
        <w:tc>
          <w:tcPr>
            <w:tcW w:w="5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5"/>
          </w:tcPr>
          <w:p>
            <w:pPr>
              <w:jc w:val="right"/>
              <w:ind w:right="64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Q1</w:t>
            </w:r>
          </w:p>
        </w:tc>
        <w:tc>
          <w:tcPr>
            <w:tcW w:w="80" w:type="dxa"/>
            <w:vAlign w:val="bottom"/>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240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6"/>
              </w:rPr>
              <w:t>$16,681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$16,335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88"/>
              </w:rPr>
              <w:t>$ 13,525</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$13,599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540" w:type="dxa"/>
            <w:vAlign w:val="bottom"/>
            <w:gridSpan w:val="3"/>
          </w:tcPr>
          <w:p>
            <w:pPr>
              <w:ind w:left="24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8,957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8,821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7,059</w:t>
            </w:r>
          </w:p>
        </w:tc>
        <w:tc>
          <w:tcPr>
            <w:tcW w:w="1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7,238</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3220" w:type="dxa"/>
            <w:vAlign w:val="bottom"/>
            <w:gridSpan w:val="6"/>
            <w:shd w:val="clear" w:color="auto" w:fill="CCEEFF"/>
          </w:tcPr>
          <w:p>
            <w:pPr>
              <w:ind w:left="2400"/>
              <w:spacing w:after="0"/>
              <w:rPr>
                <w:sz w:val="20"/>
                <w:szCs w:val="20"/>
                <w:color w:val="auto"/>
              </w:rPr>
            </w:pPr>
            <w:r>
              <w:rPr>
                <w:rFonts w:ascii="Arial" w:cs="Arial" w:eastAsia="Arial" w:hAnsi="Arial"/>
                <w:sz w:val="18"/>
                <w:szCs w:val="18"/>
                <w:color w:val="auto"/>
              </w:rPr>
              <w:t>$ (2,326)</w:t>
            </w:r>
          </w:p>
        </w:tc>
        <w:tc>
          <w:tcPr>
            <w:tcW w:w="840" w:type="dxa"/>
            <w:vAlign w:val="bottom"/>
            <w:gridSpan w:val="7"/>
            <w:shd w:val="clear" w:color="auto" w:fill="CCEEFF"/>
          </w:tcPr>
          <w:p>
            <w:pPr>
              <w:ind w:left="200"/>
              <w:spacing w:after="0"/>
              <w:rPr>
                <w:sz w:val="20"/>
                <w:szCs w:val="20"/>
                <w:color w:val="auto"/>
              </w:rPr>
            </w:pPr>
            <w:r>
              <w:rPr>
                <w:rFonts w:ascii="Arial" w:cs="Arial" w:eastAsia="Arial" w:hAnsi="Arial"/>
                <w:sz w:val="18"/>
                <w:szCs w:val="18"/>
                <w:color w:val="auto"/>
                <w:w w:val="85"/>
              </w:rPr>
              <w:t>$ (4,561)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gridSpan w:val="8"/>
            <w:shd w:val="clear" w:color="auto" w:fill="CCEEFF"/>
          </w:tcPr>
          <w:p>
            <w:pPr>
              <w:jc w:val="right"/>
              <w:ind w:right="140"/>
              <w:spacing w:after="0"/>
              <w:rPr>
                <w:sz w:val="20"/>
                <w:szCs w:val="20"/>
                <w:color w:val="auto"/>
              </w:rPr>
            </w:pPr>
            <w:r>
              <w:rPr>
                <w:rFonts w:ascii="Arial" w:cs="Arial" w:eastAsia="Arial" w:hAnsi="Arial"/>
                <w:sz w:val="18"/>
                <w:szCs w:val="18"/>
                <w:color w:val="auto"/>
                <w:w w:val="85"/>
              </w:rPr>
              <w:t>$ (10,090)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1,438</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540" w:type="dxa"/>
            <w:vAlign w:val="bottom"/>
            <w:gridSpan w:val="3"/>
          </w:tcPr>
          <w:p>
            <w:pPr>
              <w:ind w:left="24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6,630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4,260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660" w:type="dxa"/>
            <w:vAlign w:val="bottom"/>
            <w:gridSpan w:val="4"/>
          </w:tcPr>
          <w:p>
            <w:pPr>
              <w:jc w:val="right"/>
              <w:ind w:right="140"/>
              <w:spacing w:after="0"/>
              <w:rPr>
                <w:sz w:val="20"/>
                <w:szCs w:val="20"/>
                <w:color w:val="auto"/>
              </w:rPr>
            </w:pPr>
            <w:r>
              <w:rPr>
                <w:rFonts w:ascii="Arial" w:cs="Arial" w:eastAsia="Arial" w:hAnsi="Arial"/>
                <w:sz w:val="18"/>
                <w:szCs w:val="18"/>
                <w:color w:val="auto"/>
                <w:w w:val="87"/>
              </w:rPr>
              <w:t>(3,031)</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8,676</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increase in net assets resulting from operations per common share</w:t>
            </w:r>
          </w:p>
        </w:tc>
        <w:tc>
          <w:tcPr>
            <w:tcW w:w="254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2540" w:type="dxa"/>
            <w:vAlign w:val="bottom"/>
            <w:gridSpan w:val="3"/>
          </w:tcPr>
          <w:p>
            <w:pPr>
              <w:ind w:left="24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10.69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10.94</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gridSpan w:val="3"/>
          </w:tcPr>
          <w:p>
            <w:pP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11.07</w:t>
            </w:r>
          </w:p>
        </w:tc>
        <w:tc>
          <w:tcPr>
            <w:tcW w:w="1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11.86</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254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10.37</w:t>
            </w: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spacing w:after="0"/>
              <w:rPr>
                <w:sz w:val="18"/>
                <w:szCs w:val="18"/>
                <w:color w:val="auto"/>
              </w:rPr>
            </w:pPr>
          </w:p>
        </w:tc>
      </w:tr>
      <w:tr>
        <w:trPr>
          <w:trHeight w:val="351"/>
        </w:trPr>
        <w:tc>
          <w:tcPr>
            <w:tcW w:w="5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5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5"/>
          </w:tcPr>
          <w:p>
            <w:pPr>
              <w:jc w:val="right"/>
              <w:ind w:right="64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240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6"/>
              </w:rPr>
              <w:t>$11,847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$10,770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86"/>
              </w:rPr>
              <w:t>$10,425</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$ 12,077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540" w:type="dxa"/>
            <w:vAlign w:val="bottom"/>
            <w:gridSpan w:val="3"/>
          </w:tcPr>
          <w:p>
            <w:pPr>
              <w:ind w:left="24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6,018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5,666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5"/>
          </w:tcPr>
          <w:p>
            <w:pPr>
              <w:spacing w:after="0"/>
              <w:rPr>
                <w:sz w:val="20"/>
                <w:szCs w:val="20"/>
                <w:color w:val="auto"/>
              </w:rPr>
            </w:pPr>
            <w:r>
              <w:rPr>
                <w:rFonts w:ascii="Arial" w:cs="Arial" w:eastAsia="Arial" w:hAnsi="Arial"/>
                <w:sz w:val="18"/>
                <w:szCs w:val="18"/>
                <w:color w:val="auto"/>
                <w:w w:val="93"/>
              </w:rPr>
              <w:t>$ 5,267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5,768</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2980" w:type="dxa"/>
            <w:vAlign w:val="bottom"/>
            <w:gridSpan w:val="4"/>
            <w:shd w:val="clear" w:color="auto" w:fill="CCEEFF"/>
          </w:tcPr>
          <w:p>
            <w:pPr>
              <w:ind w:left="2400"/>
              <w:spacing w:after="0"/>
              <w:rPr>
                <w:sz w:val="20"/>
                <w:szCs w:val="20"/>
                <w:color w:val="auto"/>
              </w:rPr>
            </w:pPr>
            <w:r>
              <w:rPr>
                <w:rFonts w:ascii="Arial" w:cs="Arial" w:eastAsia="Arial" w:hAnsi="Arial"/>
                <w:sz w:val="18"/>
                <w:szCs w:val="18"/>
                <w:color w:val="auto"/>
                <w:w w:val="86"/>
              </w:rPr>
              <w:t>$20,162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(6,486)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86"/>
              </w:rPr>
              <w:t>$36,932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980" w:type="dxa"/>
            <w:vAlign w:val="bottom"/>
            <w:gridSpan w:val="4"/>
          </w:tcPr>
          <w:p>
            <w:pPr>
              <w:ind w:left="2400"/>
              <w:spacing w:after="0"/>
              <w:rPr>
                <w:sz w:val="20"/>
                <w:szCs w:val="20"/>
                <w:color w:val="auto"/>
              </w:rPr>
            </w:pPr>
            <w:r>
              <w:rPr>
                <w:rFonts w:ascii="Arial" w:cs="Arial" w:eastAsia="Arial" w:hAnsi="Arial"/>
                <w:sz w:val="18"/>
                <w:szCs w:val="18"/>
                <w:color w:val="auto"/>
                <w:w w:val="86"/>
              </w:rPr>
              <w:t>$26,180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5"/>
          </w:tcPr>
          <w:p>
            <w:pPr>
              <w:spacing w:after="0"/>
              <w:rPr>
                <w:sz w:val="20"/>
                <w:szCs w:val="20"/>
                <w:color w:val="auto"/>
              </w:rPr>
            </w:pPr>
            <w:r>
              <w:rPr>
                <w:rFonts w:ascii="Arial" w:cs="Arial" w:eastAsia="Arial" w:hAnsi="Arial"/>
                <w:sz w:val="18"/>
                <w:szCs w:val="18"/>
                <w:color w:val="auto"/>
                <w:w w:val="86"/>
              </w:rPr>
              <w:t>$42,199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6"/>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increase in net assets resulting from operations per common share</w:t>
            </w:r>
          </w:p>
        </w:tc>
        <w:tc>
          <w:tcPr>
            <w:tcW w:w="254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(0.04)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2.00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2540" w:type="dxa"/>
            <w:vAlign w:val="bottom"/>
            <w:gridSpan w:val="3"/>
          </w:tcPr>
          <w:p>
            <w:pPr>
              <w:ind w:left="24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11.85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11.72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5"/>
          </w:tcPr>
          <w:p>
            <w:pPr>
              <w:spacing w:after="0"/>
              <w:rPr>
                <w:sz w:val="20"/>
                <w:szCs w:val="20"/>
                <w:color w:val="auto"/>
              </w:rPr>
            </w:pPr>
            <w:r>
              <w:rPr>
                <w:rFonts w:ascii="Arial" w:cs="Arial" w:eastAsia="Arial" w:hAnsi="Arial"/>
                <w:sz w:val="18"/>
                <w:szCs w:val="18"/>
                <w:color w:val="auto"/>
                <w:w w:val="93"/>
              </w:rPr>
              <w:t>$ 12.00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10.24</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2540" w:type="dxa"/>
            <w:vAlign w:val="bottom"/>
            <w:gridSpan w:val="3"/>
            <w:shd w:val="clear" w:color="auto" w:fill="CCEEFF"/>
          </w:tcPr>
          <w:p>
            <w:pPr>
              <w:ind w:left="2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3.75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r>
      <w:tr>
        <w:trPr>
          <w:trHeight w:val="363"/>
        </w:trPr>
        <w:tc>
          <w:tcPr>
            <w:tcW w:w="5240" w:type="dxa"/>
            <w:vAlign w:val="bottom"/>
          </w:tcPr>
          <w:p>
            <w:pPr>
              <w:spacing w:after="0"/>
              <w:rPr>
                <w:sz w:val="24"/>
                <w:szCs w:val="24"/>
                <w:color w:val="auto"/>
              </w:rPr>
            </w:pPr>
          </w:p>
        </w:tc>
        <w:tc>
          <w:tcPr>
            <w:tcW w:w="2540" w:type="dxa"/>
            <w:vAlign w:val="bottom"/>
            <w:gridSpan w:val="3"/>
          </w:tcPr>
          <w:p>
            <w:pPr>
              <w:jc w:val="right"/>
              <w:ind w:right="1812"/>
              <w:spacing w:after="0"/>
              <w:rPr>
                <w:sz w:val="20"/>
                <w:szCs w:val="20"/>
                <w:color w:val="auto"/>
              </w:rPr>
            </w:pPr>
            <w:r>
              <w:rPr>
                <w:rFonts w:ascii="Arial" w:cs="Arial" w:eastAsia="Arial" w:hAnsi="Arial"/>
                <w:sz w:val="18"/>
                <w:szCs w:val="18"/>
                <w:color w:val="auto"/>
              </w:rPr>
              <w:t>S-23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11,431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9,714</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investment income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5,434</w:t>
            </w:r>
          </w:p>
        </w:tc>
        <w:tc>
          <w:tcPr>
            <w:tcW w:w="2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3,941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4,449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4,732</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(16,475)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11,263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(37,778)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(16,269)</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(11,041)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15,204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(33,329)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(11,537)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increase in net assets resulting from operations per common share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10.77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363"/>
        </w:trPr>
        <w:tc>
          <w:tcPr>
            <w:tcW w:w="5240" w:type="dxa"/>
            <w:vAlign w:val="bottom"/>
          </w:tcPr>
          <w:p>
            <w:pPr>
              <w:spacing w:after="0"/>
              <w:rPr>
                <w:sz w:val="24"/>
                <w:szCs w:val="24"/>
                <w:color w:val="auto"/>
              </w:rPr>
            </w:pPr>
          </w:p>
        </w:tc>
        <w:tc>
          <w:tcPr>
            <w:tcW w:w="2340" w:type="dxa"/>
            <w:vAlign w:val="bottom"/>
            <w:gridSpan w:val="2"/>
          </w:tcPr>
          <w:p>
            <w:pPr>
              <w:jc w:val="right"/>
              <w:ind w:right="1623"/>
              <w:spacing w:after="0"/>
              <w:rPr>
                <w:sz w:val="20"/>
                <w:szCs w:val="20"/>
                <w:color w:val="auto"/>
              </w:rPr>
            </w:pPr>
            <w:r>
              <w:rPr>
                <w:rFonts w:ascii="Arial" w:cs="Arial" w:eastAsia="Arial" w:hAnsi="Arial"/>
                <w:sz w:val="18"/>
                <w:szCs w:val="18"/>
                <w:color w:val="auto"/>
              </w:rPr>
              <w:t>S-24</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several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intend to continue to be treated and qualify annually as a RIC under the Code.</w:t>
      </w:r>
    </w:p>
    <w:p>
      <w:pPr>
        <w:spacing w:after="0" w:line="14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Our wholly owned subsidiary, SBIC LP, was organized as a Delaware limited partnership in May 2010 and received a license from the SBA to operate as an SBIC under Section 301(c) of the 1958 Act in July 2010. SBIC LP’s objective is to generate both current income and capital appreciation through debt and equity investments generally, investing with us in SBA eligible businesses that meet the investment criteria used by PennantPark Investment.</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investment activities are managed by the Investment Adviser. Under the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LP under its investment management agreement. SBIC LP’s investment management agreement does not affect the management and incentive fees 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 consolidated basis. We have also entered into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LP under its administration agreement with us. Our board of directors, a majority of whom are independent of us, and the Investment Adviser, supervise our activities.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generate revenue in the form of interest income on the debt securities we hold. Capital gains, if any, are recorded on a trade date basis on investments held in our portfolio.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original issue discount, or OID, origination, structuring or diligence fees, fees for providing managerial assistance and possibly consulting fees.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3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1958 Act and applicable federal and state securities laws; and</w:t>
      </w:r>
    </w:p>
    <w:p>
      <w:pPr>
        <w:spacing w:after="0" w:line="124" w:lineRule="exact"/>
        <w:rPr>
          <w:rFonts w:ascii="Arial" w:cs="Arial" w:eastAsia="Arial" w:hAnsi="Arial"/>
          <w:sz w:val="15"/>
          <w:szCs w:val="15"/>
          <w:color w:val="auto"/>
        </w:rPr>
      </w:pPr>
    </w:p>
    <w:p>
      <w:pPr>
        <w:ind w:left="900" w:hanging="446"/>
        <w:spacing w:after="0" w:line="256"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basis and fair value,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debt portfolio consisted of 61% fixed-rate and 39% variable-rate investments (including 31% with a LIBOR or prime floor). Our overall portfolio consisted of 48 companies with an average investment size of $17.2 million, had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For the fiscal year ended September 30, 2012, we purchased $328.3 million of investments in 13 new and 17 existing portfolio companies with a weighted average yield of 13.3% on debt investments. This compares to purchasing $479.7 million in 17 new and 11 existing portfolio companies with an overall weighted average yield of 13.7% on debt investments, and purchasing $309.5 million in 17 new and 12 existing portfolio companies with an overall weighted average yield of 14.9% on debt investments for the fiscal years ended September 30, 2011 and 2010, respectively.</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the fiscal year ended September 30, 2012, sales and repayments generated proceeds of $201.7 million. For the fiscal years ended September 30, 2011 and 2010, sales and repayments generated proceeds of $304.0 million and $145.2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discussion of our financial condition and results of operations is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have eliminated all intercompany balances and transactions. References to the Accounting Standards Codification, or ASC, serve as a single source of literature. Subsequent events are evaluated and disclosed as appropriate for events occurring through the date the Consolidated Financial Statements are issued.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 in the absence of any unusual events that may indicate such basis for deriving fair value is no longer valid.</w:t>
      </w:r>
    </w:p>
    <w:p>
      <w:pPr>
        <w:spacing w:after="0" w:line="118"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supplement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in conducted on a quarterly basis.</w:t>
      </w:r>
    </w:p>
    <w:p>
      <w:pPr>
        <w:spacing w:after="0" w:line="11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carrying value of our selected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Due to that election and in accordance with GAAP, we incurred up-front fees of $5.4 million which represents transaction costs and expenses related to the amended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fiscal year ended September 30, 2012 and 2011, our Credit Facility had a net change in unrealized appreciation of $1.6 million and $11.9 million, respectively. As of September 30, 2012 and 2011, net unrealized depreciation on our Credit Facility totaled $0.5 million and $2.1 million, respectively. We use a nationally recognized independent valuation service to measure the fair value of our Credit Facility in a manner consistent with the valuation process that the board of directors uses to value our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on our debt are capitalized, and we then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To maintain RIC tax benefits, we must, among other requirements, meet certain source-of-income and quarterly asset diversification requirements (as described below). We also must annually distribute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w:t>
      </w:r>
    </w:p>
    <w:p>
      <w:pPr>
        <w:spacing w:after="0" w:line="2" w:lineRule="exact"/>
        <w:rPr>
          <w:sz w:val="20"/>
          <w:szCs w:val="20"/>
          <w:color w:val="auto"/>
        </w:rPr>
      </w:pPr>
    </w:p>
    <w:p>
      <w:pPr>
        <w:ind w:firstLine="8"/>
        <w:spacing w:after="0" w:line="253"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98% of our net ordinary income for the calendar year, (2) 98.2% of the sum of our realized net capital gains for the one-year period ending on October 31 of the calendar year and (3) the sum of any net ordinary income plus net capital gains for preceding years that were not distributed during such years.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4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our results of operations for the fiscal years ended September 30, 2012, 2011 and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jc w:val="both"/>
        <w:ind w:right="260" w:firstLine="456"/>
        <w:spacing w:after="0" w:line="335" w:lineRule="auto"/>
        <w:rPr>
          <w:sz w:val="20"/>
          <w:szCs w:val="20"/>
          <w:color w:val="auto"/>
        </w:rPr>
      </w:pPr>
      <w:r>
        <w:rPr>
          <w:rFonts w:ascii="Arial" w:cs="Arial" w:eastAsia="Arial" w:hAnsi="Arial"/>
          <w:sz w:val="15"/>
          <w:szCs w:val="15"/>
          <w:color w:val="auto"/>
        </w:rPr>
        <w:t>Investment income for the fiscal year ended September 30, 2012 was $113.4 million and was primarily attributable to $42.8 million from senior secured loan investments, $21.2 million from second lien secured debt investments, and $49.4 million from subordinated debt investments. The increase in investment income over the prior year was due to the growth of our portfolio which was also driven by the investment of the proceeds from our equity offerings.</w:t>
      </w:r>
    </w:p>
    <w:p>
      <w:pPr>
        <w:spacing w:after="0" w:line="88"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the growth of our portfolio which was also driven by investment of the proceeds from our equity offering and rotation out of lower yielding assets.</w:t>
      </w:r>
    </w:p>
    <w:p>
      <w:pPr>
        <w:spacing w:after="0" w:line="14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Investment income for the fiscal year ended September 30, 2010 was $60.1 million and was primarily attributable to $19.5 million from senior secured loan investments, $14.1 million from second lien secured debt investments, and $26.5 million from subordinated debt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Expenses for the fiscal year ended September 30, 2012 totaled $56.3 million. Base management fees for the same period totaled $17.5 million, performance-based incentive fee totaled $14.2 million, Credit Facility and SBA debentures related expenses totaled $17.1 million (including the $5.4 million upfront fees associated with amending and extending our Credit Facility), general and administrative expenses totaled $7.2 million and an excise tax of $0.3 million was incurred. The increase in expenses over the prior year was primarily due to the upfront costs of amending our Credit Facility, increased borrowing costs and the growth of our portfolio.</w:t>
      </w:r>
    </w:p>
    <w:p>
      <w:pPr>
        <w:spacing w:after="0" w:line="14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Expenses for the fiscal year ended September 30, 2011 totaled $39.1 million. Base management fees for the same period totaled $14.9 million, performance-based incentive fee totaled $13.2 million, Credit Facility and SBA debentures related expenses totaled $5.3 million, general and administrative expenses totaled $5.5 million and an excise tax of $0.2 million was incurred. The increase in expenses over the prior year was the result of the growth of our portfolio as well as increased borrowing costs.</w:t>
      </w:r>
    </w:p>
    <w:p>
      <w:pPr>
        <w:spacing w:after="0" w:line="143"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Expenses for the fiscal year ended September 30, 2010 totaled $28.0 million. Base management fees for the same period totaled $11.6 million, performance-based incentive fee totaled $8.0 million, Credit Facility and SBA debentures related expenses totaled $3.7 million, general and administrative expenses totaled $4.6 million and an excise tax of $0.1 million was incurred.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Net investment income totaled $57.1 million, or $1.08 per share, $52.6 million, or $1.25 per share and $32.1 million, or $1.09 per share, for the fiscal years ended September 30, 2012, 2011 and 2010, respectively. The increase in net investment income from 2011 to 2012 was the result of the growth of our portfolio, while the per share net investment income decrease was the result of share issuances.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Sales and repayments of long-term investments for the fiscal years ended September 30, 2012, 2011 and 2010 totaled $201.7 million, $304.0 million and $145.2 million, respectively, and net realized gains (losses) totaled $(12.8) million, $16.3 million and $(15.4) million, respectively. Net realized losses increased over the prior year due to sales, restructurings, and repayments of our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 and Credit Facility</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Net change in unrealized (depreciation) appreciation on investments totaled $20.6 million, $(46.8) million and $35.5 million for the fiscal years ended September 30, 2012, 2011 and 2010, respectively. Net change in unrealized (appreciation) depreciation on our Credit Facility totaled $(1.6) million, $(11.9) million and $(35.7) million for the same periods, respectively. Net change in unrealized depreciation on investments increased over the prior year due to the overall changes in the leveraged finance markets. Net change in unrealized depreciation on our Credit Facility over the prior year is the result of amending and restating the terms of our Credit Facility.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Net increase in net assets resulting from operations totaled $63.4 million, or $1.20 per share, $10.3 million, or $0.24 per share, and $16.5 million, or $0.56 per share for the fiscal years ended September 30, 2012, 2011 and 2010, respectively. The net increase in net assets from operations was higher than the prior year due to the continued growth in net investment income as a result of growing our portfolio and unrealized gains offset by realized losses.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Our liquidity and capital resources are derived primarily from proceeds of security offerings,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SBA debentures, proceeds from the rotation of our portfolio and proceeds from public and private offerings of securities to finance our investment objectives.</w:t>
      </w:r>
    </w:p>
    <w:p>
      <w:pPr>
        <w:spacing w:after="0" w:line="11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February 2012, we amended and restated our multi-currency Credit Facility, which increased the size of the Credit Facility to $380 million, with certain lenders and SunTrust Bank, acting as administrative agent and JPMorgan Chase Bank, N.A., acting as syndication agent for the lenders. As of September 30, 2012 and 2011, there were $145.0 million (including a temporary draw of $35.5 million) and $240.9 million, respectively, in outstanding borrowings under the Credit Facility, with a weighted average interest rate at the time of 3.49% and 1.27%, exclusive of the fee on undrawn commitments of 0.50% and 0.20%, respectively. The Credit Facility is a four-year revolving facility with a stated maturity date of February 2016, and a one-year term-out period following its third year. Borrowings under the Credit Facility bear interest at 275 basis points over LIBOR. As of September 30, 2012 and 2011, we had $235.0 million and $74.1 million of unused borrowing capacity, respectively, subject to the regulatory restrictions that the 1940 Act imposes on us as a BDC. The Credit Facility is secured by substantially all of our assets excluding assets held by our SBIC LP.</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Credit Facility contains customary affirmative and restrictive covenants, including maintenance of a minimum shareholders’ equity of the sum of</w:t>
      </w:r>
    </w:p>
    <w:p>
      <w:pPr>
        <w:spacing w:after="0" w:line="38" w:lineRule="exact"/>
        <w:rPr>
          <w:sz w:val="20"/>
          <w:szCs w:val="20"/>
          <w:color w:val="auto"/>
        </w:rPr>
      </w:pPr>
    </w:p>
    <w:p>
      <w:pPr>
        <w:ind w:right="140" w:firstLine="8"/>
        <w:spacing w:after="0" w:line="288" w:lineRule="auto"/>
        <w:tabs>
          <w:tab w:leader="none" w:pos="239" w:val="left"/>
        </w:tabs>
        <w:numPr>
          <w:ilvl w:val="0"/>
          <w:numId w:val="14"/>
        </w:numPr>
        <w:rPr>
          <w:rFonts w:ascii="Arial" w:cs="Arial" w:eastAsia="Arial" w:hAnsi="Arial"/>
          <w:sz w:val="16"/>
          <w:szCs w:val="16"/>
          <w:color w:val="auto"/>
        </w:rPr>
      </w:pPr>
      <w:r>
        <w:rPr>
          <w:rFonts w:ascii="Arial" w:cs="Arial" w:eastAsia="Arial" w:hAnsi="Arial"/>
          <w:sz w:val="16"/>
          <w:szCs w:val="16"/>
          <w:color w:val="auto"/>
        </w:rPr>
        <w:t>$220.0 million plus (b) 25% of the net proceeds from the sale of equity interests in us and our subsidiaries after the closing date of the Credit Facility and maintenance of a ratio of total assets (less total liabilities other than indebtedness) to total indebtedness of not less than 2.0:1.0 (before any exemptive relief granted by the SEC with respect to the indebtedness of our SBIC subsidiary).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September 30, 2012, we were in compliance with the terms of our Credit Facility.</w:t>
      </w:r>
    </w:p>
    <w:p>
      <w:pPr>
        <w:spacing w:after="0" w:line="12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raise additional equity or debt capital through both registered offerings off a shelf registration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Furthermore, our Credit Facility availability depends on various covenants and restrictions. The primary use of existing funds and any funds raised in the future is expected to be for repayment of indebtedness, investments in portfolio companies, cash distributions to our shareholders or for other general corporate or strategic purposes.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our asset coverage ratio is met after such borrowing. As of September 30, 2012, we excluded the principal amounts of our SBA debentures, from our asset coverage ratio pursuant to an SEC exemptive relief resulting in an asset coverage ratio of 564%. As a result of this exemptive relief, our asset coverage ratio of total assets on a consolidated basis, including the principal amount of our SBA debentures, to outstanding indebtedness may be less than 200%, which while providing increased investment flexibility, also increases our exposure to risks associated with leverage.</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the fiscal year ended September 30, 2012 we sold 19.4 million shares of common stock, resulting in net proceeds of $198.9 million. On September 28, 2012, we raised net proceeds of $93.6 million from selling 9.0 million shares. This compares to selling 9.2 million shares of our common stock resulting in net proceeds of $108.3 million for the fiscal year ended September 30, 2011. Any decision to sell shares below the then current net asset value per share of our common stock is subject to shareholder approval and a determination by our board of directors that such issuance and sale is in our and our stockholders’ best interests. Any sale or other issuance of shares of our common stock at a price below net asset value per share results in immediate dilution to our stockholders’ interests in our common stock and a reduction in our net asset value per share.</w:t>
      </w:r>
    </w:p>
    <w:p>
      <w:pPr>
        <w:spacing w:after="0" w:line="12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SBIC LP has borrowed funds from the SBA against regulatory capital (which approximates equity capital) that is paid-in and is subject to customary regulatory requirements including but not limited to an examination by the SBA. As of September 30, 2012, we committed and funded SBIC LP with $75.0 million of equity capital, and had SBA debentures outstanding of $150.0 million. SBA debentures are non-recourse to us, have a 10-year maturity and may be prepaid at any time without penalty. The interest rate of SBA debentures is fixed at the time of issuance, often referred to as pooling date, at a market-driven spread over 10-year U.S. Treasury Notes. SBA current regulations limit the amount that SBIC LP may borrow to a maximum of $150.0 million, which is up to twice its potential regulatory capital. SBIC LP has accessed the maximum borrowing permitted by the SBA with its $75.0 million in regulatory capital.</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of September 30, 2012 and 2011, our $150.0 million in debt commitments were fully drawn with a weighted average interest rate of 3.70% exclusive of the 3.43% in upfront fees (4.04% after upfront fees). The SBA debentures upfront fees of 3.43% consist of a commitment fee of 1.00% and an issuance at a</w:t>
      </w:r>
    </w:p>
    <w:p>
      <w:pPr>
        <w:spacing w:after="0"/>
        <w:rPr>
          <w:sz w:val="20"/>
          <w:szCs w:val="20"/>
          <w:color w:val="auto"/>
        </w:rPr>
      </w:pPr>
      <w:r>
        <w:rPr>
          <w:rFonts w:ascii="Arial" w:cs="Arial" w:eastAsia="Arial" w:hAnsi="Arial"/>
          <w:sz w:val="16"/>
          <w:szCs w:val="16"/>
          <w:color w:val="auto"/>
        </w:rPr>
        <w:t>2.43% discount to face. Both fees will be amortized over the lives of the loans. Our fixed rate SBA debentures as of September 30, 2012 and 2011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All-in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640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Issuance Dates</w:t>
            </w:r>
          </w:p>
        </w:tc>
        <w:tc>
          <w:tcPr>
            <w:tcW w:w="34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Maturity</w:t>
            </w:r>
          </w:p>
        </w:tc>
        <w:tc>
          <w:tcPr>
            <w:tcW w:w="3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ind w:left="60"/>
              <w:spacing w:after="0" w:line="176" w:lineRule="exact"/>
              <w:rPr>
                <w:sz w:val="20"/>
                <w:szCs w:val="20"/>
                <w:color w:val="auto"/>
              </w:rPr>
            </w:pPr>
            <w:r>
              <w:rPr>
                <w:rFonts w:ascii="Arial" w:cs="Arial" w:eastAsia="Arial" w:hAnsi="Arial"/>
                <w:sz w:val="13"/>
                <w:szCs w:val="13"/>
                <w:b w:val="1"/>
                <w:bCs w:val="1"/>
                <w:color w:val="auto"/>
                <w:w w:val="98"/>
              </w:rPr>
              <w:t>Coupon Rate</w:t>
            </w:r>
            <w:r>
              <w:rPr>
                <w:rFonts w:ascii="Arial" w:cs="Arial" w:eastAsia="Arial" w:hAnsi="Arial"/>
                <w:sz w:val="20"/>
                <w:szCs w:val="20"/>
                <w:b w:val="1"/>
                <w:bCs w:val="1"/>
                <w:color w:val="auto"/>
                <w:w w:val="98"/>
                <w:vertAlign w:val="superscript"/>
              </w:rPr>
              <w:t>(1)</w:t>
            </w:r>
          </w:p>
        </w:tc>
        <w:tc>
          <w:tcPr>
            <w:tcW w:w="56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Principal Balance</w:t>
            </w:r>
          </w:p>
        </w:tc>
        <w:tc>
          <w:tcPr>
            <w:tcW w:w="120" w:type="dxa"/>
            <w:vAlign w:val="bottom"/>
            <w:tcBorders>
              <w:bottom w:val="single" w:sz="8" w:color="CCEEFF"/>
            </w:tcBorders>
          </w:tcPr>
          <w:p>
            <w:pPr>
              <w:spacing w:after="0"/>
              <w:rPr>
                <w:sz w:val="15"/>
                <w:szCs w:val="15"/>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4"/>
              </w:rPr>
              <w:t>September 1, 2020</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March 29, 2011</w:t>
            </w:r>
          </w:p>
        </w:tc>
        <w:tc>
          <w:tcPr>
            <w:tcW w:w="2140" w:type="dxa"/>
            <w:vAlign w:val="bottom"/>
            <w:gridSpan w:val="3"/>
          </w:tcPr>
          <w:p>
            <w:pPr>
              <w:ind w:left="340"/>
              <w:spacing w:after="0"/>
              <w:rPr>
                <w:sz w:val="20"/>
                <w:szCs w:val="20"/>
                <w:color w:val="auto"/>
              </w:rPr>
            </w:pPr>
            <w:r>
              <w:rPr>
                <w:rFonts w:ascii="Arial" w:cs="Arial" w:eastAsia="Arial" w:hAnsi="Arial"/>
                <w:sz w:val="18"/>
                <w:szCs w:val="18"/>
                <w:color w:val="auto"/>
              </w:rPr>
              <w:t>March 1, 2021</w:t>
            </w:r>
          </w:p>
        </w:tc>
        <w:tc>
          <w:tcPr>
            <w:tcW w:w="1040" w:type="dxa"/>
            <w:vAlign w:val="bottom"/>
          </w:tcPr>
          <w:p>
            <w:pPr>
              <w:ind w:left="740"/>
              <w:spacing w:after="0"/>
              <w:rPr>
                <w:sz w:val="20"/>
                <w:szCs w:val="20"/>
                <w:color w:val="auto"/>
              </w:rPr>
            </w:pPr>
            <w:r>
              <w:rPr>
                <w:rFonts w:ascii="Arial" w:cs="Arial" w:eastAsia="Arial" w:hAnsi="Arial"/>
                <w:sz w:val="18"/>
                <w:szCs w:val="18"/>
                <w:color w:val="auto"/>
                <w:w w:val="79"/>
              </w:rPr>
              <w:t>4.46</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44,500,000</w:t>
            </w:r>
          </w:p>
        </w:tc>
        <w:tc>
          <w:tcPr>
            <w:tcW w:w="12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1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September 1, 2021</w:t>
            </w:r>
          </w:p>
        </w:tc>
        <w:tc>
          <w:tcPr>
            <w:tcW w:w="10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3.38</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105,000,000</w:t>
            </w:r>
          </w:p>
        </w:tc>
        <w:tc>
          <w:tcPr>
            <w:tcW w:w="120" w:type="dxa"/>
            <w:vAlign w:val="bottom"/>
            <w:shd w:val="clear" w:color="auto" w:fill="CCEEFF"/>
          </w:tcPr>
          <w:p>
            <w:pPr>
              <w:spacing w:after="0"/>
              <w:rPr>
                <w:sz w:val="18"/>
                <w:szCs w:val="18"/>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Weighted average rate / Total</w:t>
            </w: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gridSpan w:val="2"/>
          </w:tcPr>
          <w:p>
            <w:pPr>
              <w:ind w:left="740"/>
              <w:spacing w:after="0"/>
              <w:rPr>
                <w:sz w:val="20"/>
                <w:szCs w:val="20"/>
                <w:color w:val="auto"/>
              </w:rPr>
            </w:pPr>
            <w:r>
              <w:rPr>
                <w:rFonts w:ascii="Arial" w:cs="Arial" w:eastAsia="Arial" w:hAnsi="Arial"/>
                <w:sz w:val="18"/>
                <w:szCs w:val="18"/>
                <w:color w:val="auto"/>
              </w:rPr>
              <w:t>3.70%</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150,000,000</w:t>
            </w:r>
          </w:p>
        </w:tc>
        <w:tc>
          <w:tcPr>
            <w:tcW w:w="12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3.43% of upfront fees.</w:t>
      </w:r>
    </w:p>
    <w:p>
      <w:pPr>
        <w:spacing w:after="0" w:line="171"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 As of September 30, 2012, SBIC LP was in compliance with all SBA regulatory requirements.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asset coverage ratio.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operating activities used cash of $115.3 million for the fiscal year ended September 30, 2012, and our financing activities provided cash proceeds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$51.3 million for the same period. Our operating activities used cash primarily for investing that was provided primarily from proceeds from our follow-on public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offerings of common stock.</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operating activities used cash of $137.8 million for the fiscal year ended September 30, 2011, and our financing activities provided cash proceeds of $207.6 million for the same period. Our operating activities used cash primarily for investing that was provided primarily from proceeds from our follow-on public offering of common stock and draws under our Credit Facility and SBA debentures.</w:t>
      </w:r>
    </w:p>
    <w:p>
      <w:pPr>
        <w:spacing w:after="0" w:line="14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Our operating activities used cash of $127.1 million for the fiscal year ended September 30, 2010, and our financing activities provided cash proceeds of $95.6 million for the same period, primarily from proceeds from a follow-on public offerings of common stock. Our operating activities used cash primarily for investing that was provided from proceeds from secondary public offerings and draws under our Credit Facility.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as of September 30, 2012 including, borrowings under our multi-currency Credit Facility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18"/>
              <w:spacing w:after="0"/>
              <w:rPr>
                <w:sz w:val="20"/>
                <w:szCs w:val="20"/>
                <w:color w:val="auto"/>
              </w:rPr>
            </w:pPr>
            <w:r>
              <w:rPr>
                <w:rFonts w:ascii="Arial" w:cs="Arial" w:eastAsia="Arial" w:hAnsi="Arial"/>
                <w:sz w:val="14"/>
                <w:szCs w:val="14"/>
                <w:b w:val="1"/>
                <w:bCs w:val="1"/>
                <w:color w:val="auto"/>
                <w:w w:val="91"/>
              </w:rPr>
              <w:t>Payments due by period (in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2"/>
              </w:rPr>
              <w:t>Less than</w:t>
            </w:r>
          </w:p>
        </w:tc>
        <w:tc>
          <w:tcPr>
            <w:tcW w:w="900" w:type="dxa"/>
            <w:vAlign w:val="bottom"/>
            <w:gridSpan w:val="2"/>
          </w:tcPr>
          <w:p>
            <w:pPr>
              <w:jc w:val="right"/>
              <w:ind w:right="16"/>
              <w:spacing w:after="0" w:line="129" w:lineRule="exact"/>
              <w:rPr>
                <w:sz w:val="20"/>
                <w:szCs w:val="20"/>
                <w:color w:val="auto"/>
              </w:rPr>
            </w:pPr>
            <w:r>
              <w:rPr>
                <w:rFonts w:ascii="Arial" w:cs="Arial" w:eastAsia="Arial" w:hAnsi="Arial"/>
                <w:sz w:val="14"/>
                <w:szCs w:val="14"/>
                <w:b w:val="1"/>
                <w:bCs w:val="1"/>
                <w:color w:val="auto"/>
              </w:rPr>
              <w:t>1-3</w:t>
            </w:r>
          </w:p>
        </w:tc>
        <w:tc>
          <w:tcPr>
            <w:tcW w:w="500" w:type="dxa"/>
            <w:vAlign w:val="bottom"/>
          </w:tcPr>
          <w:p>
            <w:pPr>
              <w:spacing w:after="0"/>
              <w:rPr>
                <w:sz w:val="11"/>
                <w:szCs w:val="11"/>
                <w:color w:val="auto"/>
              </w:rPr>
            </w:pPr>
          </w:p>
        </w:tc>
        <w:tc>
          <w:tcPr>
            <w:tcW w:w="50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2"/>
              </w:rPr>
              <w:t>years</w:t>
            </w:r>
          </w:p>
        </w:tc>
        <w:tc>
          <w:tcPr>
            <w:tcW w:w="500" w:type="dxa"/>
            <w:vAlign w:val="bottom"/>
          </w:tcPr>
          <w:p>
            <w:pPr>
              <w:jc w:val="right"/>
              <w:ind w:right="18"/>
              <w:spacing w:after="0"/>
              <w:rPr>
                <w:sz w:val="20"/>
                <w:szCs w:val="20"/>
                <w:color w:val="auto"/>
              </w:rPr>
            </w:pPr>
            <w:r>
              <w:rPr>
                <w:rFonts w:ascii="Arial" w:cs="Arial" w:eastAsia="Arial" w:hAnsi="Arial"/>
                <w:sz w:val="14"/>
                <w:szCs w:val="14"/>
                <w:b w:val="1"/>
                <w:bCs w:val="1"/>
                <w:color w:val="auto"/>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SBA debentures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1"/>
                <w:szCs w:val="11"/>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(2)</w:t>
            </w:r>
          </w:p>
        </w:tc>
        <w:tc>
          <w:tcPr>
            <w:tcW w:w="500" w:type="dxa"/>
            <w:vAlign w:val="bottom"/>
          </w:tcPr>
          <w:p>
            <w:pPr>
              <w:jc w:val="right"/>
              <w:spacing w:after="0"/>
              <w:rPr>
                <w:sz w:val="20"/>
                <w:szCs w:val="20"/>
                <w:color w:val="auto"/>
              </w:rPr>
            </w:pPr>
            <w:r>
              <w:rPr>
                <w:rFonts w:ascii="Arial" w:cs="Arial" w:eastAsia="Arial" w:hAnsi="Arial"/>
                <w:sz w:val="18"/>
                <w:szCs w:val="18"/>
                <w:color w:val="auto"/>
              </w:rPr>
              <w:t>26.9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26.3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$321.9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8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September 30, 2012 was 3.60% exclusive of the fee on the undrawn commitment of 0.50% on the Credit Facility and 3.43% of upfront fees on SBIC LP’s SBA debentures.</w:t>
      </w: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Unfunded debt investments described in the Consolidated Statement of Assets and Liabilities represent unfunded delayed draws on investments.</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2012, PennantPark Investment Advisers serves as our Investment Adviser in accordance with the terms of that Investment Management Agreement. PennantPark Investment, through the Investment Adviser, provides similar services to SBIC LP under its investment management agreement with us. The SBIC LP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gross assets and (2) an incentive fee based on our performance.</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our Administration Agreement, which was renewed in February 2012, PennantPark Investment Administration furnishes us with office facilities and administrative services necessary to conduct our day-to-day operations. PennantPark Investment, through the Administrator, provides similar services to SBIC LP under its administration agreement, which is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Distributions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net short-term capital losses), if any, at least annually, out of the assets legally available for such distributions, we may retain such net capital gains or ordinary income to provide us with additional liquidity. For the fiscal years ended September 30, 2012, 2011, and 2010, we elected to retain a portion of our calendar year income and incurred an excise tax of approximately $0.3 million, $0.2 million and $0.1 million, respectively.</w:t>
      </w:r>
    </w:p>
    <w:p>
      <w:pPr>
        <w:spacing w:after="0" w:line="12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During the fiscal year ended September 30, 2012, 2011 and 2010, we declared dividends of $1.12, $1.07 and $1.03 per share, respectively, for total dividends of $60.1 million, $46.3 million and $32.3 million, respectively. We monitor available net investment income to determine if a return of capital for taxation purposes may occur for the taxable year. To the extent our taxable earnings fall below the total amount of our distributions for any given taxable year, a portion of those distributions may be deemed to be a return of capital to our common stockholders. Tax characteristics of all distributions will be reported to stockholders on Form 1099-DIV after the end of the calendar year.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make quarterly dividends to our stockholders. Our quarterly dividends, if any, are determined by our board of directors.</w:t>
      </w:r>
    </w:p>
    <w:p>
      <w:pPr>
        <w:spacing w:after="0" w:line="19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October 25, 2012, we sold an additional 700,000 shares of common stock at a public offering price of $10.82 per share generating gross proceeds of approximately $7.6 million and net proceeds of approximately $7.3 million after underwriting discounts and offering expenses payable by us, from the underwriters’ partial exercise of the option to purchase additional shares we granted to them in connection with the offering of 9,000,000 shares of common stock that closed on September 28, 2012.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Biographical Information of Independent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May 2012, Mr. Marshall Brozost became a partner at Schulte Roth &amp; Zabel LLP, where he practices in the real estate and private equity groups.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2012, our debt portfolio consisted of 69% fixed- rate and 31% variable-rate investments (including 26%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we benefit from market rates above any such floor. In contrast, our cost of funds, to the extent it is not fixed, will fluctuate with changes in interest rates.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Assuming that the most recent statement of assets and liabilities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net increase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Report, we did not engage in interest rate hedging activities.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Information about our senior securities is shown in the following table as of September 30, 2012, 2011, 2010, 2009, and 2008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78"/>
              </w:rPr>
              <w:t>Asset</w:t>
            </w:r>
          </w:p>
        </w:tc>
        <w:tc>
          <w:tcPr>
            <w:tcW w:w="16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Involuntary</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Average</w:t>
            </w:r>
          </w:p>
        </w:tc>
      </w:tr>
      <w:tr>
        <w:trPr>
          <w:trHeight w:val="134"/>
        </w:trPr>
        <w:tc>
          <w:tcPr>
            <w:tcW w:w="94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10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6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Market</w:t>
            </w:r>
          </w:p>
        </w:tc>
      </w:tr>
      <w:tr>
        <w:trPr>
          <w:trHeight w:val="149"/>
        </w:trPr>
        <w:tc>
          <w:tcPr>
            <w:tcW w:w="9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82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100" w:type="dxa"/>
            <w:vAlign w:val="bottom"/>
          </w:tcPr>
          <w:p>
            <w:pPr>
              <w:spacing w:after="0"/>
              <w:rPr>
                <w:sz w:val="12"/>
                <w:szCs w:val="12"/>
                <w:color w:val="auto"/>
              </w:rPr>
            </w:pPr>
          </w:p>
        </w:tc>
        <w:tc>
          <w:tcPr>
            <w:tcW w:w="1620" w:type="dxa"/>
            <w:vAlign w:val="bottom"/>
            <w:gridSpan w:val="2"/>
          </w:tcPr>
          <w:p>
            <w:pPr>
              <w:jc w:val="center"/>
              <w:ind w:right="1000"/>
              <w:spacing w:after="0" w:line="149" w:lineRule="exact"/>
              <w:rPr>
                <w:sz w:val="20"/>
                <w:szCs w:val="20"/>
                <w:color w:val="auto"/>
              </w:rPr>
            </w:pPr>
            <w:r>
              <w:rPr>
                <w:rFonts w:ascii="Arial" w:cs="Arial" w:eastAsia="Arial" w:hAnsi="Arial"/>
                <w:sz w:val="11"/>
                <w:szCs w:val="11"/>
                <w:b w:val="1"/>
                <w:bCs w:val="1"/>
                <w:color w:val="auto"/>
              </w:rPr>
              <w:t>per Unit</w:t>
            </w:r>
            <w:r>
              <w:rPr>
                <w:rFonts w:ascii="Arial" w:cs="Arial" w:eastAsia="Arial" w:hAnsi="Arial"/>
                <w:sz w:val="17"/>
                <w:szCs w:val="17"/>
                <w:b w:val="1"/>
                <w:bCs w:val="1"/>
                <w:color w:val="auto"/>
                <w:vertAlign w:val="superscript"/>
              </w:rPr>
              <w:t>(2)</w:t>
            </w:r>
          </w:p>
        </w:tc>
        <w:tc>
          <w:tcPr>
            <w:tcW w:w="16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5"/>
              </w:rPr>
              <w:t>Preference</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Value Per</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3700" w:type="dxa"/>
            <w:vAlign w:val="bottom"/>
          </w:tcPr>
          <w:p>
            <w:pPr>
              <w:spacing w:after="0"/>
              <w:rPr>
                <w:sz w:val="15"/>
                <w:szCs w:val="15"/>
                <w:color w:val="auto"/>
              </w:rPr>
            </w:pPr>
          </w:p>
        </w:tc>
        <w:tc>
          <w:tcPr>
            <w:tcW w:w="1820" w:type="dxa"/>
            <w:vAlign w:val="bottom"/>
            <w:gridSpan w:val="3"/>
          </w:tcPr>
          <w:p>
            <w:pPr>
              <w:jc w:val="center"/>
              <w:ind w:right="880"/>
              <w:spacing w:after="0" w:line="162"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8"/>
                <w:szCs w:val="18"/>
                <w:b w:val="1"/>
                <w:bCs w:val="1"/>
                <w:color w:val="auto"/>
                <w:vertAlign w:val="superscript"/>
              </w:rPr>
              <w:t>(1)</w:t>
            </w:r>
          </w:p>
        </w:tc>
        <w:tc>
          <w:tcPr>
            <w:tcW w:w="172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9"/>
              </w:rPr>
              <w:t>(unaudited)</w:t>
            </w:r>
          </w:p>
        </w:tc>
        <w:tc>
          <w:tcPr>
            <w:tcW w:w="1660" w:type="dxa"/>
            <w:vAlign w:val="bottom"/>
            <w:gridSpan w:val="2"/>
          </w:tcPr>
          <w:p>
            <w:pPr>
              <w:jc w:val="center"/>
              <w:ind w:right="880"/>
              <w:spacing w:after="0" w:line="162" w:lineRule="exact"/>
              <w:rPr>
                <w:sz w:val="20"/>
                <w:szCs w:val="20"/>
                <w:color w:val="auto"/>
              </w:rPr>
            </w:pPr>
            <w:r>
              <w:rPr>
                <w:rFonts w:ascii="Arial" w:cs="Arial" w:eastAsia="Arial" w:hAnsi="Arial"/>
                <w:sz w:val="12"/>
                <w:szCs w:val="12"/>
                <w:b w:val="1"/>
                <w:bCs w:val="1"/>
                <w:color w:val="auto"/>
              </w:rPr>
              <w:t>Per Unit</w:t>
            </w:r>
            <w:r>
              <w:rPr>
                <w:rFonts w:ascii="Arial" w:cs="Arial" w:eastAsia="Arial" w:hAnsi="Arial"/>
                <w:sz w:val="18"/>
                <w:szCs w:val="18"/>
                <w:b w:val="1"/>
                <w:bCs w:val="1"/>
                <w:color w:val="auto"/>
                <w:vertAlign w:val="superscript"/>
              </w:rPr>
              <w:t>(3)</w:t>
            </w:r>
          </w:p>
        </w:tc>
        <w:tc>
          <w:tcPr>
            <w:tcW w:w="66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rPr>
              <w:t>Unit</w:t>
            </w:r>
            <w:r>
              <w:rPr>
                <w:rFonts w:ascii="Arial" w:cs="Arial" w:eastAsia="Arial" w:hAnsi="Arial"/>
                <w:sz w:val="18"/>
                <w:szCs w:val="18"/>
                <w:b w:val="1"/>
                <w:bCs w:val="1"/>
                <w:color w:val="auto"/>
                <w:vertAlign w:val="superscript"/>
              </w:rPr>
              <w:t>(4)</w:t>
            </w:r>
          </w:p>
        </w:tc>
      </w:tr>
      <w:tr>
        <w:trPr>
          <w:trHeight w:val="190"/>
        </w:trPr>
        <w:tc>
          <w:tcPr>
            <w:tcW w:w="4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and SBA debentures</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Fiscal 2012</w:t>
            </w:r>
            <w:r>
              <w:rPr>
                <w:rFonts w:ascii="Arial" w:cs="Arial" w:eastAsia="Arial" w:hAnsi="Arial"/>
                <w:sz w:val="11"/>
                <w:szCs w:val="11"/>
                <w:color w:val="auto"/>
              </w:rPr>
              <w:t>(5)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145,000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5,615</w:t>
            </w: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r>
              <w:rPr>
                <w:rFonts w:ascii="Arial" w:cs="Arial" w:eastAsia="Arial" w:hAnsi="Arial"/>
                <w:sz w:val="11"/>
                <w:szCs w:val="11"/>
                <w:color w:val="auto"/>
              </w:rPr>
              <w:t>(5)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240,900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2,912</w:t>
            </w: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Fiscal 2010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247,600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2,505</w:t>
            </w: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225,100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2,115</w:t>
            </w: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Fiscal 2008</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880"/>
              <w:spacing w:after="0"/>
              <w:rPr>
                <w:sz w:val="20"/>
                <w:szCs w:val="20"/>
                <w:color w:val="auto"/>
              </w:rPr>
            </w:pPr>
            <w:r>
              <w:rPr>
                <w:rFonts w:ascii="Arial" w:cs="Arial" w:eastAsia="Arial" w:hAnsi="Arial"/>
                <w:sz w:val="18"/>
                <w:szCs w:val="18"/>
                <w:color w:val="auto"/>
              </w:rPr>
              <w:t>202,000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2,043</w:t>
            </w: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asset coverage per unit computation pursuant to an exemptive relief letter provided by the SEC on June 1, 2011.</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177"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following discussion is a general summary of certain United States, or U.S., federal income tax considerations (and, in the case of a non-U.S. holder (as defined below), certain United States federal estate tax consequences) applicable to the ownership and disposition of the Notes. This summary does not purport to be a complete description of the income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You should consult your own tax advisor with respect to tax considerations that pertain to your ownership and disposition of our Notes.</w:t>
      </w:r>
    </w:p>
    <w:p>
      <w:pPr>
        <w:spacing w:after="0" w:line="10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United States federal income tax purposes, retirement plans, individual retirement accounts, tax-deferred accounts, persons subject to the alternative minimum tax, pass-through entities (including partnerships and entities and arrangements classified as partnerships for United States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United States federal tax laws to you in light of your particular situation, as well as any consequences to you of purchasing, owning and disposing of the Notes under the laws of any other taxing jurisdiction.</w:t>
      </w:r>
    </w:p>
    <w:p>
      <w:pPr>
        <w:spacing w:after="0" w:line="12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purposes of this discussion, the term “U.S. holder” means a beneficial owner of a Note that is, for United States federal income tax purposes, (i) an individual who is a citizen or resident of the United States, (ii) a corporation or other entity treated as a corporation for United States federal income tax purposes, created or organized in or under the laws of the United States or of any political subdivision thereof, (iii) a trust (a) subject to the control of one or more United States persons and the primary supervision of a court in the United States, or (b) that has a valid election (under applicable Treasury Regulations) to be treated as a United States person for U.S. federal income tax purposes, or (iv) an estate the income of which is subject to United States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United States for U.S. federal income tax purposes,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United States federal income tax as if they were United States citizens.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 partnership (including an entity or arrangement treated as a partnership for U.S. federal income tax purposes) holds any Notes, the United States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Note Holders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u w:val="single" w:color="auto"/>
          <w:color w:val="auto"/>
        </w:rPr>
        <w:t>Taxation of U.S.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or accruals of interest on a Note generally will be taxable to a U.S. holder as ordinary interest income at the time they</w:t>
      </w:r>
      <w:r>
        <w:rPr>
          <w:rFonts w:ascii="Arial" w:cs="Arial" w:eastAsia="Arial" w:hAnsi="Arial"/>
          <w:sz w:val="16"/>
          <w:szCs w:val="16"/>
          <w:i w:val="1"/>
          <w:iCs w:val="1"/>
          <w:color w:val="auto"/>
        </w:rPr>
        <w:t xml:space="preserve"> </w:t>
      </w:r>
      <w:r>
        <w:rPr>
          <w:rFonts w:ascii="Arial" w:cs="Arial" w:eastAsia="Arial" w:hAnsi="Arial"/>
          <w:sz w:val="16"/>
          <w:szCs w:val="16"/>
          <w:color w:val="auto"/>
        </w:rPr>
        <w:t>are received (actually or constructively) or accrued, in accordance with the U.S. holder’s regular method of tax accounting. In general, if the terms of a debt instrument entitle a holder to receive payments (other than fixed periodic interest) that exceed the issue price of the instrument by more than a statutory de minimis amount, the holder will be required to recognize additional interest as “original issue discount” over the term of the instrument, irrespective of the holder’s regular method of tax accounting. We expect that the Notes will not be issued with original issue discount for U.S. federal income tax purposes.</w:t>
      </w:r>
    </w:p>
    <w:p>
      <w:pPr>
        <w:spacing w:after="0" w:line="116"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5"/>
          <w:szCs w:val="15"/>
          <w:color w:val="auto"/>
        </w:rPr>
        <w:t>Upon the sale, exchange, redemption or retirement of a Note, a U.S. holder generally will recognize capital gain or loss equal to the difference between the amount realized on the sale, exchange, redemption or retirement (excluding any amounts representing accrued and unpaid interest, which are treated as ordinary income) and the U.S. holder’s tax basis in the Note. A U.S. holder’s tax basis in a Note generally will equal the amount of the U.S. holder’s initial investment in the Note. Capital gain or loss generally will be long-term capital gain or loss if the Note was held for more than one year. Long-term capital gains recognized by individuals and certain other non-corporate U.S. holders generally are eligible for reduced rates of taxation. Currently, a rate of either 15% or 20%, depending on whether the U.S. holder’s income exceeds certain threshold amounts. The distinction between capital gain or loss and ordinary income or loss is also important in other contexts, such as, for example, for purposes of the limitations on a U.S. holder’s ability to offset capital losses against ordinary income.</w:t>
      </w:r>
    </w:p>
    <w:p>
      <w:pPr>
        <w:spacing w:after="0" w:line="10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Newly enacted legislation generally requires certain non-corporate U.S. holders to pay a 3.8% Medicare tax on, among other things, interest on and capital gains from the sale, exchange, redemption or retirement of the Notes. This legislation applies for taxable years beginning after December 31, 2012. U.S. holders should consult their own tax advisors regarding the effect, if any, of this legislation on their ownership and disposition of the Notes.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u w:val="single" w:color="auto"/>
          <w:color w:val="auto"/>
        </w:rPr>
        <w:t>Taxation of Non-U.S. Holders</w:t>
      </w:r>
      <w:r>
        <w:rPr>
          <w:rFonts w:ascii="Arial" w:cs="Arial" w:eastAsia="Arial" w:hAnsi="Arial"/>
          <w:sz w:val="16"/>
          <w:szCs w:val="16"/>
          <w:color w:val="auto"/>
        </w:rPr>
        <w:t>. A non-U.S. holder generally will not be subject to United States federal income or withholding taxes on payments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or interest on a Note provided that in the case of interest on a Note (i) the interest is not effectively connected with the conduct by the non-U.S. holder of a trade or business within the United States,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Internal Revenue Service, or IRS, Form W-8BEN (or other applicable form) signed under penalties of perjury that includes its name and address and certifies that it is not a United States person in compliance with applicable requirements, or satisfies documentary evidence requirements for establishing that it is a non-U.S. holder.</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 non-U.S. holder that is not exempt from tax under these rules generally will be subject to withholding of United States federal income tax on payments of interest on the Notes at a rate of 30% unless (i) the interest is effectively connected with the conduct of a United States trade or business, in which case the interest will be subject to United States federal income tax on a net income basis as applicable to U.S. holders generally (unless an applicable income tax treaty provides otherwise), or (ii) an applicable income tax treaty provides for a lower rate of, or exemption from, this withholding. In the case of a non-U.S. holder that is a corporation for U.S. federal income tax purposes and that receives income that is effectively connected with the conduct of a United States trade or business, such income may also be subject to a branch profits tax (which is generally imposed on a non-U.S. corporation on the actual or deemed repatriation from the United States of earnings and profits attributable to a United States trade or business) at a 30% rate. The branch profits tax may not apply (or may apply at a reduced rate) if the non-U.S. holder is a qualified resident of a country with which the United States has an income tax treaty.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To claim the benefit of an income tax treaty or to claim exemption from withholding because interest is effectively connected with a United States trade or business, the non-U.S. holder must timely provide the appropriate, properly executed IRS forms to the applicable withholding agent.</w:t>
      </w:r>
    </w:p>
    <w:p>
      <w:pPr>
        <w:spacing w:after="0" w:line="85"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Generally, a non-U.S. holder will not be subject to United States federal income or withholding taxes on any amount that constitutes capital gain upon the sale, exchange, redemption or retirement of a Note, provided the gain is not effectively connected with the conduct of a trade or business in the United States by the non-U.S. holder (and, if required by an applicable income tax treaty, is not attributable to a United States “permanent establishment” maintained by the non-U.S. holder). Certain other exceptions may be applicable, and a non-U.S. holder should consult its tax advisor in this regard.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Note that is held by an individual who, at the time of death, is not a citizen or resident of the United States (as specially defined for United States federal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estate tax purposes) generally will not be subject to the United States federal estate tax, unless, at the time of death, (i) such individual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actually or constructively, owns ten percent or more of the total combined voting power of all classes of our stock entitled to vote within the meaning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871(h)(3) of the Code and the Treasury Regulations thereunder or (ii) such individual’s interest in the Notes is effectively connected with the individual’s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conduct of a United States trade or business.</w:t>
      </w:r>
    </w:p>
    <w:p>
      <w:pPr>
        <w:spacing w:after="0" w:line="16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u w:val="single" w:color="auto"/>
          <w:color w:val="auto"/>
        </w:rPr>
        <w:t>Information Reporting and Backup Withholding</w:t>
      </w:r>
      <w:r>
        <w:rPr>
          <w:rFonts w:ascii="Arial" w:cs="Arial" w:eastAsia="Arial" w:hAnsi="Arial"/>
          <w:sz w:val="16"/>
          <w:szCs w:val="16"/>
          <w:color w:val="auto"/>
        </w:rPr>
        <w:t>. A U.S. holder (other than an “exempt recipient,” including a corporation and certain other persons who,</w:t>
      </w:r>
      <w:r>
        <w:rPr>
          <w:rFonts w:ascii="Arial" w:cs="Arial" w:eastAsia="Arial" w:hAnsi="Arial"/>
          <w:sz w:val="16"/>
          <w:szCs w:val="16"/>
          <w:i w:val="1"/>
          <w:iCs w:val="1"/>
          <w:color w:val="auto"/>
        </w:rPr>
        <w:t xml:space="preserve"> </w:t>
      </w:r>
      <w:r>
        <w:rPr>
          <w:rFonts w:ascii="Arial" w:cs="Arial" w:eastAsia="Arial" w:hAnsi="Arial"/>
          <w:sz w:val="16"/>
          <w:szCs w:val="16"/>
          <w:color w:val="auto"/>
        </w:rPr>
        <w:t>when required, demonstrate their exempt status) may be subject to backup withholding at a rate of 28%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United States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spacing w:after="0" w:line="12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u w:val="single" w:color="auto"/>
          <w:color w:val="auto"/>
        </w:rPr>
        <w:t>FATCA Withholding on Payments to Certain Foreign Entities</w:t>
      </w:r>
      <w:r>
        <w:rPr>
          <w:rFonts w:ascii="Arial" w:cs="Arial" w:eastAsia="Arial" w:hAnsi="Arial"/>
          <w:sz w:val="18"/>
          <w:szCs w:val="18"/>
          <w:color w:val="auto"/>
        </w:rPr>
        <w:t>. Sections 1471 through 1474 of the Code (provisions commonly referred to as “FATCA”)</w:t>
      </w:r>
      <w:r>
        <w:rPr>
          <w:rFonts w:ascii="Arial" w:cs="Arial" w:eastAsia="Arial" w:hAnsi="Arial"/>
          <w:sz w:val="18"/>
          <w:szCs w:val="18"/>
          <w:i w:val="1"/>
          <w:iCs w:val="1"/>
          <w:color w:val="auto"/>
        </w:rPr>
        <w:t xml:space="preserve"> </w:t>
      </w:r>
      <w:r>
        <w:rPr>
          <w:rFonts w:ascii="Arial" w:cs="Arial" w:eastAsia="Arial" w:hAnsi="Arial"/>
          <w:sz w:val="18"/>
          <w:szCs w:val="18"/>
          <w:color w:val="auto"/>
        </w:rPr>
        <w:t>impose a 30% withholding tax on payments of U.S. source interest, and gross proceeds from the sale, redemption, retirement or other disposition of obligations that give rise to U.S. source interest payments, in each case to a foreign financial institution (for example, a clearing system, custodian, nominee or broker) or to a non-financial foreign entity, including such an institution or entity acting as an intermediary, unless (a) the foreign financial institution enters into an agreement with the U.S. Treasury under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which it agrees to (i) collect and report to the IRS information regarding such institution’s U.S. “account holders”(which include certain equity and debt holders of such institution, as well as certain account holders that are foreign entities with U.S. owners) and (ii) to withhold on payments to “nonparticipating foreign financial institutions” and certain account holders that do not provide required information, (b) the non-financial foreign entity provides a certification or information relating to its 10% or greater U.S. owners, or (c) the foreign financial institution or non-financial foreign entity otherwise qualifies for an exemption from these rules. Depending on your circumstances, you may be entitled to a refund or credit in respect of some or all of this withholding. However, the refund application process has not yet been finalized.</w:t>
      </w:r>
    </w:p>
    <w:p>
      <w:pPr>
        <w:spacing w:after="0" w:line="144"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Pursuant to administrative guidance issued by the IRS and the U.S. Treasury, FATCA withholding generally will only apply to interest payments made on or after January 1, 2014, and to payments of gross proceeds from a disposition made on or after January 1, 2017. Moreover, proposed U.S. Treasury Regulations state that FATCA withholding will generally apply to notes that are issued on or after January 1, 2013, although the final U.S. Treasury Regulations, when issued, may extend this grandfathering date.</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FATCA is complex and its application to the Notes is uncertain at this time. Each prospective purchaser should consult its own tax advisor regarding FATCA and how it may affect such investor in its particular circumstances.</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We intend to offer the Notes through the underwriters named in the table below. Stifel, Nicolaus &amp; Company, Incorporated and RBC Capital Markets, LLC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aggregate principal amount of Notes set forth opposite the underwriter’s name.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9080" w:type="dxa"/>
            <w:vAlign w:val="bottom"/>
          </w:tcPr>
          <w:p>
            <w:pPr>
              <w:jc w:val="center"/>
              <w:ind w:left="8412"/>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9080" w:type="dxa"/>
            <w:vAlign w:val="bottom"/>
          </w:tcPr>
          <w:p>
            <w:pPr>
              <w:jc w:val="center"/>
              <w:ind w:left="8412"/>
              <w:spacing w:after="0" w:line="149" w:lineRule="exact"/>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9"/>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95"/>
              </w:rPr>
              <w:t>Underwriter Names</w:t>
            </w:r>
          </w:p>
        </w:tc>
        <w:tc>
          <w:tcPr>
            <w:tcW w:w="9080" w:type="dxa"/>
            <w:vAlign w:val="bottom"/>
          </w:tcPr>
          <w:p>
            <w:pPr>
              <w:jc w:val="center"/>
              <w:ind w:left="8412"/>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53"/>
        </w:trPr>
        <w:tc>
          <w:tcPr>
            <w:tcW w:w="1240" w:type="dxa"/>
            <w:vAlign w:val="bottom"/>
            <w:tcBorders>
              <w:bottom w:val="single" w:sz="8" w:color="auto"/>
            </w:tcBorders>
            <w:vMerge w:val="continue"/>
          </w:tcPr>
          <w:p>
            <w:pPr>
              <w:spacing w:after="0"/>
              <w:rPr>
                <w:sz w:val="12"/>
                <w:szCs w:val="12"/>
                <w:color w:val="auto"/>
              </w:rPr>
            </w:pPr>
          </w:p>
        </w:tc>
        <w:tc>
          <w:tcPr>
            <w:tcW w:w="9080" w:type="dxa"/>
            <w:vAlign w:val="bottom"/>
          </w:tcPr>
          <w:p>
            <w:pPr>
              <w:jc w:val="center"/>
              <w:ind w:left="8412"/>
              <w:spacing w:after="0" w:line="148" w:lineRule="exact"/>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6351270</wp:posOffset>
            </wp:positionH>
            <wp:positionV relativeFrom="paragraph">
              <wp:posOffset>0</wp:posOffset>
            </wp:positionV>
            <wp:extent cx="6089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Stifel, Nicolaus &amp; Company, Incorporated</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W. Baird &amp; Co. Incorporated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Janney Montgomery Scott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Ladenburg Thalmann &amp; Co.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Stephens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Sterne, Agee &amp; Leach,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6351270</wp:posOffset>
            </wp:positionH>
            <wp:positionV relativeFrom="paragraph">
              <wp:posOffset>6985</wp:posOffset>
            </wp:positionV>
            <wp:extent cx="6089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6351270</wp:posOffset>
            </wp:positionH>
            <wp:positionV relativeFrom="paragraph">
              <wp:posOffset>10795</wp:posOffset>
            </wp:positionV>
            <wp:extent cx="6089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27940</wp:posOffset>
            </wp:positionV>
            <wp:extent cx="6089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0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underwriting agreement provides that the obligations of the underwriters severally, and not jointly to purchase the Notes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Notes included in this offering, other than those Notes covered by the overallotment option described below, if they purchase any of the Notes. The underwriters reserve the right to withdraw, cancel or modify offers to the public and to reject orders in whole or in part.</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77"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 of the aggregate principal amount of the Notes. The underwriters may allow, and the dealers may reallow, a discount not in excess of % of the aggregate principal amount of the Notes to other dealers. After the public offering, the public offering price, concession and discount may be changed.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per Note and total underwriting discounts and commissions we will pay to the underwriters assuming both no exercise and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40" w:type="dxa"/>
            <w:vAlign w:val="bottom"/>
            <w:gridSpan w:val="3"/>
          </w:tcPr>
          <w:p>
            <w:pPr>
              <w:spacing w:after="0"/>
              <w:rPr>
                <w:sz w:val="20"/>
                <w:szCs w:val="20"/>
                <w:color w:val="auto"/>
              </w:rPr>
            </w:pPr>
            <w:r>
              <w:rPr>
                <w:rFonts w:ascii="Arial" w:cs="Arial" w:eastAsia="Arial" w:hAnsi="Arial"/>
                <w:sz w:val="18"/>
                <w:szCs w:val="18"/>
                <w:color w:val="auto"/>
                <w:w w:val="92"/>
              </w:rPr>
              <w:t>full exercise of the underwriters’ overallotment option to purchase up to an additional $</w:t>
            </w:r>
          </w:p>
        </w:tc>
        <w:tc>
          <w:tcPr>
            <w:tcW w:w="4260" w:type="dxa"/>
            <w:vAlign w:val="bottom"/>
            <w:gridSpan w:val="6"/>
          </w:tcPr>
          <w:p>
            <w:pPr>
              <w:ind w:left="160"/>
              <w:spacing w:after="0"/>
              <w:rPr>
                <w:sz w:val="20"/>
                <w:szCs w:val="20"/>
                <w:color w:val="auto"/>
              </w:rPr>
            </w:pPr>
            <w:r>
              <w:rPr>
                <w:rFonts w:ascii="Arial" w:cs="Arial" w:eastAsia="Arial" w:hAnsi="Arial"/>
                <w:sz w:val="18"/>
                <w:szCs w:val="18"/>
                <w:color w:val="auto"/>
              </w:rPr>
              <w:t>million aggregate principal amount of Notes.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34"/>
        </w:trPr>
        <w:tc>
          <w:tcPr>
            <w:tcW w:w="5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2"/>
              </w:rPr>
              <w:t>Without</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5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Overallotment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gridSpan w:val="2"/>
          </w:tcPr>
          <w:p>
            <w:pPr>
              <w:jc w:val="right"/>
              <w:ind w:right="432"/>
              <w:spacing w:after="0"/>
              <w:rPr>
                <w:sz w:val="20"/>
                <w:szCs w:val="20"/>
                <w:color w:val="auto"/>
              </w:rPr>
            </w:pPr>
            <w:r>
              <w:rPr>
                <w:rFonts w:ascii="Arial" w:cs="Arial" w:eastAsia="Arial" w:hAnsi="Arial"/>
                <w:sz w:val="14"/>
                <w:szCs w:val="14"/>
                <w:b w:val="1"/>
                <w:bCs w:val="1"/>
                <w:color w:val="auto"/>
                <w:w w:val="93"/>
              </w:rPr>
              <w:t>Per Note</w:t>
            </w:r>
          </w:p>
        </w:tc>
        <w:tc>
          <w:tcPr>
            <w:tcW w:w="340" w:type="dxa"/>
            <w:vAlign w:val="bottom"/>
          </w:tcPr>
          <w:p>
            <w:pPr>
              <w:spacing w:after="0"/>
              <w:rPr>
                <w:sz w:val="14"/>
                <w:szCs w:val="14"/>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8"/>
              </w:rPr>
              <w:t>Option</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With Option</w:t>
            </w: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6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87"/>
              </w:rPr>
              <w:t>%</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Underwriting discount</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40" w:type="dxa"/>
            <w:vAlign w:val="bottom"/>
            <w:gridSpan w:val="3"/>
          </w:tcPr>
          <w:p>
            <w:pPr>
              <w:jc w:val="right"/>
              <w:ind w:right="252"/>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Proceeds to PennantPark Investment Corporation (before offering expenses of $</w:t>
            </w:r>
          </w:p>
        </w:tc>
        <w:tc>
          <w:tcPr>
            <w:tcW w:w="5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1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457"/>
        </w:trPr>
        <w:tc>
          <w:tcPr>
            <w:tcW w:w="5140" w:type="dxa"/>
            <w:vAlign w:val="bottom"/>
          </w:tcPr>
          <w:p>
            <w:pPr>
              <w:spacing w:after="0"/>
              <w:rPr>
                <w:sz w:val="20"/>
                <w:szCs w:val="20"/>
                <w:color w:val="auto"/>
              </w:rPr>
            </w:pPr>
            <w:r>
              <w:rPr>
                <w:rFonts w:ascii="Arial" w:cs="Arial" w:eastAsia="Arial" w:hAnsi="Arial"/>
                <w:sz w:val="18"/>
                <w:szCs w:val="18"/>
                <w:b w:val="1"/>
                <w:bCs w:val="1"/>
                <w:color w:val="auto"/>
              </w:rPr>
              <w:t>Overallotment Option</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5140" w:type="dxa"/>
            <w:vAlign w:val="bottom"/>
          </w:tcPr>
          <w:p>
            <w:pPr>
              <w:ind w:left="460"/>
              <w:spacing w:after="0"/>
              <w:rPr>
                <w:sz w:val="20"/>
                <w:szCs w:val="20"/>
                <w:color w:val="auto"/>
              </w:rPr>
            </w:pPr>
            <w:r>
              <w:rPr>
                <w:rFonts w:ascii="Arial" w:cs="Arial" w:eastAsia="Arial" w:hAnsi="Arial"/>
                <w:sz w:val="18"/>
                <w:szCs w:val="18"/>
                <w:color w:val="auto"/>
                <w:w w:val="90"/>
              </w:rPr>
              <w:t>We have granted an option to the underwriters to purchase up to</w:t>
            </w:r>
          </w:p>
        </w:tc>
        <w:tc>
          <w:tcPr>
            <w:tcW w:w="6280" w:type="dxa"/>
            <w:vAlign w:val="bottom"/>
            <w:gridSpan w:val="10"/>
          </w:tcPr>
          <w:p>
            <w:pPr>
              <w:ind w:left="180"/>
              <w:spacing w:after="0"/>
              <w:rPr>
                <w:sz w:val="20"/>
                <w:szCs w:val="20"/>
                <w:color w:val="auto"/>
              </w:rPr>
            </w:pPr>
            <w:r>
              <w:rPr>
                <w:rFonts w:ascii="Arial" w:cs="Arial" w:eastAsia="Arial" w:hAnsi="Arial"/>
                <w:sz w:val="18"/>
                <w:szCs w:val="18"/>
                <w:color w:val="auto"/>
                <w:w w:val="94"/>
              </w:rPr>
              <w:t>million in aggregate principal amount of Notes at the public offering price less the</w:t>
            </w:r>
          </w:p>
        </w:tc>
      </w:tr>
    </w:tbl>
    <w:p>
      <w:pPr>
        <w:jc w:val="both"/>
        <w:ind w:right="340"/>
        <w:spacing w:after="0" w:line="302" w:lineRule="auto"/>
        <w:rPr>
          <w:sz w:val="20"/>
          <w:szCs w:val="20"/>
          <w:color w:val="auto"/>
        </w:rPr>
      </w:pPr>
      <w:r>
        <w:rPr>
          <w:rFonts w:ascii="Arial" w:cs="Arial" w:eastAsia="Arial" w:hAnsi="Arial"/>
          <w:sz w:val="16"/>
          <w:szCs w:val="16"/>
          <w:color w:val="auto"/>
        </w:rPr>
        <w:t>underwriting discount solely to cover any overallotments. The underwriters may exercise this option for 30 days from the date of this prospectus supplement solely to cover any overallotments, if any. If the underwriters exercise this overallotment option, each will be obligated, subject to conditions contained in the underwriting agreement, to purchase the additional Notes approximately proportionate to that underwriter’s initial purchase commitment.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agreed, with exceptions, not to sell or transfer any Notes for 30 days after the date of this prospectus supplement without first obtaining the written consent of Stifel, Nicolaus &amp; Company Incorporated. This lockup provision applies to the Notes and to securities convertible into or exchangeable for the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Notes are a new issue of securities with no established trading market. We intend to list the Notes on the New York Stock Exchange. We expect trading in the Notes on The New York Stock Exchange to begin within 30 days after the original issue date. Currently there is no public market for the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Until the distribution of the Notes is completed, SEC rules may limit the underwriters from bidding for and purchasing the Notes. However, the underwriters may engage in transactions that stabilize the price of the Notes, such as bids or purchases to peg, fix or maintain that price.</w:t>
      </w:r>
    </w:p>
    <w:p>
      <w:pPr>
        <w:spacing w:after="0" w:line="8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If the underwriters create a short position in the Notes in connection with the offering (i.e., if they sell more Notes than are listed on the cover of this prospectus supplement), the underwriters may reduce that short position by purchasing Notes in the open market. The underwriters may also elect to reduce any short position by exercising all or part of the overallotment option as described above. In making this determination, the underwriters will consider, among other things, the price of Notes available for purchase in the open market compared to the price at which the underwriters may purchase Notes through the overallotment option. Purchases of the Notes to stabilize their price or to reduce a short position may cause the price of the Notes to be higher than it might be in the absence of such purchases.</w:t>
      </w:r>
    </w:p>
    <w:p>
      <w:pPr>
        <w:spacing w:after="0" w:line="144"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Neither we nor any of the underwriters make any representation or prediction as to the magnitude of any effect that the transactions described above may have on the price of the Notes. In addition, neither we nor any of the underwriters make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Notes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will be entitled to receive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customary fees and expenses.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6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the ordinary course of their various business activities, the underwriters or their affiliates may also trade in our securities, securities of our portfolio companies or other related financial instruments for their own accounts or for the account of others and may extend loans or financing directly or through derivative transactions to PennantPark Investment or any of the portfolio companies. The underwriters and their respective affiliates may also make investment recommendations and/or publish or express independent research views in respect of such securities or instruments and may at the time hold, or recommend to clients that they acquire, long and/or short positions in such securities and instruments.</w:t>
      </w:r>
    </w:p>
    <w:p>
      <w:pPr>
        <w:spacing w:after="0" w:line="1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Notes. In addition, after the offering period for the sale of our Notes,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 our stockholders.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Affiliates of certain of the underwriters serve as lenders under our Credit Facility and may serve as lenders under any future credit facilities. Some of the underwriters and their affiliates were underwriters in connection with our initial public offerings and follow-on public offering for which they received customary fees. Affiliates of the underwriters may receive part of the proceeds of the offering by reason of the repayment of certain amounts outstanding under our Credit Facility.</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principal business addresses of the underwriters are: Stifel, Nicolaus &amp; Company, Incorporated is 501 N. Broadway, St. Louis, Missouri 63102 and RBC Capital Markets, LLC is Three World Financial Center, 200 Vesey Street, 8th Floor, New York, New York 10281.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Jurisdictions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Notes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 relating to the offering and the distribution of this prospectus supplement. This prospectus supplement and the accompanying prospectus do not constitute an offer to sell or a solicitation of an offer to buy the Notes offered by this prospectus supplement and the accompanying prospectus in any jurisdiction in which such an offer or a solicitation is unlawful.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Fried, Frank, Harris, Shriver &amp; Jacobson LLP, New York, NY.</w:t>
      </w:r>
    </w:p>
    <w:p>
      <w:pPr>
        <w:spacing w:after="0" w:line="9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0880"/>
          </w:cols>
          <w:pgMar w:left="240" w:top="459" w:right="7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160" w:type="dxa"/>
            <w:vAlign w:val="bottom"/>
            <w:gridSpan w:val="7"/>
          </w:tcPr>
          <w:p>
            <w:pPr>
              <w:jc w:val="center"/>
              <w:ind w:right="1980"/>
              <w:spacing w:after="0"/>
              <w:rPr>
                <w:sz w:val="20"/>
                <w:szCs w:val="20"/>
                <w:color w:val="auto"/>
              </w:rPr>
            </w:pPr>
            <w:r>
              <w:rPr>
                <w:rFonts w:ascii="Arial" w:cs="Arial" w:eastAsia="Arial" w:hAnsi="Arial"/>
                <w:sz w:val="18"/>
                <w:szCs w:val="18"/>
                <w:b w:val="1"/>
                <w:bCs w:val="1"/>
                <w:color w:val="auto"/>
                <w:w w:val="99"/>
              </w:rPr>
              <w:t>FINANCIAL STATEMENTS</w:t>
            </w:r>
          </w:p>
        </w:tc>
        <w:tc>
          <w:tcPr>
            <w:tcW w:w="2040" w:type="dxa"/>
            <w:vAlign w:val="bottom"/>
          </w:tcPr>
          <w:p>
            <w:pPr>
              <w:spacing w:after="0"/>
              <w:rPr>
                <w:sz w:val="19"/>
                <w:szCs w:val="19"/>
                <w:color w:val="auto"/>
              </w:rPr>
            </w:pPr>
          </w:p>
        </w:tc>
      </w:tr>
      <w:tr>
        <w:trPr>
          <w:trHeight w:val="380"/>
        </w:trPr>
        <w:tc>
          <w:tcPr>
            <w:tcW w:w="47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Management’s Report on Internal Control over Financial Reporting</w:t>
              </w:r>
            </w:hyperlink>
          </w:p>
        </w:tc>
        <w:tc>
          <w:tcPr>
            <w:tcW w:w="4520" w:type="dxa"/>
            <w:vAlign w:val="bottom"/>
            <w:gridSpan w:val="6"/>
          </w:tcPr>
          <w:p>
            <w:pPr>
              <w:spacing w:after="0"/>
              <w:rPr>
                <w:sz w:val="24"/>
                <w:szCs w:val="24"/>
                <w:color w:val="auto"/>
              </w:rPr>
            </w:pPr>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S-48</w:t>
            </w:r>
          </w:p>
        </w:tc>
      </w:tr>
      <w:tr>
        <w:trPr>
          <w:trHeight w:val="304"/>
        </w:trPr>
        <w:tc>
          <w:tcPr>
            <w:tcW w:w="9280" w:type="dxa"/>
            <w:vAlign w:val="bottom"/>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Report of Independent Registered Public Accounting Firm</w:t>
              </w:r>
            </w:hyperlink>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S-49</w:t>
            </w:r>
          </w:p>
        </w:tc>
      </w:tr>
      <w:tr>
        <w:trPr>
          <w:trHeight w:val="20"/>
        </w:trPr>
        <w:tc>
          <w:tcPr>
            <w:tcW w:w="3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04"/>
        </w:trPr>
        <w:tc>
          <w:tcPr>
            <w:tcW w:w="9280" w:type="dxa"/>
            <w:vAlign w:val="bottom"/>
            <w:gridSpan w:val="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Report of Independent Registered Public Accounting Firm On Internal Control Over Financial Reporting</w:t>
              </w:r>
            </w:hyperlink>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S-50</w:t>
            </w:r>
          </w:p>
        </w:tc>
      </w:tr>
      <w:tr>
        <w:trPr>
          <w:trHeight w:val="304"/>
        </w:trPr>
        <w:tc>
          <w:tcPr>
            <w:tcW w:w="60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54">
              <w:r>
                <w:rPr>
                  <w:rFonts w:ascii="Arial" w:cs="Arial" w:eastAsia="Arial" w:hAnsi="Arial"/>
                  <w:sz w:val="18"/>
                  <w:szCs w:val="18"/>
                  <w:color w:val="0000EE"/>
                  <w:w w:val="87"/>
                </w:rPr>
                <w:t>Consolidated Statements of Assets and Liabilities as of September 30, 2012 and 2011</w:t>
              </w:r>
            </w:hyperlink>
          </w:p>
        </w:tc>
        <w:tc>
          <w:tcPr>
            <w:tcW w:w="1360" w:type="dxa"/>
            <w:vAlign w:val="bottom"/>
            <w:tcBorders>
              <w:top w:val="single" w:sz="8" w:color="0000EE"/>
            </w:tcBorders>
            <w:gridSpan w:val="3"/>
          </w:tcPr>
          <w:p>
            <w:pPr>
              <w:spacing w:after="0"/>
              <w:rPr>
                <w:sz w:val="24"/>
                <w:szCs w:val="24"/>
                <w:color w:val="auto"/>
              </w:rPr>
            </w:pPr>
          </w:p>
        </w:tc>
        <w:tc>
          <w:tcPr>
            <w:tcW w:w="1900" w:type="dxa"/>
            <w:vAlign w:val="bottom"/>
            <w:gridSpan w:val="2"/>
          </w:tcPr>
          <w:p>
            <w:pPr>
              <w:spacing w:after="0"/>
              <w:rPr>
                <w:sz w:val="24"/>
                <w:szCs w:val="24"/>
                <w:color w:val="auto"/>
              </w:rPr>
            </w:pPr>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S-51</w:t>
            </w:r>
          </w:p>
        </w:tc>
      </w:tr>
      <w:tr>
        <w:trPr>
          <w:trHeight w:val="304"/>
        </w:trPr>
        <w:tc>
          <w:tcPr>
            <w:tcW w:w="672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55">
              <w:r>
                <w:rPr>
                  <w:rFonts w:ascii="Arial" w:cs="Arial" w:eastAsia="Arial" w:hAnsi="Arial"/>
                  <w:sz w:val="18"/>
                  <w:szCs w:val="18"/>
                  <w:color w:val="0000EE"/>
                  <w:w w:val="86"/>
                </w:rPr>
                <w:t>Consolidated Statements of Operations for the years ended September 30, 2012, 2011 and 2010</w:t>
              </w:r>
            </w:hyperlink>
          </w:p>
        </w:tc>
        <w:tc>
          <w:tcPr>
            <w:tcW w:w="2560" w:type="dxa"/>
            <w:vAlign w:val="bottom"/>
            <w:gridSpan w:val="4"/>
          </w:tcPr>
          <w:p>
            <w:pPr>
              <w:spacing w:after="0"/>
              <w:rPr>
                <w:sz w:val="24"/>
                <w:szCs w:val="24"/>
                <w:color w:val="auto"/>
              </w:rPr>
            </w:pPr>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S-52</w:t>
            </w:r>
          </w:p>
        </w:tc>
      </w:tr>
      <w:tr>
        <w:trPr>
          <w:trHeight w:val="304"/>
        </w:trPr>
        <w:tc>
          <w:tcPr>
            <w:tcW w:w="75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Consolidated Statements of Changes in Net Assets for the years ended September 30, 2012, 2011 and 2010</w:t>
              </w:r>
            </w:hyperlink>
          </w:p>
        </w:tc>
        <w:tc>
          <w:tcPr>
            <w:tcW w:w="1700" w:type="dxa"/>
            <w:vAlign w:val="bottom"/>
          </w:tcPr>
          <w:p>
            <w:pPr>
              <w:spacing w:after="0"/>
              <w:rPr>
                <w:sz w:val="24"/>
                <w:szCs w:val="24"/>
                <w:color w:val="auto"/>
              </w:rPr>
            </w:pPr>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S-53</w:t>
            </w:r>
          </w:p>
        </w:tc>
      </w:tr>
      <w:tr>
        <w:trPr>
          <w:trHeight w:val="304"/>
        </w:trPr>
        <w:tc>
          <w:tcPr>
            <w:tcW w:w="9280" w:type="dxa"/>
            <w:vAlign w:val="bottom"/>
            <w:gridSpan w:val="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Cash Flows for the years ended September 30, 2012, 2011 and 2010</w:t>
              </w:r>
            </w:hyperlink>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S-54</w:t>
            </w:r>
          </w:p>
        </w:tc>
      </w:tr>
      <w:tr>
        <w:trPr>
          <w:trHeight w:val="304"/>
        </w:trPr>
        <w:tc>
          <w:tcPr>
            <w:tcW w:w="6760" w:type="dxa"/>
            <w:vAlign w:val="bottom"/>
            <w:tcBorders>
              <w:top w:val="single" w:sz="8" w:color="0000EE"/>
            </w:tcBorders>
            <w:gridSpan w:val="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Notes to the Consolidated Financial Statements</w:t>
              </w:r>
            </w:hyperlink>
          </w:p>
        </w:tc>
        <w:tc>
          <w:tcPr>
            <w:tcW w:w="2520" w:type="dxa"/>
            <w:vAlign w:val="bottom"/>
            <w:gridSpan w:val="3"/>
          </w:tcPr>
          <w:p>
            <w:pPr>
              <w:spacing w:after="0"/>
              <w:rPr>
                <w:sz w:val="24"/>
                <w:szCs w:val="24"/>
                <w:color w:val="auto"/>
              </w:rPr>
            </w:pPr>
          </w:p>
        </w:tc>
        <w:tc>
          <w:tcPr>
            <w:tcW w:w="2040" w:type="dxa"/>
            <w:vAlign w:val="bottom"/>
          </w:tcPr>
          <w:p>
            <w:pPr>
              <w:ind w:left="1720"/>
              <w:spacing w:after="0"/>
              <w:rPr>
                <w:sz w:val="20"/>
                <w:szCs w:val="20"/>
                <w:color w:val="auto"/>
              </w:rPr>
            </w:pPr>
            <w:r>
              <w:rPr>
                <w:rFonts w:ascii="Arial" w:cs="Arial" w:eastAsia="Arial" w:hAnsi="Arial"/>
                <w:sz w:val="18"/>
                <w:szCs w:val="18"/>
                <w:color w:val="auto"/>
                <w:w w:val="78"/>
              </w:rPr>
              <w:t>S-64</w:t>
            </w:r>
          </w:p>
        </w:tc>
      </w:tr>
      <w:tr>
        <w:trPr>
          <w:trHeight w:val="383"/>
        </w:trPr>
        <w:tc>
          <w:tcPr>
            <w:tcW w:w="33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20" w:type="dxa"/>
            <w:vAlign w:val="bottom"/>
            <w:gridSpan w:val="6"/>
          </w:tcPr>
          <w:p>
            <w:pPr>
              <w:jc w:val="center"/>
              <w:ind w:right="2620"/>
              <w:spacing w:after="0"/>
              <w:rPr>
                <w:sz w:val="20"/>
                <w:szCs w:val="20"/>
                <w:color w:val="auto"/>
              </w:rPr>
            </w:pPr>
            <w:r>
              <w:rPr>
                <w:rFonts w:ascii="Arial" w:cs="Arial" w:eastAsia="Arial" w:hAnsi="Arial"/>
                <w:sz w:val="18"/>
                <w:szCs w:val="18"/>
                <w:color w:val="auto"/>
                <w:w w:val="89"/>
              </w:rPr>
              <w:t>S-47</w:t>
            </w:r>
          </w:p>
        </w:tc>
        <w:tc>
          <w:tcPr>
            <w:tcW w:w="20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jc w:val="both"/>
        <w:ind w:right="300" w:firstLine="456"/>
        <w:spacing w:after="0" w:line="256" w:lineRule="auto"/>
        <w:rPr>
          <w:sz w:val="20"/>
          <w:szCs w:val="20"/>
          <w:color w:val="auto"/>
        </w:rPr>
      </w:pPr>
      <w:r>
        <w:rPr>
          <w:rFonts w:ascii="Arial" w:cs="Arial" w:eastAsia="Arial" w:hAnsi="Arial"/>
          <w:sz w:val="18"/>
          <w:szCs w:val="18"/>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2012.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 Based on the assessment management believes that, as of September 30, 2012,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PennantPark Investment’s independent registered public accounting firm that audited the financial statements has issued an audit report on the effectiveness of our internal control over financial reporting as of September 30, 2012. This report appears on page S-50.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2012 and 2011, and the related consolidated statements of operations, changes in net assets, and cash flows for the years ended September 30, 2012, 2011 and 2010.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2012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0" w:lineRule="exact"/>
        <w:rPr>
          <w:sz w:val="20"/>
          <w:szCs w:val="20"/>
          <w:color w:val="auto"/>
        </w:rPr>
      </w:pPr>
    </w:p>
    <w:p>
      <w:pPr>
        <w:ind w:right="68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Investment Corporation and its Subsidiaries as of September 30, 2012 and 2011, and the results of operations and cash flows for the years ended September 30, 2012, 2011 and 2010, in conformity with U.S. generally accepted accounting principles.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 issued by the Committee of Sponsoring Organizations of the Treadway Commission (COSO), and our report dated November 14, 2012 expressed an unqualified opinion on the effectiveness of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0090"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16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2012,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55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In our opinion, PennantPark Investment Corporation and its Subsidiaries maintained, in all material respects, effective internal control over financial reporting as of September 30,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2012 and 2011, and the related statements of operations, changes in net assets, and cash flows for the years ended September 30, 2012, 2011 and 2010, and our report dated November 14, 2012 expressed an unqualified opinion on those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0090" cy="205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(cost—$871,867,953 and $816,078,311,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871,892,745</w:t>
            </w: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773,375,381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Non-controlled, affiliated investments, at fair value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640"/>
              <w:spacing w:after="0"/>
              <w:rPr>
                <w:sz w:val="20"/>
                <w:szCs w:val="20"/>
                <w:color w:val="auto"/>
              </w:rPr>
            </w:pPr>
            <w:r>
              <w:rPr>
                <w:rFonts w:ascii="Arial" w:cs="Arial" w:eastAsia="Arial" w:hAnsi="Arial"/>
                <w:sz w:val="18"/>
                <w:szCs w:val="18"/>
                <w:color w:val="auto"/>
              </w:rPr>
              <w:t>(cost—$72,576,858 and $36,744,425, respectively)</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80,955,257</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40,673,133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Controlled, affiliated investments, at fair value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(cost—$64,167,051 and $13,500,100, 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37,631,708</w:t>
            </w:r>
          </w:p>
        </w:tc>
        <w:tc>
          <w:tcPr>
            <w:tcW w:w="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13,500,001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Total of investments, at fair value (cost—$1,008,611,862 and $866,322,836, respectively)</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990,479,710</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827,548,515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9)</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71,604,519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Interest receivable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14,928,862</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10,878,236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878,204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13,118,967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5,121,302</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5,587,977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1,018,967,531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928,738,214</w:t>
            </w: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5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15,824,061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4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18,572,499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26,935,270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Credit Facility payable (cost—$145,000,000 and $240,900,000, respectively) (See Notes 5 and 11)</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144,452,500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238,792,125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(cost—$150,000,000) (See Notes 5 and 11)</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854,725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4,791,913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4,008,054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4,206,989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3,773,829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2,185,026</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349,250,484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466,081,018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1"/>
              </w:rPr>
              <w:t>Common stock, 65,514,503 and 45,689,781 shares are issued and outstanding, respectively. Par value is $0.001 per</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share and 100,000,000 shares are authorized.</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65,514</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45,690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744,704,825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540,603,020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Undistributed net investment income (See Note 8)</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2,804,397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8,326,854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 (See Note 8)</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(60,273,037)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(49,651,922)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4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(18,132,152)</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(38,774,321)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547,500</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669,717,047</w:t>
            </w:r>
          </w:p>
        </w:tc>
        <w:tc>
          <w:tcPr>
            <w:tcW w:w="44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462,657,196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1,018,967,531</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928,738,214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10.22</w:t>
            </w:r>
          </w:p>
        </w:tc>
        <w:tc>
          <w:tcPr>
            <w:tcW w:w="4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8"/>
              </w:rPr>
              <w:t>Years ended September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99,663,198</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83,632,455</w:t>
            </w:r>
          </w:p>
        </w:tc>
        <w:tc>
          <w:tcPr>
            <w:tcW w:w="4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57,467,862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8,486,387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4,726,387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1,069,514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3,542,583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2,217,320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1,392,381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1,700,222</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1,162,333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113,392,390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91,738,495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60,139,757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17,507,262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14,899,983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11,618,773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14,223,777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13,161,597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8,018,309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and SBA debentures (See Note 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11,680,634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5,322,231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3,672,444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3,745,741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2,596,756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2,328,210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3,496,326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2,884,029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20"/>
              <w:spacing w:after="0"/>
              <w:rPr>
                <w:sz w:val="20"/>
                <w:szCs w:val="20"/>
                <w:color w:val="auto"/>
              </w:rPr>
            </w:pPr>
            <w:r>
              <w:rPr>
                <w:rFonts w:ascii="Arial" w:cs="Arial" w:eastAsia="Arial" w:hAnsi="Arial"/>
                <w:sz w:val="18"/>
                <w:szCs w:val="18"/>
                <w:b w:val="1"/>
                <w:bCs w:val="1"/>
                <w:color w:val="auto"/>
              </w:rPr>
              <w:t>Expenses before debt issuance costs and excise taxes</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50,653,740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38,864,596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27,966,846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5,361,319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Excise tax</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307,990</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228,824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56,323,049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39,093,420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28,065,140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57,069,341</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52,645,075</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32,074,617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(12,798,035)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16,259,622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(15,417,097)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42,727,722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(45,350,345)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36,275,341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and controlled, affiliated investments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(22,085,553)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(1,439,878)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Credit Facility appreciation (See Note 5 and 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(1,560,375)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(11,851,000)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(35,665,745)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19,081,794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(58,641,223)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(122,029)</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6,283,759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(42,381,601)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(15,539,126)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63,353,100</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10,263,474</w:t>
            </w:r>
          </w:p>
        </w:tc>
        <w:tc>
          <w:tcPr>
            <w:tcW w:w="4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16,535,491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w w:val="92"/>
              </w:rPr>
              <w:t>Net increase in net assets resulting from operations per common share basic and diluted (See</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9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200"/>
              <w:spacing w:after="0"/>
              <w:rPr>
                <w:sz w:val="20"/>
                <w:szCs w:val="20"/>
                <w:color w:val="auto"/>
              </w:rPr>
            </w:pPr>
            <w:r>
              <w:rPr>
                <w:rFonts w:ascii="Arial" w:cs="Arial" w:eastAsia="Arial" w:hAnsi="Arial"/>
                <w:sz w:val="18"/>
                <w:szCs w:val="18"/>
                <w:color w:val="auto"/>
              </w:rPr>
              <w:t>Note 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0.24</w:t>
            </w:r>
          </w:p>
        </w:tc>
        <w:tc>
          <w:tcPr>
            <w:tcW w:w="42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7"/>
              </w:rPr>
              <w:t>Years ended September 30,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57,069,341</w:t>
            </w: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52,645,075</w:t>
            </w:r>
          </w:p>
        </w:tc>
        <w:tc>
          <w:tcPr>
            <w:tcW w:w="3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32,074,617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(loss) gain on investments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(12,798,035)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16,259,622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(15,417,097)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20,642,169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(46,790,223)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35,543,716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on Credit Facility</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(1,560,375)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(11,851,000)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(35,665,745)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0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63,353,100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10,263,474</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16,535,491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(60,137,978)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(46,347,691)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(32,264,036)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10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Public offerings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206,572,500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114,080,000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107,710,000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Offerings costs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(7,717,300)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(5,743,800)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(5,986,500)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Reinvestment of dividends</w:t>
            </w:r>
          </w:p>
        </w:tc>
        <w:tc>
          <w:tcPr>
            <w:tcW w:w="1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4,989,529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3,829,990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207,059,851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76,081,973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85,994,955</w:t>
            </w:r>
          </w:p>
        </w:tc>
        <w:tc>
          <w:tcPr>
            <w:tcW w:w="0" w:type="dxa"/>
            <w:vAlign w:val="bottom"/>
          </w:tcPr>
          <w:p>
            <w:pPr>
              <w:spacing w:after="0"/>
              <w:rPr>
                <w:sz w:val="1"/>
                <w:szCs w:val="1"/>
                <w:color w:val="auto"/>
              </w:rPr>
            </w:pPr>
          </w:p>
        </w:tc>
      </w:tr>
      <w:tr>
        <w:trPr>
          <w:trHeight w:val="221"/>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462,657,196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386,575,223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300,580,268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End of year</w:t>
            </w:r>
          </w:p>
        </w:tc>
        <w:tc>
          <w:tcPr>
            <w:tcW w:w="10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669,717,047</w:t>
            </w:r>
          </w:p>
        </w:tc>
        <w:tc>
          <w:tcPr>
            <w:tcW w:w="1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462,657,196</w:t>
            </w:r>
          </w:p>
        </w:tc>
        <w:tc>
          <w:tcPr>
            <w:tcW w:w="3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386,575,223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year end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2,804,397</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8,326,854</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1,800,646</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public offerings</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19,350,000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Shares issued from reinvestment of dividends</w:t>
            </w:r>
          </w:p>
        </w:tc>
        <w:tc>
          <w:tcPr>
            <w:tcW w:w="1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331,011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88"/>
              </w:rPr>
              <w:t>Years ended September 30,</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63,353,100</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10,263,474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16,535,491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Adjustments to reconcile net increase in net assets resulting from operations to net cash</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used for operating activities: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Net change in net unrealized (appreciation) depreciation on investments</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(20,642,169)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46,790,223</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(35,543,716)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on Credit Facility</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1,560,375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11,851,000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Net realized loss (gain) on investments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12,798,035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(16,259,622)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15,417,097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(10,357,608)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(6,745,834)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(4,203,920)</w:t>
            </w: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(328,275,329)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(479,733,669)</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(309,455,078)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(9,065,502)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(10,883,750)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(6,416,075)</w:t>
            </w: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201,656,926</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304,008,543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145,237,359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interest receivable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(4,050,626)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1,935,860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(7,275,040)</w:t>
            </w: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Decrease (Increase) in receivables for investments sold</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12,240,763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17,135,807</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(27,528,767)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payables for investments purchased</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(18,572,499)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(34,212,501)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33,295,475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(Decrease) Increase in unfunded investments</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(19,242,446)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14,928,717</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15,872,049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interest payable on Credit Facility and SBA debentures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472,227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Decrease (Increase) in prepaid expenses and other assets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466,675</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749,017</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(90,927)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fees payable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783,859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721,238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Increase in performance-based incentive fees payable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433,160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1,534,818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730,847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accrued other expenses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1,406,285</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(368,064)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(500,423)</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130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(115,339,638)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(137,812,516)</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(127,050,830)</w:t>
            </w: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Public offerings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206,572,500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w w:val="91"/>
              </w:rPr>
              <w:t>114,080,000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107,710,000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Offerings costs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(7,717,300)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(5,743,800)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(5,986,500)</w:t>
            </w: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Distributions paid</w:t>
            </w:r>
          </w:p>
        </w:tc>
        <w:tc>
          <w:tcPr>
            <w:tcW w:w="1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(51,660,628)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(39,582,741)</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(27,919,260)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SBA debentures (See Note 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135,500,000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Capitalized borrowing costs</w:t>
            </w: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(4,450,875)</w:t>
            </w: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(686,625)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 11)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927,900,000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1"/>
              </w:rPr>
              <w:t>701,900,000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256,000,000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 11)</w:t>
            </w: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(1,023,800,000)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(694,100,000)</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(248,000,000)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51,294,572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207,602,584</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95,617,615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980" w:type="dxa"/>
            <w:vAlign w:val="bottom"/>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1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(64,045,066)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69,790,068</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(31,433,215)</w:t>
            </w: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33,247,666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spacing w:after="0"/>
              <w:rPr>
                <w:sz w:val="20"/>
                <w:szCs w:val="20"/>
                <w:color w:val="auto"/>
              </w:rPr>
            </w:pPr>
            <w:r>
              <w:rPr>
                <w:rFonts w:ascii="Arial" w:cs="Arial" w:eastAsia="Arial" w:hAnsi="Arial"/>
                <w:sz w:val="18"/>
                <w:szCs w:val="18"/>
                <w:b w:val="1"/>
                <w:bCs w:val="1"/>
                <w:color w:val="auto"/>
              </w:rPr>
              <w:t>Cash equivalents, end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7,559,453</w:t>
            </w: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71,604,519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Supplemental disclosure of cash flow information and non-cash activity (See Note 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10,643,840</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4,149,149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3,161,048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Excise taxes paid</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258,550</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123,824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Dividend reinvested</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4,989,529</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3,829,990</w:t>
            </w: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S-55</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0"/>
              </w:rPr>
              <w:t>Basis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Point</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Spread</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w w:val="94"/>
              </w:rPr>
              <w:t>Current</w:t>
            </w: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w w:val="93"/>
              </w:rPr>
              <w:t>Above</w:t>
            </w:r>
          </w:p>
        </w:tc>
        <w:tc>
          <w:tcPr>
            <w:tcW w:w="180" w:type="dxa"/>
            <w:vAlign w:val="bottom"/>
          </w:tcPr>
          <w:p>
            <w:pPr>
              <w:spacing w:after="0"/>
              <w:rPr>
                <w:sz w:val="11"/>
                <w:szCs w:val="11"/>
                <w:color w:val="auto"/>
              </w:rPr>
            </w:pPr>
          </w:p>
        </w:tc>
        <w:tc>
          <w:tcPr>
            <w:tcW w:w="68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8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980" w:type="dxa"/>
            <w:vAlign w:val="bottom"/>
          </w:tcPr>
          <w:p>
            <w:pPr>
              <w:spacing w:after="0"/>
              <w:rPr>
                <w:sz w:val="15"/>
                <w:szCs w:val="15"/>
                <w:color w:val="auto"/>
              </w:rPr>
            </w:pPr>
          </w:p>
        </w:tc>
        <w:tc>
          <w:tcPr>
            <w:tcW w:w="15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0"/>
              </w:rPr>
              <w:t>Industry</w:t>
            </w:r>
          </w:p>
        </w:tc>
        <w:tc>
          <w:tcPr>
            <w:tcW w:w="16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Coupon</w:t>
            </w:r>
          </w:p>
        </w:tc>
        <w:tc>
          <w:tcPr>
            <w:tcW w:w="72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8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5"/>
                <w:szCs w:val="15"/>
                <w:color w:val="auto"/>
              </w:rPr>
            </w:pPr>
          </w:p>
        </w:tc>
        <w:tc>
          <w:tcPr>
            <w:tcW w:w="8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center"/>
              <w:ind w:right="20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920" w:type="dxa"/>
            <w:vAlign w:val="bottom"/>
            <w:gridSpan w:val="8"/>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Companies—130.3%</w:t>
            </w:r>
            <w:r>
              <w:rPr>
                <w:rFonts w:ascii="Arial" w:cs="Arial" w:eastAsia="Arial" w:hAnsi="Arial"/>
                <w:sz w:val="16"/>
                <w:szCs w:val="16"/>
                <w:b w:val="1"/>
                <w:bCs w:val="1"/>
                <w:color w:val="auto"/>
                <w:vertAlign w:val="superscript"/>
              </w:rPr>
              <w:t>(1),(2)</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Debt—41.7%</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06/21/2017</w:t>
            </w:r>
          </w:p>
        </w:tc>
        <w:tc>
          <w:tcPr>
            <w:tcW w:w="25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8"/>
              </w:rPr>
              <w:t>Communications</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11.25%</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L+975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14,906,250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$ 14,332,682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$ 14,906,250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American Surgical Holdings, Inc.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03/23/2015</w:t>
            </w:r>
          </w:p>
        </w:tc>
        <w:tc>
          <w:tcPr>
            <w:tcW w:w="2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14.00%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17,811,828</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17,441,366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17,811,828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Brand Energy and Infrastructure</w:t>
            </w:r>
          </w:p>
        </w:tc>
        <w:tc>
          <w:tcPr>
            <w:tcW w:w="5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8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Services, Inc.</w:t>
            </w:r>
          </w:p>
        </w:tc>
        <w:tc>
          <w:tcPr>
            <w:tcW w:w="1340" w:type="dxa"/>
            <w:vAlign w:val="bottom"/>
            <w:gridSpan w:val="3"/>
            <w:shd w:val="clear" w:color="auto" w:fill="CCEEFF"/>
          </w:tcPr>
          <w:p>
            <w:pPr>
              <w:ind w:left="580"/>
              <w:spacing w:after="0" w:line="159" w:lineRule="exact"/>
              <w:rPr>
                <w:sz w:val="20"/>
                <w:szCs w:val="20"/>
                <w:color w:val="auto"/>
              </w:rPr>
            </w:pPr>
            <w:r>
              <w:rPr>
                <w:rFonts w:ascii="Arial" w:cs="Arial" w:eastAsia="Arial" w:hAnsi="Arial"/>
                <w:sz w:val="14"/>
                <w:szCs w:val="14"/>
                <w:color w:val="auto"/>
              </w:rPr>
              <w:t>02/07/2014</w:t>
            </w:r>
          </w:p>
        </w:tc>
        <w:tc>
          <w:tcPr>
            <w:tcW w:w="250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92"/>
              </w:rPr>
              <w:t>Energy/Utilities</w:t>
            </w:r>
          </w:p>
        </w:tc>
        <w:tc>
          <w:tcPr>
            <w:tcW w:w="100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3.68%</w:t>
            </w:r>
          </w:p>
        </w:tc>
        <w:tc>
          <w:tcPr>
            <w:tcW w:w="72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L+325</w:t>
            </w:r>
          </w:p>
        </w:tc>
        <w:tc>
          <w:tcPr>
            <w:tcW w:w="8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2,000,000</w:t>
            </w:r>
          </w:p>
        </w:tc>
        <w:tc>
          <w:tcPr>
            <w:tcW w:w="92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1,757,029</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1,973,334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10/01/2016</w:t>
            </w:r>
          </w:p>
        </w:tc>
        <w:tc>
          <w:tcPr>
            <w:tcW w:w="25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6"/>
              </w:rPr>
              <w:t>Cargo Transport</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7,500,000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7,355,237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7,687,500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04/01/2018</w:t>
            </w:r>
          </w:p>
        </w:tc>
        <w:tc>
          <w:tcPr>
            <w:tcW w:w="25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Cargo Transport</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990,089</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11/20/2014</w:t>
            </w:r>
          </w:p>
        </w:tc>
        <w:tc>
          <w:tcPr>
            <w:tcW w:w="25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Communications</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11,100,000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Good Sam Enterprises, LLC</w:t>
            </w:r>
            <w:r>
              <w:rPr>
                <w:rFonts w:ascii="Arial" w:cs="Arial" w:eastAsia="Arial" w:hAnsi="Arial"/>
                <w:sz w:val="17"/>
                <w:szCs w:val="17"/>
                <w:color w:val="auto"/>
                <w:vertAlign w:val="superscript"/>
              </w:rPr>
              <w:t>(5)</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12/01/2016</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Consumer Products</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12,000,000</w:t>
            </w:r>
          </w:p>
        </w:tc>
        <w:tc>
          <w:tcPr>
            <w:tcW w:w="100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11,795,443</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12,720,000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01/13/2017</w:t>
            </w:r>
          </w:p>
        </w:tc>
        <w:tc>
          <w:tcPr>
            <w:tcW w:w="2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0"/>
              </w:rPr>
              <w:t>Other Media</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8.00%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1,752,896</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1,752,896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1,752,896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04/01/2017</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Auto Sector</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11,500,000</w:t>
            </w:r>
          </w:p>
        </w:tc>
        <w:tc>
          <w:tcPr>
            <w:tcW w:w="100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11,288,165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12,218,750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08/07/2014</w:t>
            </w:r>
          </w:p>
        </w:tc>
        <w:tc>
          <w:tcPr>
            <w:tcW w:w="25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Printing and Publishing</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14.50%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24,115,645</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23,829,738</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23,802,142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Interactive Health Solutions, Inc.</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10/04/2016</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18,525,000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18,165,492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18,571,313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3840" w:type="dxa"/>
            <w:vAlign w:val="bottom"/>
            <w:gridSpan w:val="6"/>
          </w:tcPr>
          <w:p>
            <w:pPr>
              <w:ind w:left="580"/>
              <w:spacing w:after="0" w:line="138" w:lineRule="exact"/>
              <w:rPr>
                <w:sz w:val="20"/>
                <w:szCs w:val="20"/>
                <w:color w:val="auto"/>
              </w:rPr>
            </w:pPr>
            <w:r>
              <w:rPr>
                <w:rFonts w:ascii="Arial" w:cs="Arial" w:eastAsia="Arial" w:hAnsi="Arial"/>
                <w:sz w:val="14"/>
                <w:szCs w:val="14"/>
                <w:color w:val="auto"/>
                <w:w w:val="92"/>
              </w:rPr>
              <w:t>02/07/2014   Home and Office Furnishings, Housewares</w:t>
            </w:r>
          </w:p>
        </w:tc>
        <w:tc>
          <w:tcPr>
            <w:tcW w:w="100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2.28%</w:t>
            </w:r>
          </w:p>
        </w:tc>
        <w:tc>
          <w:tcPr>
            <w:tcW w:w="7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9,598,649</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9,598,649</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6,371,103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gridSpan w:val="3"/>
          </w:tcPr>
          <w:p>
            <w:pPr>
              <w:jc w:val="center"/>
              <w:ind w:right="60"/>
              <w:spacing w:after="0" w:line="159" w:lineRule="exact"/>
              <w:rPr>
                <w:sz w:val="20"/>
                <w:szCs w:val="20"/>
                <w:color w:val="auto"/>
              </w:rPr>
            </w:pPr>
            <w:r>
              <w:rPr>
                <w:rFonts w:ascii="Arial" w:cs="Arial" w:eastAsia="Arial" w:hAnsi="Arial"/>
                <w:sz w:val="14"/>
                <w:szCs w:val="14"/>
                <w:color w:val="auto"/>
                <w:w w:val="86"/>
              </w:rPr>
              <w:t>and Durable Consumer Products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09/10/2015</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Chemicals, Plastics and Rubber</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L+775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18,952,500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18,216,865</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19,236,788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Kadmon Pharmaceuticals, LLC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10/31/2012</w:t>
            </w:r>
          </w:p>
        </w:tc>
        <w:tc>
          <w:tcPr>
            <w:tcW w:w="2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15.00%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L+1,300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4,931,494</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4,992,740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5,110,409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04/27/2016</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Education</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26,052,632</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25,640,832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25,857,237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5.00%</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L+400</w:t>
            </w:r>
            <w:r>
              <w:rPr>
                <w:rFonts w:ascii="Arial" w:cs="Arial" w:eastAsia="Arial" w:hAnsi="Arial"/>
                <w:sz w:val="22"/>
                <w:szCs w:val="22"/>
                <w:color w:val="auto"/>
                <w:vertAlign w:val="superscript"/>
              </w:rPr>
              <w:t>(8)</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00" w:type="dxa"/>
            <w:vAlign w:val="bottom"/>
            <w:gridSpan w:val="3"/>
          </w:tcPr>
          <w:p>
            <w:pPr>
              <w:spacing w:after="0"/>
              <w:rPr>
                <w:sz w:val="20"/>
                <w:szCs w:val="20"/>
                <w:color w:val="auto"/>
              </w:rPr>
            </w:pPr>
            <w:r>
              <w:rPr>
                <w:rFonts w:ascii="Arial" w:cs="Arial" w:eastAsia="Arial" w:hAnsi="Arial"/>
                <w:sz w:val="14"/>
                <w:szCs w:val="14"/>
                <w:color w:val="auto"/>
              </w:rPr>
              <w:t>Penton Media, Inc.</w:t>
            </w:r>
          </w:p>
        </w:tc>
        <w:tc>
          <w:tcPr>
            <w:tcW w:w="1340" w:type="dxa"/>
            <w:vAlign w:val="bottom"/>
            <w:gridSpan w:val="3"/>
          </w:tcPr>
          <w:p>
            <w:pPr>
              <w:ind w:left="580"/>
              <w:spacing w:after="0"/>
              <w:rPr>
                <w:sz w:val="20"/>
                <w:szCs w:val="20"/>
                <w:color w:val="auto"/>
              </w:rPr>
            </w:pPr>
            <w:r>
              <w:rPr>
                <w:rFonts w:ascii="Arial" w:cs="Arial" w:eastAsia="Arial" w:hAnsi="Arial"/>
                <w:sz w:val="14"/>
                <w:szCs w:val="14"/>
                <w:color w:val="auto"/>
              </w:rPr>
              <w:t>08/01/2014</w:t>
            </w:r>
          </w:p>
        </w:tc>
        <w:tc>
          <w:tcPr>
            <w:tcW w:w="2500" w:type="dxa"/>
            <w:vAlign w:val="bottom"/>
            <w:gridSpan w:val="3"/>
          </w:tcPr>
          <w:p>
            <w:pPr>
              <w:jc w:val="center"/>
              <w:ind w:right="40"/>
              <w:spacing w:after="0"/>
              <w:rPr>
                <w:sz w:val="20"/>
                <w:szCs w:val="20"/>
                <w:color w:val="auto"/>
              </w:rPr>
            </w:pPr>
            <w:r>
              <w:rPr>
                <w:rFonts w:ascii="Arial" w:cs="Arial" w:eastAsia="Arial" w:hAnsi="Arial"/>
                <w:sz w:val="14"/>
                <w:szCs w:val="14"/>
                <w:color w:val="auto"/>
                <w:w w:val="90"/>
              </w:rPr>
              <w:t>Other Media</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(PIK 1.00%)</w:t>
            </w:r>
          </w:p>
        </w:tc>
        <w:tc>
          <w:tcPr>
            <w:tcW w:w="720" w:type="dxa"/>
            <w:vAlign w:val="bottom"/>
            <w:gridSpan w:val="2"/>
            <w:vMerge w:val="continue"/>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37,775,294</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33,971,917</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30,503,550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Pre-Paid Legal Services, Inc., Tranche A</w:t>
            </w:r>
          </w:p>
        </w:tc>
        <w:tc>
          <w:tcPr>
            <w:tcW w:w="3840" w:type="dxa"/>
            <w:vAlign w:val="bottom"/>
            <w:gridSpan w:val="6"/>
            <w:shd w:val="clear" w:color="auto" w:fill="CCEEFF"/>
          </w:tcPr>
          <w:p>
            <w:pPr>
              <w:ind w:left="580"/>
              <w:spacing w:after="0" w:line="149" w:lineRule="exact"/>
              <w:rPr>
                <w:sz w:val="20"/>
                <w:szCs w:val="20"/>
                <w:color w:val="auto"/>
              </w:rPr>
            </w:pPr>
            <w:r>
              <w:rPr>
                <w:rFonts w:ascii="Arial" w:cs="Arial" w:eastAsia="Arial" w:hAnsi="Arial"/>
                <w:sz w:val="14"/>
                <w:szCs w:val="14"/>
                <w:color w:val="auto"/>
                <w:w w:val="91"/>
              </w:rPr>
              <w:t>12/30/2016   Personal, Food and Miscellaneous Services</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L+600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1,552,846</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1,533,687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1,556,728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Pre-Paid Legal Services, Inc., Tranche B</w:t>
            </w:r>
          </w:p>
        </w:tc>
        <w:tc>
          <w:tcPr>
            <w:tcW w:w="3840" w:type="dxa"/>
            <w:vAlign w:val="bottom"/>
            <w:gridSpan w:val="6"/>
          </w:tcPr>
          <w:p>
            <w:pPr>
              <w:ind w:left="580"/>
              <w:spacing w:after="0" w:line="149" w:lineRule="exact"/>
              <w:rPr>
                <w:sz w:val="20"/>
                <w:szCs w:val="20"/>
                <w:color w:val="auto"/>
              </w:rPr>
            </w:pPr>
            <w:r>
              <w:rPr>
                <w:rFonts w:ascii="Arial" w:cs="Arial" w:eastAsia="Arial" w:hAnsi="Arial"/>
                <w:sz w:val="14"/>
                <w:szCs w:val="14"/>
                <w:color w:val="auto"/>
                <w:w w:val="91"/>
              </w:rPr>
              <w:t>12/30/2016   Personal, Food and Miscellaneous Services</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11.00%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35,000,000</w:t>
            </w:r>
          </w:p>
        </w:tc>
        <w:tc>
          <w:tcPr>
            <w:tcW w:w="10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34,118,800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35,350,000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12/16/2012</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Other Media</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1.36%</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133,603</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133,603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133,603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01/29/2018</w:t>
            </w:r>
          </w:p>
        </w:tc>
        <w:tc>
          <w:tcPr>
            <w:tcW w:w="25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9.00%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L+750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850,000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838,369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01/29/2018</w:t>
            </w:r>
          </w:p>
        </w:tc>
        <w:tc>
          <w:tcPr>
            <w:tcW w:w="25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7"/>
              </w:rPr>
              <w:t>Telecommunications</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L+1,200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10,625,000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10,338,450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10,848,126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Worley Claims Services, LLC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07/06/2017</w:t>
            </w:r>
          </w:p>
        </w:tc>
        <w:tc>
          <w:tcPr>
            <w:tcW w:w="25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4"/>
              </w:rPr>
              <w:t>Insurance</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L+1,100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14,934,000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14,934,000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14,859,330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07/15/2016</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Hotels, Motels, Inns and Gaming</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11.38%</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4,500,000</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4,401,515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277,427,564</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278,960,887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Debt—25.3%</w:t>
            </w:r>
          </w:p>
        </w:tc>
        <w:tc>
          <w:tcPr>
            <w:tcW w:w="5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80" w:type="dxa"/>
            <w:vAlign w:val="bottom"/>
            <w:gridSpan w:val="2"/>
          </w:tcPr>
          <w:p>
            <w:pPr>
              <w:spacing w:after="0" w:line="138" w:lineRule="exact"/>
              <w:rPr>
                <w:sz w:val="20"/>
                <w:szCs w:val="20"/>
                <w:color w:val="auto"/>
              </w:rPr>
            </w:pPr>
            <w:r>
              <w:rPr>
                <w:rFonts w:ascii="Arial" w:cs="Arial" w:eastAsia="Arial" w:hAnsi="Arial"/>
                <w:sz w:val="10"/>
                <w:szCs w:val="10"/>
                <w:color w:val="auto"/>
              </w:rPr>
              <w:t>American Gilsonite Company</w:t>
            </w:r>
            <w:r>
              <w:rPr>
                <w:rFonts w:ascii="Arial" w:cs="Arial" w:eastAsia="Arial" w:hAnsi="Arial"/>
                <w:sz w:val="15"/>
                <w:szCs w:val="15"/>
                <w:color w:val="auto"/>
                <w:vertAlign w:val="superscript"/>
              </w:rPr>
              <w:t>(5)</w:t>
            </w:r>
          </w:p>
        </w:tc>
        <w:tc>
          <w:tcPr>
            <w:tcW w:w="1340" w:type="dxa"/>
            <w:vAlign w:val="bottom"/>
            <w:gridSpan w:val="3"/>
          </w:tcPr>
          <w:p>
            <w:pPr>
              <w:ind w:left="580"/>
              <w:spacing w:after="0" w:line="138" w:lineRule="exact"/>
              <w:rPr>
                <w:sz w:val="20"/>
                <w:szCs w:val="20"/>
                <w:color w:val="auto"/>
              </w:rPr>
            </w:pPr>
            <w:r>
              <w:rPr>
                <w:rFonts w:ascii="Arial" w:cs="Arial" w:eastAsia="Arial" w:hAnsi="Arial"/>
                <w:sz w:val="14"/>
                <w:szCs w:val="14"/>
                <w:color w:val="auto"/>
              </w:rPr>
              <w:t>09/01/2017</w:t>
            </w:r>
          </w:p>
        </w:tc>
        <w:tc>
          <w:tcPr>
            <w:tcW w:w="250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8"/>
              </w:rPr>
              <w:t>Diversified Natural Resources, Precious</w:t>
            </w:r>
          </w:p>
        </w:tc>
        <w:tc>
          <w:tcPr>
            <w:tcW w:w="100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11.50%</w:t>
            </w: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w w:val="96"/>
              </w:rPr>
              <w:t>25,400,000</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25,400,000</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26,098,500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7"/>
              </w:rPr>
              <w:t>Metals and Minerals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02/07/2015</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6.33%</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13,600,000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13,378,432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12,729,600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02/07/2015</w:t>
            </w:r>
          </w:p>
        </w:tc>
        <w:tc>
          <w:tcPr>
            <w:tcW w:w="2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7.36%</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L+700</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12,000,000</w:t>
            </w:r>
          </w:p>
        </w:tc>
        <w:tc>
          <w:tcPr>
            <w:tcW w:w="10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11,866,485</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11,232,000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(5),(6)</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02/01/2017</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Consumer Products</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34,000,000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31,964,822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10,880,000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Eureka Hunter Pipeline, LLC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08/16/2018</w:t>
            </w:r>
          </w:p>
        </w:tc>
        <w:tc>
          <w:tcPr>
            <w:tcW w:w="2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45,000,000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44,543,688</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11.00%</w:t>
            </w: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L+700</w:t>
            </w:r>
            <w:r>
              <w:rPr>
                <w:rFonts w:ascii="Arial" w:cs="Arial" w:eastAsia="Arial" w:hAnsi="Arial"/>
                <w:sz w:val="22"/>
                <w:szCs w:val="22"/>
                <w:color w:val="auto"/>
                <w:vertAlign w:val="superscript"/>
              </w:rPr>
              <w:t>(8)</w:t>
            </w: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Greatwide Logistics Services, L.L.C.</w:t>
            </w:r>
          </w:p>
        </w:tc>
        <w:tc>
          <w:tcPr>
            <w:tcW w:w="134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03/01/2014</w:t>
            </w:r>
          </w:p>
        </w:tc>
        <w:tc>
          <w:tcPr>
            <w:tcW w:w="250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color w:val="auto"/>
                <w:w w:val="86"/>
              </w:rPr>
              <w:t>Cargo Transport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8"/>
              </w:rPr>
              <w:t>(PIK 11.00%)</w:t>
            </w:r>
          </w:p>
        </w:tc>
        <w:tc>
          <w:tcPr>
            <w:tcW w:w="720" w:type="dxa"/>
            <w:vAlign w:val="bottom"/>
            <w:gridSpan w:val="2"/>
            <w:vMerge w:val="continue"/>
            <w:shd w:val="clear" w:color="auto" w:fill="CCEEFF"/>
          </w:tcPr>
          <w:p>
            <w:pPr>
              <w:spacing w:after="0"/>
              <w:rPr>
                <w:sz w:val="15"/>
                <w:szCs w:val="15"/>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3,184,219</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3,184,222</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2,292,640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Paradigm Management Services, LLC</w:t>
            </w:r>
          </w:p>
        </w:tc>
        <w:tc>
          <w:tcPr>
            <w:tcW w:w="1340" w:type="dxa"/>
            <w:vAlign w:val="bottom"/>
            <w:gridSpan w:val="3"/>
          </w:tcPr>
          <w:p>
            <w:pPr>
              <w:ind w:left="580"/>
              <w:spacing w:after="0" w:line="149" w:lineRule="exact"/>
              <w:rPr>
                <w:sz w:val="20"/>
                <w:szCs w:val="20"/>
                <w:color w:val="auto"/>
              </w:rPr>
            </w:pPr>
            <w:r>
              <w:rPr>
                <w:rFonts w:ascii="Arial" w:cs="Arial" w:eastAsia="Arial" w:hAnsi="Arial"/>
                <w:sz w:val="14"/>
                <w:szCs w:val="14"/>
                <w:color w:val="auto"/>
              </w:rPr>
              <w:t>07/31/2017</w:t>
            </w:r>
          </w:p>
        </w:tc>
        <w:tc>
          <w:tcPr>
            <w:tcW w:w="25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1"/>
                <w:szCs w:val="11"/>
                <w:color w:val="auto"/>
              </w:rPr>
              <w:t>L+1,100</w:t>
            </w:r>
            <w:r>
              <w:rPr>
                <w:rFonts w:ascii="Arial" w:cs="Arial" w:eastAsia="Arial" w:hAnsi="Arial"/>
                <w:sz w:val="17"/>
                <w:szCs w:val="17"/>
                <w:color w:val="auto"/>
                <w:vertAlign w:val="superscript"/>
              </w:rPr>
              <w:t>(8)</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20,512,821</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20,059,979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20,512,821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340" w:type="dxa"/>
            <w:vAlign w:val="bottom"/>
            <w:gridSpan w:val="3"/>
            <w:shd w:val="clear" w:color="auto" w:fill="CCEEFF"/>
          </w:tcPr>
          <w:p>
            <w:pPr>
              <w:ind w:left="580"/>
              <w:spacing w:after="0" w:line="149" w:lineRule="exact"/>
              <w:rPr>
                <w:sz w:val="20"/>
                <w:szCs w:val="20"/>
                <w:color w:val="auto"/>
              </w:rPr>
            </w:pPr>
            <w:r>
              <w:rPr>
                <w:rFonts w:ascii="Arial" w:cs="Arial" w:eastAsia="Arial" w:hAnsi="Arial"/>
                <w:sz w:val="14"/>
                <w:szCs w:val="14"/>
                <w:color w:val="auto"/>
              </w:rPr>
              <w:t>12/15/2014</w:t>
            </w:r>
          </w:p>
        </w:tc>
        <w:tc>
          <w:tcPr>
            <w:tcW w:w="250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0"/>
              </w:rPr>
              <w:t>Other Media</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2,752,666</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2,752,666</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2,584,753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11.50%</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L+850</w:t>
            </w:r>
            <w:r>
              <w:rPr>
                <w:rFonts w:ascii="Arial" w:cs="Arial" w:eastAsia="Arial" w:hAnsi="Arial"/>
                <w:sz w:val="22"/>
                <w:szCs w:val="22"/>
                <w:color w:val="auto"/>
                <w:vertAlign w:val="superscript"/>
              </w:rPr>
              <w:t>(8)</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3100" w:type="dxa"/>
            <w:vAlign w:val="bottom"/>
            <w:gridSpan w:val="3"/>
          </w:tcPr>
          <w:p>
            <w:pPr>
              <w:spacing w:after="0"/>
              <w:rPr>
                <w:sz w:val="20"/>
                <w:szCs w:val="20"/>
                <w:color w:val="auto"/>
              </w:rPr>
            </w:pPr>
            <w:r>
              <w:rPr>
                <w:rFonts w:ascii="Arial" w:cs="Arial" w:eastAsia="Arial" w:hAnsi="Arial"/>
                <w:sz w:val="14"/>
                <w:szCs w:val="14"/>
                <w:color w:val="auto"/>
              </w:rPr>
              <w:t>Questex Media Group LLC, Term Loan B</w:t>
            </w:r>
          </w:p>
        </w:tc>
        <w:tc>
          <w:tcPr>
            <w:tcW w:w="1340" w:type="dxa"/>
            <w:vAlign w:val="bottom"/>
            <w:gridSpan w:val="3"/>
          </w:tcPr>
          <w:p>
            <w:pPr>
              <w:ind w:left="580"/>
              <w:spacing w:after="0"/>
              <w:rPr>
                <w:sz w:val="20"/>
                <w:szCs w:val="20"/>
                <w:color w:val="auto"/>
              </w:rPr>
            </w:pPr>
            <w:r>
              <w:rPr>
                <w:rFonts w:ascii="Arial" w:cs="Arial" w:eastAsia="Arial" w:hAnsi="Arial"/>
                <w:sz w:val="14"/>
                <w:szCs w:val="14"/>
                <w:color w:val="auto"/>
              </w:rPr>
              <w:t>12/15/2015</w:t>
            </w:r>
          </w:p>
        </w:tc>
        <w:tc>
          <w:tcPr>
            <w:tcW w:w="2500" w:type="dxa"/>
            <w:vAlign w:val="bottom"/>
            <w:gridSpan w:val="3"/>
          </w:tcPr>
          <w:p>
            <w:pPr>
              <w:jc w:val="center"/>
              <w:ind w:right="40"/>
              <w:spacing w:after="0"/>
              <w:rPr>
                <w:sz w:val="20"/>
                <w:szCs w:val="20"/>
                <w:color w:val="auto"/>
              </w:rPr>
            </w:pPr>
            <w:r>
              <w:rPr>
                <w:rFonts w:ascii="Arial" w:cs="Arial" w:eastAsia="Arial" w:hAnsi="Arial"/>
                <w:sz w:val="14"/>
                <w:szCs w:val="14"/>
                <w:color w:val="auto"/>
                <w:w w:val="90"/>
              </w:rPr>
              <w:t>Other Media</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w w:val="98"/>
              </w:rPr>
              <w:t>(PIK 11.50%)</w:t>
            </w:r>
          </w:p>
        </w:tc>
        <w:tc>
          <w:tcPr>
            <w:tcW w:w="720" w:type="dxa"/>
            <w:vAlign w:val="bottom"/>
            <w:gridSpan w:val="2"/>
            <w:vMerge w:val="continue"/>
          </w:tcPr>
          <w:p>
            <w:pPr>
              <w:spacing w:after="0"/>
              <w:rPr>
                <w:sz w:val="24"/>
                <w:szCs w:val="2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2,230,508</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2,230,508</w:t>
            </w:r>
          </w:p>
        </w:tc>
        <w:tc>
          <w:tcPr>
            <w:tcW w:w="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2,002,996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Point</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Spread</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90"/>
              </w:rPr>
              <w:t>Current</w:t>
            </w:r>
          </w:p>
        </w:tc>
        <w:tc>
          <w:tcPr>
            <w:tcW w:w="5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Above</w:t>
            </w:r>
          </w:p>
        </w:tc>
        <w:tc>
          <w:tcPr>
            <w:tcW w:w="180" w:type="dxa"/>
            <w:vAlign w:val="bottom"/>
          </w:tcPr>
          <w:p>
            <w:pPr>
              <w:spacing w:after="0"/>
              <w:rPr>
                <w:sz w:val="11"/>
                <w:szCs w:val="11"/>
                <w:color w:val="auto"/>
              </w:rPr>
            </w:pPr>
          </w:p>
        </w:tc>
        <w:tc>
          <w:tcPr>
            <w:tcW w:w="68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Maturity</w:t>
            </w:r>
          </w:p>
        </w:tc>
        <w:tc>
          <w:tcPr>
            <w:tcW w:w="880" w:type="dxa"/>
            <w:vAlign w:val="bottom"/>
          </w:tcPr>
          <w:p>
            <w:pPr>
              <w:spacing w:after="0"/>
              <w:rPr>
                <w:sz w:val="15"/>
                <w:szCs w:val="15"/>
                <w:color w:val="auto"/>
              </w:rPr>
            </w:pPr>
          </w:p>
        </w:tc>
        <w:tc>
          <w:tcPr>
            <w:tcW w:w="14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Industry</w:t>
            </w:r>
          </w:p>
        </w:tc>
        <w:tc>
          <w:tcPr>
            <w:tcW w:w="18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Coupon</w:t>
            </w:r>
          </w:p>
        </w:tc>
        <w:tc>
          <w:tcPr>
            <w:tcW w:w="58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5"/>
              </w:rPr>
              <w:t>Index</w:t>
            </w:r>
            <w:r>
              <w:rPr>
                <w:rFonts w:ascii="Arial" w:cs="Arial" w:eastAsia="Arial" w:hAnsi="Arial"/>
                <w:sz w:val="20"/>
                <w:szCs w:val="20"/>
                <w:b w:val="1"/>
                <w:bCs w:val="1"/>
                <w:color w:val="auto"/>
                <w:w w:val="95"/>
                <w:vertAlign w:val="superscript"/>
              </w:rPr>
              <w:t>(4)</w:t>
            </w:r>
          </w:p>
        </w:tc>
        <w:tc>
          <w:tcPr>
            <w:tcW w:w="18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5"/>
                <w:szCs w:val="15"/>
                <w:color w:val="auto"/>
              </w:rPr>
            </w:pPr>
          </w:p>
        </w:tc>
        <w:tc>
          <w:tcPr>
            <w:tcW w:w="82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center"/>
              <w:ind w:right="20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Realogy Corp.</w:t>
            </w:r>
          </w:p>
        </w:tc>
        <w:tc>
          <w:tcPr>
            <w:tcW w:w="92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10/15/2017</w:t>
            </w:r>
          </w:p>
        </w:tc>
        <w:tc>
          <w:tcPr>
            <w:tcW w:w="2280" w:type="dxa"/>
            <w:vAlign w:val="bottom"/>
            <w:gridSpan w:val="3"/>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Buildings and Real Estate</w:t>
            </w:r>
          </w:p>
        </w:tc>
        <w:tc>
          <w:tcPr>
            <w:tcW w:w="1140" w:type="dxa"/>
            <w:vAlign w:val="bottom"/>
            <w:gridSpan w:val="3"/>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13.50%</w:t>
            </w:r>
          </w:p>
        </w:tc>
        <w:tc>
          <w:tcPr>
            <w:tcW w:w="58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w w:val="96"/>
              </w:rPr>
              <w:t>10,000,000</w:t>
            </w:r>
          </w:p>
        </w:tc>
        <w:tc>
          <w:tcPr>
            <w:tcW w:w="92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$ 10,000,000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$ 10,062,500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09/01/2018</w:t>
            </w: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11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12.13%</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16,000,000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15,752,822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06/15/2015</w:t>
            </w:r>
          </w:p>
        </w:tc>
        <w:tc>
          <w:tcPr>
            <w:tcW w:w="22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1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6.22%</w:t>
            </w:r>
          </w:p>
        </w:tc>
        <w:tc>
          <w:tcPr>
            <w:tcW w:w="5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7,811,488</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7,511,344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7,411,149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188,644,968</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169,366,959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Notes—52.4%</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Acentia, LLC</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10/02/2017</w:t>
            </w: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Electronics</w:t>
            </w:r>
          </w:p>
        </w:tc>
        <w:tc>
          <w:tcPr>
            <w:tcW w:w="11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13.75%</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19,000,000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18,563,943</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11/15/2015</w:t>
            </w:r>
          </w:p>
        </w:tc>
        <w:tc>
          <w:tcPr>
            <w:tcW w:w="22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1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11.63%</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35,552,000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34,172,451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24,175,360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Alegeus Technologies, LLC</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02/15/2019</w:t>
            </w: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1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8,930,000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8,754,461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8,930,000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12.00%</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Convergint Technologies LLC</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03/26/2018</w:t>
            </w:r>
          </w:p>
        </w:tc>
        <w:tc>
          <w:tcPr>
            <w:tcW w:w="22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7"/>
              </w:rPr>
              <w:t>Electronics</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5"/>
              </w:rPr>
              <w:t>(PIK 1.00%)</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6"/>
              </w:rPr>
              <w:t>23,277,586</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22,812,086</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22,812,034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Diversitech Corporation</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01/29/2017</w:t>
            </w: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Manufacturing/ Basic Industry</w:t>
            </w:r>
          </w:p>
        </w:tc>
        <w:tc>
          <w:tcPr>
            <w:tcW w:w="114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(7)</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11,000,000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10,836,901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11,275,000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14.75%</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Escort, Inc.</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06/01/2016</w:t>
            </w:r>
          </w:p>
        </w:tc>
        <w:tc>
          <w:tcPr>
            <w:tcW w:w="22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7"/>
              </w:rPr>
              <w:t>Electronics</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5"/>
              </w:rPr>
              <w:t>(PIK 2.75%)</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6"/>
              </w:rPr>
              <w:t>25,254,035</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24,751,548</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25,254,035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13.00%</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40" w:type="dxa"/>
            <w:vAlign w:val="bottom"/>
            <w:gridSpan w:val="3"/>
          </w:tcPr>
          <w:p>
            <w:pPr>
              <w:spacing w:after="0"/>
              <w:rPr>
                <w:sz w:val="20"/>
                <w:szCs w:val="20"/>
                <w:color w:val="auto"/>
              </w:rPr>
            </w:pPr>
            <w:r>
              <w:rPr>
                <w:rFonts w:ascii="Arial" w:cs="Arial" w:eastAsia="Arial" w:hAnsi="Arial"/>
                <w:sz w:val="14"/>
                <w:szCs w:val="14"/>
                <w:color w:val="auto"/>
              </w:rPr>
              <w:t>Galls, LLC; Quartermaster Inc.</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03/31/2017</w:t>
            </w:r>
          </w:p>
        </w:tc>
        <w:tc>
          <w:tcPr>
            <w:tcW w:w="2280" w:type="dxa"/>
            <w:vAlign w:val="bottom"/>
            <w:gridSpan w:val="3"/>
          </w:tcPr>
          <w:p>
            <w:pPr>
              <w:jc w:val="center"/>
              <w:spacing w:after="0"/>
              <w:rPr>
                <w:sz w:val="20"/>
                <w:szCs w:val="20"/>
                <w:color w:val="auto"/>
              </w:rPr>
            </w:pPr>
            <w:r>
              <w:rPr>
                <w:rFonts w:ascii="Arial" w:cs="Arial" w:eastAsia="Arial" w:hAnsi="Arial"/>
                <w:sz w:val="14"/>
                <w:szCs w:val="14"/>
                <w:color w:val="auto"/>
                <w:w w:val="91"/>
              </w:rPr>
              <w:t>Distribution</w:t>
            </w: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(PIK 2.00%)</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21,797,263</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21,399,764</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21,906,249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14.00%</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JF Acquisition, LLC</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06/30/2017</w:t>
            </w:r>
          </w:p>
        </w:tc>
        <w:tc>
          <w:tcPr>
            <w:tcW w:w="22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1"/>
              </w:rPr>
              <w:t>Distribution</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5"/>
              </w:rPr>
              <w:t>(PIK 2.00%)</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6"/>
              </w:rPr>
              <w:t>17,171,374</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16,748,220</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17,377,430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14.50%</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40" w:type="dxa"/>
            <w:vAlign w:val="bottom"/>
            <w:gridSpan w:val="3"/>
          </w:tcPr>
          <w:p>
            <w:pPr>
              <w:spacing w:after="0"/>
              <w:rPr>
                <w:sz w:val="20"/>
                <w:szCs w:val="20"/>
                <w:color w:val="auto"/>
              </w:rPr>
            </w:pPr>
            <w:r>
              <w:rPr>
                <w:rFonts w:ascii="Arial" w:cs="Arial" w:eastAsia="Arial" w:hAnsi="Arial"/>
                <w:sz w:val="14"/>
                <w:szCs w:val="14"/>
                <w:color w:val="auto"/>
              </w:rPr>
              <w:t>Last Mile Funding Corp.</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06/30/2016</w:t>
            </w:r>
          </w:p>
        </w:tc>
        <w:tc>
          <w:tcPr>
            <w:tcW w:w="2280" w:type="dxa"/>
            <w:vAlign w:val="bottom"/>
            <w:gridSpan w:val="3"/>
          </w:tcPr>
          <w:p>
            <w:pPr>
              <w:jc w:val="center"/>
              <w:spacing w:after="0"/>
              <w:rPr>
                <w:sz w:val="20"/>
                <w:szCs w:val="20"/>
                <w:color w:val="auto"/>
              </w:rPr>
            </w:pPr>
            <w:r>
              <w:rPr>
                <w:rFonts w:ascii="Arial" w:cs="Arial" w:eastAsia="Arial" w:hAnsi="Arial"/>
                <w:sz w:val="14"/>
                <w:szCs w:val="14"/>
                <w:color w:val="auto"/>
                <w:w w:val="86"/>
              </w:rPr>
              <w:t>Cargo Transport</w:t>
            </w: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(PIK 2.50%)</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45,597,139</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44,677,474</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45,095,570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15.00%</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Learning Care Group (US) Inc.</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06/30/2016</w:t>
            </w:r>
          </w:p>
        </w:tc>
        <w:tc>
          <w:tcPr>
            <w:tcW w:w="22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9"/>
              </w:rPr>
              <w:t>Education</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(PIK 15.00%)</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5,277,718</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4,696,436</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4,815,918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LTI Flexible Products, Inc.</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01/19/2019</w:t>
            </w: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Chemical, Plastic and Rubber</w:t>
            </w:r>
          </w:p>
        </w:tc>
        <w:tc>
          <w:tcPr>
            <w:tcW w:w="11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30,000,000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30,000,000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LTI Flexible Products, Inc.</w:t>
            </w:r>
            <w:r>
              <w:rPr>
                <w:rFonts w:ascii="Arial" w:cs="Arial" w:eastAsia="Arial" w:hAnsi="Arial"/>
                <w:sz w:val="17"/>
                <w:szCs w:val="17"/>
                <w:color w:val="auto"/>
                <w:vertAlign w:val="superscript"/>
              </w:rPr>
              <w:t>(9)</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01/11/2014</w:t>
            </w:r>
          </w:p>
        </w:tc>
        <w:tc>
          <w:tcPr>
            <w:tcW w:w="22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 Plastic and Rubber</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5,000,000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4,825,000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14.50%</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40" w:type="dxa"/>
            <w:vAlign w:val="bottom"/>
            <w:gridSpan w:val="3"/>
          </w:tcPr>
          <w:p>
            <w:pPr>
              <w:spacing w:after="0"/>
              <w:rPr>
                <w:sz w:val="20"/>
                <w:szCs w:val="20"/>
                <w:color w:val="auto"/>
              </w:rPr>
            </w:pPr>
            <w:r>
              <w:rPr>
                <w:rFonts w:ascii="Arial" w:cs="Arial" w:eastAsia="Arial" w:hAnsi="Arial"/>
                <w:sz w:val="14"/>
                <w:szCs w:val="14"/>
                <w:color w:val="auto"/>
              </w:rPr>
              <w:t>Mailsouth, Inc.</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06/15/2017</w:t>
            </w:r>
          </w:p>
        </w:tc>
        <w:tc>
          <w:tcPr>
            <w:tcW w:w="2280" w:type="dxa"/>
            <w:vAlign w:val="bottom"/>
            <w:gridSpan w:val="3"/>
          </w:tcPr>
          <w:p>
            <w:pPr>
              <w:jc w:val="center"/>
              <w:spacing w:after="0"/>
              <w:rPr>
                <w:sz w:val="20"/>
                <w:szCs w:val="20"/>
                <w:color w:val="auto"/>
              </w:rPr>
            </w:pPr>
            <w:r>
              <w:rPr>
                <w:rFonts w:ascii="Arial" w:cs="Arial" w:eastAsia="Arial" w:hAnsi="Arial"/>
                <w:sz w:val="14"/>
                <w:szCs w:val="14"/>
                <w:color w:val="auto"/>
                <w:w w:val="89"/>
              </w:rPr>
              <w:t>Printing and Publishing</w:t>
            </w: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(PIK 2.00%)</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15,000,000</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14,632,413</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15,210,000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15.02%</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PAS Technologies, Inc.</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05/12/2017</w:t>
            </w:r>
          </w:p>
        </w:tc>
        <w:tc>
          <w:tcPr>
            <w:tcW w:w="22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5"/>
              </w:rPr>
              <w:t>Aerospace and Defense</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5"/>
              </w:rPr>
              <w:t>(PIK 3.02%)</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6"/>
              </w:rPr>
              <w:t>17,123,218</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16,783,033</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17,123,218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9"/>
              </w:rPr>
              <w:t>Mining, Steel, Iron and Non-</w:t>
            </w:r>
          </w:p>
        </w:tc>
        <w:tc>
          <w:tcPr>
            <w:tcW w:w="114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13.50%</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740" w:type="dxa"/>
            <w:vAlign w:val="bottom"/>
            <w:gridSpan w:val="3"/>
          </w:tcPr>
          <w:p>
            <w:pPr>
              <w:spacing w:after="0"/>
              <w:rPr>
                <w:sz w:val="20"/>
                <w:szCs w:val="20"/>
                <w:color w:val="auto"/>
              </w:rPr>
            </w:pPr>
            <w:r>
              <w:rPr>
                <w:rFonts w:ascii="Arial" w:cs="Arial" w:eastAsia="Arial" w:hAnsi="Arial"/>
                <w:sz w:val="14"/>
                <w:szCs w:val="14"/>
                <w:color w:val="auto"/>
              </w:rPr>
              <w:t>Prince Mineral Holdings Corp.</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12/03/2016</w:t>
            </w:r>
          </w:p>
        </w:tc>
        <w:tc>
          <w:tcPr>
            <w:tcW w:w="2280" w:type="dxa"/>
            <w:vAlign w:val="bottom"/>
            <w:gridSpan w:val="3"/>
          </w:tcPr>
          <w:p>
            <w:pPr>
              <w:jc w:val="center"/>
              <w:spacing w:after="0"/>
              <w:rPr>
                <w:sz w:val="20"/>
                <w:szCs w:val="20"/>
                <w:color w:val="auto"/>
              </w:rPr>
            </w:pPr>
            <w:r>
              <w:rPr>
                <w:rFonts w:ascii="Arial" w:cs="Arial" w:eastAsia="Arial" w:hAnsi="Arial"/>
                <w:sz w:val="14"/>
                <w:szCs w:val="14"/>
                <w:color w:val="auto"/>
                <w:w w:val="88"/>
              </w:rPr>
              <w:t>Precious Metals</w:t>
            </w: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(PIK 2.00%)</w:t>
            </w:r>
          </w:p>
        </w:tc>
        <w:tc>
          <w:tcPr>
            <w:tcW w:w="5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w w:val="96"/>
              </w:rPr>
              <w:t>26,696,517</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26,263,685</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26,696,517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04/15/2018</w:t>
            </w:r>
          </w:p>
        </w:tc>
        <w:tc>
          <w:tcPr>
            <w:tcW w:w="22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11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11.00%</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10,000,000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9,247,298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9,400,000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12/29/2015</w:t>
            </w: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4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(7)</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96"/>
              </w:rPr>
              <w:t>12,020,950</w:t>
            </w:r>
          </w:p>
        </w:tc>
        <w:tc>
          <w:tcPr>
            <w:tcW w:w="100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11,708,199</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12,020,950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14.25%</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TrustHouse Services Group, Inc.</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06/03/2019</w:t>
            </w:r>
          </w:p>
        </w:tc>
        <w:tc>
          <w:tcPr>
            <w:tcW w:w="22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4"/>
              </w:rPr>
              <w:t>Beverage, Food, and Tobacco</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5"/>
              </w:rPr>
              <w:t>(PIK 2.25%)</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6"/>
              </w:rPr>
              <w:t>14,778,578</w:t>
            </w:r>
          </w:p>
        </w:tc>
        <w:tc>
          <w:tcPr>
            <w:tcW w:w="100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14,527,411</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14,778,578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1"/>
                <w:szCs w:val="11"/>
                <w:color w:val="auto"/>
              </w:rPr>
              <w:t>TrustHouse Services Group, Inc.</w:t>
            </w:r>
            <w:r>
              <w:rPr>
                <w:rFonts w:ascii="Arial" w:cs="Arial" w:eastAsia="Arial" w:hAnsi="Arial"/>
                <w:sz w:val="17"/>
                <w:szCs w:val="17"/>
                <w:color w:val="auto"/>
                <w:vertAlign w:val="superscript"/>
              </w:rPr>
              <w:t>(9)</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06/02/2014</w:t>
            </w:r>
          </w:p>
        </w:tc>
        <w:tc>
          <w:tcPr>
            <w:tcW w:w="22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18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4,000,000</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3,920,000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12/31/2015</w:t>
            </w:r>
          </w:p>
        </w:tc>
        <w:tc>
          <w:tcPr>
            <w:tcW w:w="22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1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13.00%</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16,200,000</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15,916,579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16,200,000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355,236,902</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351,070,859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Interests—1.7%</w:t>
            </w:r>
            <w:r>
              <w:rPr>
                <w:rFonts w:ascii="Arial" w:cs="Arial" w:eastAsia="Arial" w:hAnsi="Arial"/>
                <w:sz w:val="17"/>
                <w:szCs w:val="17"/>
                <w:b w:val="1"/>
                <w:bCs w:val="1"/>
                <w:color w:val="auto"/>
                <w:vertAlign w:val="superscript"/>
              </w:rPr>
              <w:t>(6)</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tcPr>
          <w:p>
            <w:pPr>
              <w:spacing w:after="0" w:line="138" w:lineRule="exact"/>
              <w:rPr>
                <w:sz w:val="20"/>
                <w:szCs w:val="20"/>
                <w:color w:val="auto"/>
              </w:rPr>
            </w:pPr>
            <w:r>
              <w:rPr>
                <w:rFonts w:ascii="Arial" w:cs="Arial" w:eastAsia="Arial" w:hAnsi="Arial"/>
                <w:sz w:val="14"/>
                <w:szCs w:val="14"/>
                <w:color w:val="auto"/>
              </w:rPr>
              <w:t>AH Holdings, Inc.</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(American Surgical Holdings, Inc.)</w:t>
            </w:r>
          </w:p>
        </w:tc>
        <w:tc>
          <w:tcPr>
            <w:tcW w:w="140" w:type="dxa"/>
            <w:vAlign w:val="bottom"/>
          </w:tcPr>
          <w:p>
            <w:pPr>
              <w:spacing w:after="0"/>
              <w:rPr>
                <w:sz w:val="13"/>
                <w:szCs w:val="13"/>
                <w:color w:val="auto"/>
              </w:rPr>
            </w:pP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Healthcare, Education and Childcare</w:t>
            </w:r>
          </w:p>
        </w:tc>
        <w:tc>
          <w:tcPr>
            <w:tcW w:w="114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6.00%</w:t>
            </w:r>
          </w:p>
        </w:tc>
        <w:tc>
          <w:tcPr>
            <w:tcW w:w="5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211</w:t>
            </w:r>
          </w:p>
        </w:tc>
        <w:tc>
          <w:tcPr>
            <w:tcW w:w="92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500,000</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624,081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7,505</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tcPr>
          <w:p>
            <w:pPr>
              <w:spacing w:after="0" w:line="138" w:lineRule="exact"/>
              <w:rPr>
                <w:sz w:val="20"/>
                <w:szCs w:val="20"/>
                <w:color w:val="auto"/>
              </w:rPr>
            </w:pPr>
            <w:r>
              <w:rPr>
                <w:rFonts w:ascii="Arial" w:cs="Arial" w:eastAsia="Arial" w:hAnsi="Arial"/>
                <w:sz w:val="14"/>
                <w:szCs w:val="14"/>
                <w:color w:val="auto"/>
              </w:rPr>
              <w:t>Alegeus Technologies Holding</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Corp., Series A</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(Alegeus Technologies, LLC)</w:t>
            </w:r>
          </w:p>
        </w:tc>
        <w:tc>
          <w:tcPr>
            <w:tcW w:w="140" w:type="dxa"/>
            <w:vAlign w:val="bottom"/>
          </w:tcPr>
          <w:p>
            <w:pPr>
              <w:spacing w:after="0"/>
              <w:rPr>
                <w:sz w:val="13"/>
                <w:szCs w:val="13"/>
                <w:color w:val="auto"/>
              </w:rPr>
            </w:pP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Financial Services</w:t>
            </w:r>
          </w:p>
        </w:tc>
        <w:tc>
          <w:tcPr>
            <w:tcW w:w="180" w:type="dxa"/>
            <w:vAlign w:val="bottom"/>
          </w:tcPr>
          <w:p>
            <w:pPr>
              <w:spacing w:after="0"/>
              <w:rPr>
                <w:sz w:val="13"/>
                <w:szCs w:val="13"/>
                <w:color w:val="auto"/>
              </w:rPr>
            </w:pPr>
          </w:p>
        </w:tc>
        <w:tc>
          <w:tcPr>
            <w:tcW w:w="9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949</w:t>
            </w:r>
          </w:p>
        </w:tc>
        <w:tc>
          <w:tcPr>
            <w:tcW w:w="92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949,050</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1,031,820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3"/>
              </w:rPr>
              <w:t>CI (IHS) Investment Holdings, LLC (Interactive Health Solutions,</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Inc.)</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Healthcare, Education and Childcare</w:t>
            </w:r>
          </w:p>
        </w:tc>
        <w:tc>
          <w:tcPr>
            <w:tcW w:w="1140" w:type="dxa"/>
            <w:vAlign w:val="bottom"/>
            <w:gridSpan w:val="3"/>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8.00%</w:t>
            </w:r>
          </w:p>
        </w:tc>
        <w:tc>
          <w:tcPr>
            <w:tcW w:w="58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76,357</w:t>
            </w:r>
          </w:p>
        </w:tc>
        <w:tc>
          <w:tcPr>
            <w:tcW w:w="92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765,307</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881,885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Basis</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Point</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Spread</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90"/>
              </w:rPr>
              <w:t>Current</w:t>
            </w:r>
          </w:p>
        </w:tc>
        <w:tc>
          <w:tcPr>
            <w:tcW w:w="5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Above</w:t>
            </w:r>
          </w:p>
        </w:tc>
        <w:tc>
          <w:tcPr>
            <w:tcW w:w="140" w:type="dxa"/>
            <w:vAlign w:val="bottom"/>
          </w:tcPr>
          <w:p>
            <w:pPr>
              <w:spacing w:after="0"/>
              <w:rPr>
                <w:sz w:val="11"/>
                <w:szCs w:val="11"/>
                <w:color w:val="auto"/>
              </w:rPr>
            </w:pPr>
          </w:p>
        </w:tc>
        <w:tc>
          <w:tcPr>
            <w:tcW w:w="82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12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5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5"/>
              </w:rPr>
              <w:t>Maturity</w:t>
            </w:r>
          </w:p>
        </w:tc>
        <w:tc>
          <w:tcPr>
            <w:tcW w:w="460" w:type="dxa"/>
            <w:vAlign w:val="bottom"/>
          </w:tcPr>
          <w:p>
            <w:pPr>
              <w:spacing w:after="0"/>
              <w:rPr>
                <w:sz w:val="15"/>
                <w:szCs w:val="15"/>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Industry</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Coupon</w:t>
            </w:r>
          </w:p>
        </w:tc>
        <w:tc>
          <w:tcPr>
            <w:tcW w:w="5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40" w:type="dxa"/>
            <w:vAlign w:val="bottom"/>
          </w:tcPr>
          <w:p>
            <w:pPr>
              <w:spacing w:after="0"/>
              <w:rPr>
                <w:sz w:val="15"/>
                <w:szCs w:val="15"/>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5"/>
                <w:szCs w:val="15"/>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6"/>
              </w:rPr>
              <w:t>Cost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4960" w:type="dxa"/>
            <w:vAlign w:val="bottom"/>
            <w:gridSpan w:val="2"/>
            <w:shd w:val="clear" w:color="auto" w:fill="CCEEFF"/>
          </w:tcPr>
          <w:p>
            <w:pPr>
              <w:spacing w:after="0" w:line="131"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gridSpan w:val="3"/>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Healthcare, Education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(Interactive Health Solutions, Inc.)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38,179</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   382,654</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5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Electronics</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2,375</w:t>
            </w: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2,375,000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6"/>
              </w:rPr>
              <w:t>2,375,000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 Topco, Inc. (Hanley-Wood, LLC)</w:t>
            </w:r>
          </w:p>
        </w:tc>
        <w:tc>
          <w:tcPr>
            <w:tcW w:w="5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8.00%</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3,591</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24,177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27,916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PAS Tech Holdings, Inc., Series A-1</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(PAS Technologies, Inc.)</w:t>
            </w:r>
          </w:p>
        </w:tc>
        <w:tc>
          <w:tcPr>
            <w:tcW w:w="50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8.00%</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20,000</w:t>
            </w: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1,980,000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823,710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Beverage, Food,</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3"/>
              </w:rPr>
              <w:t>and Tobacco</w:t>
            </w: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12.00%</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1,099</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984,344</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6"/>
              </w:rPr>
              <w:t>1,111,742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50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3"/>
                <w:szCs w:val="13"/>
                <w:color w:val="auto"/>
              </w:rPr>
            </w:pPr>
          </w:p>
        </w:tc>
        <w:tc>
          <w:tcPr>
            <w:tcW w:w="980" w:type="dxa"/>
            <w:vAlign w:val="bottom"/>
            <w:gridSpan w:val="2"/>
          </w:tcPr>
          <w:p>
            <w:pPr>
              <w:jc w:val="center"/>
              <w:ind w:right="460"/>
              <w:spacing w:after="0" w:line="159" w:lineRule="exact"/>
              <w:rPr>
                <w:sz w:val="20"/>
                <w:szCs w:val="20"/>
                <w:color w:val="auto"/>
              </w:rPr>
            </w:pPr>
            <w:r>
              <w:rPr>
                <w:rFonts w:ascii="Arial" w:cs="Arial" w:eastAsia="Arial" w:hAnsi="Arial"/>
                <w:sz w:val="14"/>
                <w:szCs w:val="14"/>
                <w:color w:val="auto"/>
                <w:w w:val="84"/>
              </w:rPr>
              <w:t>Insurance</w:t>
            </w: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686</w:t>
            </w: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685,820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center"/>
              <w:ind w:right="460"/>
              <w:spacing w:after="0" w:line="159" w:lineRule="exact"/>
              <w:rPr>
                <w:sz w:val="20"/>
                <w:szCs w:val="20"/>
                <w:color w:val="auto"/>
              </w:rPr>
            </w:pPr>
            <w:r>
              <w:rPr>
                <w:rFonts w:ascii="Arial" w:cs="Arial" w:eastAsia="Arial" w:hAnsi="Arial"/>
                <w:sz w:val="14"/>
                <w:szCs w:val="14"/>
                <w:color w:val="auto"/>
                <w:w w:val="84"/>
              </w:rPr>
              <w:t>Insurance</w:t>
            </w:r>
          </w:p>
        </w:tc>
        <w:tc>
          <w:tcPr>
            <w:tcW w:w="7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6.50%</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1,312</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1,666,679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Verde Parent Holdings, Inc.</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jc w:val="center"/>
              <w:ind w:right="480"/>
              <w:spacing w:after="0" w:line="138" w:lineRule="exact"/>
              <w:rPr>
                <w:sz w:val="20"/>
                <w:szCs w:val="20"/>
                <w:color w:val="auto"/>
              </w:rPr>
            </w:pPr>
            <w:r>
              <w:rPr>
                <w:rFonts w:ascii="Arial" w:cs="Arial" w:eastAsia="Arial" w:hAnsi="Arial"/>
                <w:sz w:val="14"/>
                <w:szCs w:val="14"/>
                <w:color w:val="auto"/>
                <w:w w:val="83"/>
              </w:rPr>
              <w:t>Personal</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8"/>
              </w:rPr>
              <w:t>Transportation</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8.00%</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w w:val="99"/>
              </w:rPr>
              <w:t>1,824,167</w:t>
            </w:r>
          </w:p>
        </w:tc>
        <w:tc>
          <w:tcPr>
            <w:tcW w:w="6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1,824,167</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w w:val="96"/>
              </w:rPr>
              <w:t>1,949,629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12,101,421</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11,178,282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Equity/Warrants/Partnership Interests—9.2%</w:t>
            </w:r>
            <w:r>
              <w:rPr>
                <w:rFonts w:ascii="Arial" w:cs="Arial" w:eastAsia="Arial" w:hAnsi="Arial"/>
                <w:sz w:val="18"/>
                <w:szCs w:val="18"/>
                <w:b w:val="1"/>
                <w:bCs w:val="1"/>
                <w:color w:val="auto"/>
                <w:vertAlign w:val="superscript"/>
              </w:rPr>
              <w:t>(6)</w:t>
            </w: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Acentia, LLC, Class A Units </w:t>
            </w:r>
            <w:r>
              <w:rPr>
                <w:rFonts w:ascii="Arial" w:cs="Arial" w:eastAsia="Arial" w:hAnsi="Arial"/>
                <w:sz w:val="17"/>
                <w:szCs w:val="17"/>
                <w:color w:val="auto"/>
                <w:vertAlign w:val="superscript"/>
              </w:rPr>
              <w:t>(12)</w:t>
            </w:r>
          </w:p>
        </w:tc>
        <w:tc>
          <w:tcPr>
            <w:tcW w:w="5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Electronics</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1,998</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1,737,396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AH Holdings, Inc. (Warrants)</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(American Surgical Holdings, Inc.)</w:t>
            </w:r>
          </w:p>
        </w:tc>
        <w:tc>
          <w:tcPr>
            <w:tcW w:w="118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03/23/2021</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753</w:t>
            </w:r>
          </w:p>
        </w:tc>
        <w:tc>
          <w:tcPr>
            <w:tcW w:w="200" w:type="dxa"/>
            <w:vAlign w:val="bottom"/>
          </w:tcPr>
          <w:p>
            <w:pPr>
              <w:spacing w:after="0"/>
              <w:rPr>
                <w:sz w:val="13"/>
                <w:szCs w:val="13"/>
                <w:color w:val="auto"/>
              </w:rPr>
            </w:pPr>
          </w:p>
        </w:tc>
        <w:tc>
          <w:tcPr>
            <w:tcW w:w="4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6"/>
              </w:rPr>
              <w:t>2,063,780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Alegeus Technologies Holding Corp., Class A (Alegeus Technologies, LLC)</w:t>
            </w:r>
          </w:p>
        </w:tc>
        <w:tc>
          <w:tcPr>
            <w:tcW w:w="5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Autumn Games, LLC</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6"/>
              </w:rPr>
              <w:t>Broadcasting and</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w w:val="99"/>
              </w:rPr>
              <w:t>1,333,330</w:t>
            </w: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CI (Galls) Prime Investment Holdings, LLC </w:t>
            </w:r>
            <w:r>
              <w:rPr>
                <w:rFonts w:ascii="Arial" w:cs="Arial" w:eastAsia="Arial" w:hAnsi="Arial"/>
                <w:sz w:val="15"/>
                <w:szCs w:val="15"/>
                <w:color w:val="auto"/>
                <w:vertAlign w:val="superscript"/>
              </w:rPr>
              <w:t>(11)</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(Galls, LLC; Quartermaster Inc.)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94"/>
              </w:rPr>
              <w:t>Distribution</w:t>
            </w: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w w:val="99"/>
              </w:rPr>
              <w:t>1,505,000</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1,505,000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1,680,720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CI (IHS) Investment Holdings, LLC</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(Interactive Health Solutions, Inc.)</w:t>
            </w:r>
          </w:p>
        </w:tc>
        <w:tc>
          <w:tcPr>
            <w:tcW w:w="50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23,416</w:t>
            </w: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234,693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270,457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CI (IHS) Investment Holdings, LLC</w:t>
            </w:r>
            <w:r>
              <w:rPr>
                <w:rFonts w:ascii="Arial" w:cs="Arial" w:eastAsia="Arial" w:hAnsi="Arial"/>
                <w:sz w:val="15"/>
                <w:szCs w:val="15"/>
                <w:color w:val="auto"/>
                <w:vertAlign w:val="superscript"/>
              </w:rPr>
              <w:t>(9)</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(Interactive Health Solutions, Inc.)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11,708</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117,346</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Convergint Technologies Holdings, LLC</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(Convergint Technologies) LLC</w:t>
            </w:r>
          </w:p>
        </w:tc>
        <w:tc>
          <w:tcPr>
            <w:tcW w:w="50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Electronics</w:t>
            </w: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2,375</w:t>
            </w:r>
          </w:p>
        </w:tc>
        <w:tc>
          <w:tcPr>
            <w:tcW w:w="200" w:type="dxa"/>
            <w:vAlign w:val="bottom"/>
          </w:tcPr>
          <w:p>
            <w:pPr>
              <w:spacing w:after="0"/>
              <w:rPr>
                <w:sz w:val="13"/>
                <w:szCs w:val="13"/>
                <w:color w:val="auto"/>
              </w:rPr>
            </w:pPr>
          </w:p>
        </w:tc>
        <w:tc>
          <w:tcPr>
            <w:tcW w:w="4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5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5,556</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1,904,033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6,665,183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DirectBuy Investors, L.P.</w:t>
            </w:r>
          </w:p>
        </w:tc>
        <w:tc>
          <w:tcPr>
            <w:tcW w:w="5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Consumer Products</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30,000</w:t>
            </w: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1,350,000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 Topco, Inc. (Hanley-Wood, LLC)</w:t>
            </w:r>
          </w:p>
        </w:tc>
        <w:tc>
          <w:tcPr>
            <w:tcW w:w="5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348,912</w:t>
            </w: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2,443,050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2,642,438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Kadmon Holdings, LLC, Class A</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(Kadmon Pharmaceuticals, LLC)</w:t>
            </w:r>
          </w:p>
        </w:tc>
        <w:tc>
          <w:tcPr>
            <w:tcW w:w="50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w w:val="99"/>
              </w:rPr>
              <w:t>1,079,920</w:t>
            </w: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1,236,832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85"/>
              </w:rPr>
              <w:t>12,013,688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Holdings, LLC, Class D</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(Kadmon Pharmaceuticals, LLC)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w w:val="99"/>
              </w:rPr>
              <w:t>1,079,920</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1,028,807</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1,028,807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11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04/27/2020</w:t>
            </w:r>
          </w:p>
        </w:tc>
        <w:tc>
          <w:tcPr>
            <w:tcW w:w="14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Education</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1,267</w:t>
            </w: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779,920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Magnum Hunter Resources Corporation</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(Eureka Hunter Pipeline, LLC)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w w:val="99"/>
              </w:rPr>
              <w:t>1,221,932</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3,239,999</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5,425,378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w w:val="97"/>
              </w:rPr>
              <w:t>Magnum Hunter Resources Corporation (Warrants) (Eureka Hunter Pipeline, LLC)</w:t>
            </w:r>
          </w:p>
        </w:tc>
        <w:tc>
          <w:tcPr>
            <w:tcW w:w="11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10/14/2013</w:t>
            </w: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7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122,193</w:t>
            </w: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105,697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31,778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MidOcean JF Holdings Corp.</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(JF Acquisition, LLC)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94"/>
              </w:rPr>
              <w:t>Distribution</w:t>
            </w: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1,700</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1,700,000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1,641,575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tcPr>
          <w:p>
            <w:pPr>
              <w:spacing w:after="0" w:line="138" w:lineRule="exact"/>
              <w:rPr>
                <w:sz w:val="20"/>
                <w:szCs w:val="20"/>
                <w:color w:val="auto"/>
              </w:rPr>
            </w:pPr>
            <w:r>
              <w:rPr>
                <w:rFonts w:ascii="Arial" w:cs="Arial" w:eastAsia="Arial" w:hAnsi="Arial"/>
                <w:sz w:val="14"/>
                <w:szCs w:val="14"/>
                <w:color w:val="auto"/>
              </w:rPr>
              <w:t>MidOcean PPL Holdings, Inc.</w:t>
            </w: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5"/>
              </w:rPr>
              <w:t>Personal, Food and</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(Pre-Paid Legal Services, Inc.)</w:t>
            </w:r>
          </w:p>
        </w:tc>
        <w:tc>
          <w:tcPr>
            <w:tcW w:w="50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Miscellaneous Services</w:t>
            </w:r>
          </w:p>
        </w:tc>
        <w:tc>
          <w:tcPr>
            <w:tcW w:w="7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rPr>
              <w:t>3,000</w:t>
            </w: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6"/>
              </w:rPr>
              <w:t>4,377,360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9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Paradigm Acquisition Corp.</w:t>
            </w:r>
          </w:p>
        </w:tc>
        <w:tc>
          <w:tcPr>
            <w:tcW w:w="5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(Paradigm Management Services, LLC)</w:t>
            </w:r>
          </w:p>
        </w:tc>
        <w:tc>
          <w:tcPr>
            <w:tcW w:w="5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44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7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20,000</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2,124,491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0"/>
              </w:rPr>
              <w:t>Basis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Point</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Spread</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94"/>
              </w:rPr>
              <w:t>Current</w:t>
            </w:r>
          </w:p>
        </w:tc>
        <w:tc>
          <w:tcPr>
            <w:tcW w:w="7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180" w:type="dxa"/>
            <w:vAlign w:val="bottom"/>
          </w:tcPr>
          <w:p>
            <w:pPr>
              <w:spacing w:after="0"/>
              <w:rPr>
                <w:sz w:val="11"/>
                <w:szCs w:val="11"/>
                <w:color w:val="auto"/>
              </w:rPr>
            </w:pPr>
          </w:p>
        </w:tc>
        <w:tc>
          <w:tcPr>
            <w:tcW w:w="920" w:type="dxa"/>
            <w:vAlign w:val="bottom"/>
            <w:gridSpan w:val="2"/>
          </w:tcPr>
          <w:p>
            <w:pPr>
              <w:jc w:val="right"/>
              <w:ind w:right="580"/>
              <w:spacing w:after="0" w:line="135"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4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Maturity</w:t>
            </w:r>
          </w:p>
        </w:tc>
        <w:tc>
          <w:tcPr>
            <w:tcW w:w="840" w:type="dxa"/>
            <w:vAlign w:val="bottom"/>
          </w:tcPr>
          <w:p>
            <w:pPr>
              <w:spacing w:after="0"/>
              <w:rPr>
                <w:sz w:val="15"/>
                <w:szCs w:val="15"/>
                <w:color w:val="auto"/>
              </w:rPr>
            </w:pPr>
          </w:p>
        </w:tc>
        <w:tc>
          <w:tcPr>
            <w:tcW w:w="152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94"/>
              </w:rPr>
              <w:t>Industry</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Coupon</w:t>
            </w:r>
          </w:p>
        </w:tc>
        <w:tc>
          <w:tcPr>
            <w:tcW w:w="700" w:type="dxa"/>
            <w:vAlign w:val="bottom"/>
            <w:gridSpan w:val="2"/>
          </w:tcPr>
          <w:p>
            <w:pPr>
              <w:jc w:val="center"/>
              <w:ind w:right="24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180" w:type="dxa"/>
            <w:vAlign w:val="bottom"/>
          </w:tcPr>
          <w:p>
            <w:pPr>
              <w:spacing w:after="0"/>
              <w:rPr>
                <w:sz w:val="15"/>
                <w:szCs w:val="15"/>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5"/>
                <w:szCs w:val="15"/>
                <w:color w:val="auto"/>
              </w:rPr>
            </w:pPr>
          </w:p>
        </w:tc>
        <w:tc>
          <w:tcPr>
            <w:tcW w:w="6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center"/>
              <w:ind w:right="20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34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PAS Tech Holdings, Inc.</w:t>
            </w: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(PAS Technologies, Inc.)</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20,000</w:t>
            </w:r>
          </w:p>
        </w:tc>
        <w:tc>
          <w:tcPr>
            <w:tcW w:w="3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A</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240" w:type="dxa"/>
            <w:vAlign w:val="bottom"/>
          </w:tcPr>
          <w:p>
            <w:pPr>
              <w:spacing w:after="0"/>
              <w:rPr>
                <w:sz w:val="13"/>
                <w:szCs w:val="13"/>
                <w:color w:val="auto"/>
              </w:rPr>
            </w:pPr>
          </w:p>
        </w:tc>
        <w:tc>
          <w:tcPr>
            <w:tcW w:w="8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8"/>
              </w:rPr>
              <w:t>Other Media</w:t>
            </w:r>
          </w:p>
        </w:tc>
        <w:tc>
          <w:tcPr>
            <w:tcW w:w="96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4,325</w:t>
            </w:r>
          </w:p>
        </w:tc>
        <w:tc>
          <w:tcPr>
            <w:tcW w:w="80" w:type="dxa"/>
            <w:vAlign w:val="bottom"/>
          </w:tcPr>
          <w:p>
            <w:pPr>
              <w:spacing w:after="0"/>
              <w:rPr>
                <w:sz w:val="13"/>
                <w:szCs w:val="13"/>
                <w:color w:val="auto"/>
              </w:rPr>
            </w:pP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1,306,166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1,404,661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B</w:t>
            </w: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8"/>
              </w:rPr>
              <w:t>Other Media</w:t>
            </w:r>
          </w:p>
        </w:tc>
        <w:tc>
          <w:tcPr>
            <w:tcW w:w="96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172,457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SPG Boyd Holdings Corp.</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(LTI Flexible Products, Inc.)</w:t>
            </w:r>
          </w:p>
        </w:tc>
        <w:tc>
          <w:tcPr>
            <w:tcW w:w="240" w:type="dxa"/>
            <w:vAlign w:val="bottom"/>
          </w:tcPr>
          <w:p>
            <w:pPr>
              <w:spacing w:after="0"/>
              <w:rPr>
                <w:sz w:val="13"/>
                <w:szCs w:val="13"/>
                <w:color w:val="auto"/>
              </w:rPr>
            </w:pPr>
          </w:p>
        </w:tc>
        <w:tc>
          <w:tcPr>
            <w:tcW w:w="8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6"/>
              </w:rPr>
              <w:t>Chemical, Plastic and Rubber</w:t>
            </w:r>
          </w:p>
        </w:tc>
        <w:tc>
          <w:tcPr>
            <w:tcW w:w="96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300,000</w:t>
            </w:r>
          </w:p>
        </w:tc>
        <w:tc>
          <w:tcPr>
            <w:tcW w:w="80" w:type="dxa"/>
            <w:vAlign w:val="bottom"/>
          </w:tcPr>
          <w:p>
            <w:pPr>
              <w:spacing w:after="0"/>
              <w:rPr>
                <w:sz w:val="13"/>
                <w:szCs w:val="13"/>
                <w:color w:val="auto"/>
              </w:rPr>
            </w:pPr>
          </w:p>
        </w:tc>
        <w:tc>
          <w:tcPr>
            <w:tcW w:w="66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Titan Private Holdings I, LLC – Class A</w:t>
            </w: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(Tekelec Global, Inc.)</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7"/>
              </w:rPr>
              <w:t>Telecommunications</w:t>
            </w:r>
          </w:p>
        </w:tc>
        <w:tc>
          <w:tcPr>
            <w:tcW w:w="96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2,276,847</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2,274,883</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6,182,426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12/29/2019</w:t>
            </w:r>
          </w:p>
        </w:tc>
        <w:tc>
          <w:tcPr>
            <w:tcW w:w="23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3,500</w:t>
            </w: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29,400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1,197,412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Transportation 100 Holdco, L.L.C.</w:t>
            </w:r>
            <w:r>
              <w:rPr>
                <w:rFonts w:ascii="Arial" w:cs="Arial" w:eastAsia="Arial" w:hAnsi="Arial"/>
                <w:sz w:val="15"/>
                <w:szCs w:val="15"/>
                <w:color w:val="auto"/>
                <w:vertAlign w:val="superscript"/>
              </w:rPr>
              <w:t>(13)</w:t>
            </w: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6"/>
              </w:rPr>
              <w:t>Cargo Transport</w:t>
            </w:r>
          </w:p>
        </w:tc>
        <w:tc>
          <w:tcPr>
            <w:tcW w:w="96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137,923</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2,111,588</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24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3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4"/>
              </w:rPr>
              <w:t>Insurance</w:t>
            </w: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9,567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713,718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Verde Parent Holdings, Inc.</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36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5"/>
              </w:rPr>
              <w:t>Personal Transportation</w:t>
            </w: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9,166</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9,167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240" w:type="dxa"/>
            <w:vAlign w:val="bottom"/>
          </w:tcPr>
          <w:p>
            <w:pPr>
              <w:spacing w:after="0"/>
              <w:rPr>
                <w:sz w:val="13"/>
                <w:szCs w:val="13"/>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3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3"/>
              </w:rPr>
              <w:t>Business Services</w:t>
            </w: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35,526</w:t>
            </w: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4,050,000</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6,941,000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Total Common Equity/Warrants/ Partnership Interests</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38,457,098</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61,315,758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0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w w:val="93"/>
              </w:rPr>
              <w:t>Total Investments in Non-Controlled, Non-Affiliated Portfolio Companies</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2"/>
              </w:rPr>
              <w:t>871,867,953</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4"/>
              </w:rPr>
              <w:t>871,892,745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5"/>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Non-Controlled, Affiliated Portfolio Companies—12.0%</w:t>
            </w:r>
            <w:r>
              <w:rPr>
                <w:rFonts w:ascii="Arial" w:cs="Arial" w:eastAsia="Arial" w:hAnsi="Arial"/>
                <w:sz w:val="17"/>
                <w:szCs w:val="17"/>
                <w:b w:val="1"/>
                <w:bCs w:val="1"/>
                <w:color w:val="auto"/>
                <w:vertAlign w:val="superscript"/>
              </w:rPr>
              <w:t>(1),(2)</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Second Lien Secured Debt—1.1%</w:t>
            </w: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color w:val="auto"/>
              </w:rPr>
              <w:t>L+625</w:t>
            </w:r>
            <w:r>
              <w:rPr>
                <w:rFonts w:ascii="Arial" w:cs="Arial" w:eastAsia="Arial" w:hAnsi="Arial"/>
                <w:sz w:val="22"/>
                <w:szCs w:val="22"/>
                <w:color w:val="auto"/>
                <w:vertAlign w:val="superscript"/>
              </w:rPr>
              <w:t>(8)</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1080" w:type="dxa"/>
            <w:vAlign w:val="bottom"/>
            <w:gridSpan w:val="3"/>
          </w:tcPr>
          <w:p>
            <w:pPr>
              <w:jc w:val="right"/>
              <w:ind w:right="240"/>
              <w:spacing w:after="0" w:line="138" w:lineRule="exact"/>
              <w:rPr>
                <w:sz w:val="20"/>
                <w:szCs w:val="20"/>
                <w:color w:val="auto"/>
              </w:rPr>
            </w:pPr>
            <w:r>
              <w:rPr>
                <w:rFonts w:ascii="Arial" w:cs="Arial" w:eastAsia="Arial" w:hAnsi="Arial"/>
                <w:sz w:val="14"/>
                <w:szCs w:val="14"/>
                <w:color w:val="auto"/>
              </w:rPr>
              <w:t>01/16/2015</w:t>
            </w:r>
          </w:p>
        </w:tc>
        <w:tc>
          <w:tcPr>
            <w:tcW w:w="2360" w:type="dxa"/>
            <w:vAlign w:val="bottom"/>
            <w:gridSpan w:val="3"/>
          </w:tcPr>
          <w:p>
            <w:pPr>
              <w:jc w:val="center"/>
              <w:ind w:right="160"/>
              <w:spacing w:after="0" w:line="138" w:lineRule="exact"/>
              <w:rPr>
                <w:sz w:val="20"/>
                <w:szCs w:val="20"/>
                <w:color w:val="auto"/>
              </w:rPr>
            </w:pPr>
            <w:r>
              <w:rPr>
                <w:rFonts w:ascii="Arial" w:cs="Arial" w:eastAsia="Arial" w:hAnsi="Arial"/>
                <w:sz w:val="14"/>
                <w:szCs w:val="14"/>
                <w:color w:val="auto"/>
                <w:w w:val="87"/>
              </w:rPr>
              <w:t>Leisure, Amusement Motion Pictures</w:t>
            </w:r>
          </w:p>
        </w:tc>
        <w:tc>
          <w:tcPr>
            <w:tcW w:w="960" w:type="dxa"/>
            <w:vAlign w:val="bottom"/>
            <w:gridSpan w:val="2"/>
          </w:tcPr>
          <w:p>
            <w:pPr>
              <w:jc w:val="right"/>
              <w:ind w:right="320"/>
              <w:spacing w:after="0" w:line="138" w:lineRule="exact"/>
              <w:rPr>
                <w:sz w:val="20"/>
                <w:szCs w:val="20"/>
                <w:color w:val="auto"/>
              </w:rPr>
            </w:pPr>
            <w:r>
              <w:rPr>
                <w:rFonts w:ascii="Arial" w:cs="Arial" w:eastAsia="Arial" w:hAnsi="Arial"/>
                <w:sz w:val="14"/>
                <w:szCs w:val="14"/>
                <w:color w:val="auto"/>
              </w:rPr>
              <w:t>7.25%</w:t>
            </w:r>
          </w:p>
        </w:tc>
        <w:tc>
          <w:tcPr>
            <w:tcW w:w="700" w:type="dxa"/>
            <w:vAlign w:val="bottom"/>
            <w:gridSpan w:val="2"/>
            <w:vMerge w:val="continue"/>
          </w:tcPr>
          <w:p>
            <w:pPr>
              <w:spacing w:after="0"/>
              <w:rPr>
                <w:sz w:val="11"/>
                <w:szCs w:val="11"/>
                <w:color w:val="auto"/>
              </w:rPr>
            </w:pPr>
          </w:p>
        </w:tc>
        <w:tc>
          <w:tcPr>
            <w:tcW w:w="110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8,000,000</w:t>
            </w:r>
          </w:p>
        </w:tc>
        <w:tc>
          <w:tcPr>
            <w:tcW w:w="80" w:type="dxa"/>
            <w:vAlign w:val="bottom"/>
          </w:tcPr>
          <w:p>
            <w:pPr>
              <w:spacing w:after="0"/>
              <w:rPr>
                <w:sz w:val="11"/>
                <w:szCs w:val="11"/>
                <w:color w:val="auto"/>
              </w:rPr>
            </w:pPr>
          </w:p>
        </w:tc>
        <w:tc>
          <w:tcPr>
            <w:tcW w:w="66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8,000,000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7,672,000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Subordinated Debt/Corporate Notes—7.1%</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7"/>
              </w:rPr>
              <w:t>and Entertainment</w:t>
            </w: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1080" w:type="dxa"/>
            <w:vAlign w:val="bottom"/>
            <w:gridSpan w:val="3"/>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07/16/2015</w:t>
            </w:r>
          </w:p>
        </w:tc>
        <w:tc>
          <w:tcPr>
            <w:tcW w:w="2360" w:type="dxa"/>
            <w:vAlign w:val="bottom"/>
            <w:gridSpan w:val="3"/>
            <w:shd w:val="clear" w:color="auto" w:fill="CCEEFF"/>
          </w:tcPr>
          <w:p>
            <w:pPr>
              <w:jc w:val="center"/>
              <w:ind w:right="160"/>
              <w:spacing w:after="0" w:line="138" w:lineRule="exact"/>
              <w:rPr>
                <w:sz w:val="20"/>
                <w:szCs w:val="20"/>
                <w:color w:val="auto"/>
              </w:rPr>
            </w:pPr>
            <w:r>
              <w:rPr>
                <w:rFonts w:ascii="Arial" w:cs="Arial" w:eastAsia="Arial" w:hAnsi="Arial"/>
                <w:sz w:val="14"/>
                <w:szCs w:val="14"/>
                <w:color w:val="auto"/>
                <w:w w:val="87"/>
              </w:rPr>
              <w:t>Leisure, Amusement, Motion Pictures</w:t>
            </w:r>
          </w:p>
        </w:tc>
        <w:tc>
          <w:tcPr>
            <w:tcW w:w="96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0"/>
                <w:szCs w:val="10"/>
                <w:color w:val="auto"/>
              </w:rPr>
              <w:t>15.00%</w:t>
            </w:r>
            <w:r>
              <w:rPr>
                <w:rFonts w:ascii="Arial" w:cs="Arial" w:eastAsia="Arial" w:hAnsi="Arial"/>
                <w:sz w:val="15"/>
                <w:szCs w:val="15"/>
                <w:color w:val="auto"/>
                <w:vertAlign w:val="superscript"/>
              </w:rPr>
              <w:t>(7)</w:t>
            </w:r>
          </w:p>
        </w:tc>
        <w:tc>
          <w:tcPr>
            <w:tcW w:w="700" w:type="dxa"/>
            <w:vAlign w:val="bottom"/>
            <w:gridSpan w:val="2"/>
            <w:shd w:val="clear" w:color="auto" w:fill="CCEEFF"/>
          </w:tcPr>
          <w:p>
            <w:pPr>
              <w:ind w:left="260"/>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7,567,234</w:t>
            </w:r>
          </w:p>
        </w:tc>
        <w:tc>
          <w:tcPr>
            <w:tcW w:w="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7,435,314</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7,453,725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6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7"/>
              </w:rPr>
              <w:t>and Entertainment</w:t>
            </w:r>
          </w:p>
        </w:tc>
        <w:tc>
          <w:tcPr>
            <w:tcW w:w="5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10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10/02/2017</w:t>
            </w:r>
          </w:p>
        </w:tc>
        <w:tc>
          <w:tcPr>
            <w:tcW w:w="23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Auto Sector</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12.50%</w:t>
            </w:r>
          </w:p>
        </w:tc>
        <w:tc>
          <w:tcPr>
            <w:tcW w:w="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w w:val="99"/>
              </w:rPr>
              <w:t>24,000,000</w:t>
            </w: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1"/>
              </w:rPr>
              <w:t>23,495,700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4"/>
              </w:rPr>
              <w:t>24,000,000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Service Champ, Inc.</w:t>
            </w:r>
            <w:r>
              <w:rPr>
                <w:rFonts w:ascii="Arial" w:cs="Arial" w:eastAsia="Arial" w:hAnsi="Arial"/>
                <w:sz w:val="17"/>
                <w:szCs w:val="17"/>
                <w:color w:val="auto"/>
                <w:vertAlign w:val="superscript"/>
              </w:rPr>
              <w:t>(9)</w:t>
            </w:r>
          </w:p>
        </w:tc>
        <w:tc>
          <w:tcPr>
            <w:tcW w:w="10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10/02/2013</w:t>
            </w:r>
          </w:p>
        </w:tc>
        <w:tc>
          <w:tcPr>
            <w:tcW w:w="236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7"/>
              </w:rPr>
              <w:t>Auto Sector</w:t>
            </w:r>
          </w:p>
        </w:tc>
        <w:tc>
          <w:tcPr>
            <w:tcW w:w="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9"/>
              </w:rPr>
              <w:t>16,000,000</w:t>
            </w: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15,640,000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Total Subordinated Debt/Corporate Notes</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w w:val="91"/>
              </w:rPr>
              <w:t>46,571,014</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47,453,725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74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Equity/Partnership Interest—3.8%</w:t>
            </w:r>
            <w:r>
              <w:rPr>
                <w:rFonts w:ascii="Arial" w:cs="Arial" w:eastAsia="Arial" w:hAnsi="Arial"/>
                <w:sz w:val="17"/>
                <w:szCs w:val="17"/>
                <w:b w:val="1"/>
                <w:bCs w:val="1"/>
                <w:color w:val="auto"/>
                <w:vertAlign w:val="superscript"/>
              </w:rPr>
              <w:t>(6)</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24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36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7"/>
              </w:rPr>
              <w:t>Environmental Services</w:t>
            </w: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125,106</w:t>
            </w: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1"/>
              </w:rPr>
              <w:t>10,055,844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4"/>
              </w:rPr>
              <w:t>18,425,519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360" w:type="dxa"/>
            <w:vAlign w:val="bottom"/>
            <w:gridSpan w:val="3"/>
            <w:shd w:val="clear" w:color="auto" w:fill="CCEEFF"/>
          </w:tcPr>
          <w:p>
            <w:pPr>
              <w:jc w:val="center"/>
              <w:ind w:right="180"/>
              <w:spacing w:after="0" w:line="138" w:lineRule="exact"/>
              <w:rPr>
                <w:sz w:val="20"/>
                <w:szCs w:val="20"/>
                <w:color w:val="auto"/>
              </w:rPr>
            </w:pPr>
            <w:r>
              <w:rPr>
                <w:rFonts w:ascii="Arial" w:cs="Arial" w:eastAsia="Arial" w:hAnsi="Arial"/>
                <w:sz w:val="14"/>
                <w:szCs w:val="14"/>
                <w:color w:val="auto"/>
                <w:w w:val="88"/>
              </w:rPr>
              <w:t>Leisure, Amusement, Motion Pictures</w:t>
            </w:r>
          </w:p>
        </w:tc>
        <w:tc>
          <w:tcPr>
            <w:tcW w:w="5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shd w:val="clear" w:color="auto" w:fill="CCEEFF"/>
          </w:tcPr>
          <w:p>
            <w:pPr>
              <w:jc w:val="center"/>
              <w:ind w:right="160"/>
              <w:spacing w:after="0" w:line="159" w:lineRule="exact"/>
              <w:rPr>
                <w:sz w:val="20"/>
                <w:szCs w:val="20"/>
                <w:color w:val="auto"/>
              </w:rPr>
            </w:pPr>
            <w:r>
              <w:rPr>
                <w:rFonts w:ascii="Arial" w:cs="Arial" w:eastAsia="Arial" w:hAnsi="Arial"/>
                <w:sz w:val="14"/>
                <w:szCs w:val="14"/>
                <w:color w:val="auto"/>
                <w:w w:val="87"/>
              </w:rPr>
              <w:t>and Entertainment</w:t>
            </w:r>
          </w:p>
        </w:tc>
        <w:tc>
          <w:tcPr>
            <w:tcW w:w="96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375,000</w:t>
            </w:r>
          </w:p>
        </w:tc>
        <w:tc>
          <w:tcPr>
            <w:tcW w:w="80" w:type="dxa"/>
            <w:vAlign w:val="bottom"/>
            <w:shd w:val="clear" w:color="auto" w:fill="CCEEFF"/>
          </w:tcPr>
          <w:p>
            <w:pPr>
              <w:spacing w:after="0"/>
              <w:rPr>
                <w:sz w:val="13"/>
                <w:szCs w:val="13"/>
                <w:color w:val="auto"/>
              </w:rPr>
            </w:pPr>
          </w:p>
        </w:tc>
        <w:tc>
          <w:tcPr>
            <w:tcW w:w="66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3,750,000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2,902,355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New Service Champ Holdings, Inc.</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4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(Service Champ, Inc.)</w:t>
            </w:r>
          </w:p>
        </w:tc>
        <w:tc>
          <w:tcPr>
            <w:tcW w:w="240" w:type="dxa"/>
            <w:vAlign w:val="bottom"/>
          </w:tcPr>
          <w:p>
            <w:pPr>
              <w:spacing w:after="0"/>
              <w:rPr>
                <w:sz w:val="14"/>
                <w:szCs w:val="14"/>
                <w:color w:val="auto"/>
              </w:rPr>
            </w:pPr>
          </w:p>
        </w:tc>
        <w:tc>
          <w:tcPr>
            <w:tcW w:w="84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360" w:type="dxa"/>
            <w:vAlign w:val="bottom"/>
            <w:gridSpan w:val="3"/>
          </w:tcPr>
          <w:p>
            <w:pPr>
              <w:jc w:val="center"/>
              <w:ind w:right="160"/>
              <w:spacing w:after="0" w:line="159" w:lineRule="exact"/>
              <w:rPr>
                <w:sz w:val="20"/>
                <w:szCs w:val="20"/>
                <w:color w:val="auto"/>
              </w:rPr>
            </w:pPr>
            <w:r>
              <w:rPr>
                <w:rFonts w:ascii="Arial" w:cs="Arial" w:eastAsia="Arial" w:hAnsi="Arial"/>
                <w:sz w:val="14"/>
                <w:szCs w:val="14"/>
                <w:color w:val="auto"/>
                <w:w w:val="87"/>
              </w:rPr>
              <w:t>Auto Sector</w:t>
            </w:r>
          </w:p>
        </w:tc>
        <w:tc>
          <w:tcPr>
            <w:tcW w:w="960" w:type="dxa"/>
            <w:vAlign w:val="bottom"/>
            <w:gridSpan w:val="2"/>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59" w:lineRule="exact"/>
              <w:rPr>
                <w:sz w:val="20"/>
                <w:szCs w:val="20"/>
                <w:color w:val="auto"/>
              </w:rPr>
            </w:pPr>
            <w:r>
              <w:rPr>
                <w:rFonts w:ascii="Arial" w:cs="Arial" w:eastAsia="Arial" w:hAnsi="Arial"/>
                <w:sz w:val="14"/>
                <w:szCs w:val="14"/>
                <w:color w:val="auto"/>
              </w:rPr>
              <w:t>16,800</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4,200,000</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4,501,658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18,005,844</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25,829,532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0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w w:val="99"/>
              </w:rPr>
              <w:t>Total Investments in Non-Controlled, Affiliated Portfolio Companies</w:t>
            </w: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1"/>
              </w:rPr>
              <w:t>72,576,858</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80,955,257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-1619885</wp:posOffset>
            </wp:positionV>
            <wp:extent cx="724662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Basis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Point</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90"/>
              </w:rPr>
              <w:t>Current</w:t>
            </w:r>
          </w:p>
        </w:tc>
        <w:tc>
          <w:tcPr>
            <w:tcW w:w="5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68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34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4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Maturity</w:t>
            </w:r>
          </w:p>
        </w:tc>
        <w:tc>
          <w:tcPr>
            <w:tcW w:w="600" w:type="dxa"/>
            <w:vAlign w:val="bottom"/>
          </w:tcPr>
          <w:p>
            <w:pPr>
              <w:spacing w:after="0"/>
              <w:rPr>
                <w:sz w:val="15"/>
                <w:szCs w:val="15"/>
                <w:color w:val="auto"/>
              </w:rPr>
            </w:pPr>
          </w:p>
        </w:tc>
        <w:tc>
          <w:tcPr>
            <w:tcW w:w="1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Industry</w:t>
            </w:r>
          </w:p>
        </w:tc>
        <w:tc>
          <w:tcPr>
            <w:tcW w:w="400" w:type="dxa"/>
            <w:vAlign w:val="bottom"/>
          </w:tcPr>
          <w:p>
            <w:pPr>
              <w:spacing w:after="0"/>
              <w:rPr>
                <w:sz w:val="15"/>
                <w:szCs w:val="15"/>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6"/>
              </w:rPr>
              <w:t>Coupon</w:t>
            </w:r>
          </w:p>
        </w:tc>
        <w:tc>
          <w:tcPr>
            <w:tcW w:w="5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(4)</w:t>
            </w:r>
          </w:p>
        </w:tc>
        <w:tc>
          <w:tcPr>
            <w:tcW w:w="20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76"/>
              </w:rPr>
              <w:t>Shares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4"/>
          </w:tcPr>
          <w:p>
            <w:pPr>
              <w:ind w:left="2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right"/>
              <w:ind w:right="24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20" w:type="dxa"/>
            <w:vAlign w:val="bottom"/>
            <w:gridSpan w:val="5"/>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Controlled, Affiliated Portfolio Companies—5.6%</w:t>
            </w:r>
            <w:r>
              <w:rPr>
                <w:rFonts w:ascii="Arial" w:cs="Arial" w:eastAsia="Arial" w:hAnsi="Arial"/>
                <w:sz w:val="16"/>
                <w:szCs w:val="16"/>
                <w:b w:val="1"/>
                <w:bCs w:val="1"/>
                <w:color w:val="auto"/>
                <w:vertAlign w:val="superscript"/>
              </w:rPr>
              <w:t>(1),(2)</w:t>
            </w: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Debt—1.9%</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10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06/30/2020</w:t>
            </w:r>
          </w:p>
        </w:tc>
        <w:tc>
          <w:tcPr>
            <w:tcW w:w="17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3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(7)</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10,800,000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4"/>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10,800,000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10,800,000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1"/>
                <w:szCs w:val="11"/>
                <w:color w:val="auto"/>
              </w:rPr>
              <w:t>UP Support Services, Inc.</w:t>
            </w:r>
            <w:r>
              <w:rPr>
                <w:rFonts w:ascii="Arial" w:cs="Arial" w:eastAsia="Arial" w:hAnsi="Arial"/>
                <w:sz w:val="17"/>
                <w:szCs w:val="17"/>
                <w:color w:val="auto"/>
                <w:vertAlign w:val="superscript"/>
              </w:rPr>
              <w:t>(9)</w:t>
            </w:r>
          </w:p>
        </w:tc>
        <w:tc>
          <w:tcPr>
            <w:tcW w:w="10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w w:val="91"/>
              </w:rPr>
              <w:t>12/31/2015</w:t>
            </w: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4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743,187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668,632</w:t>
            </w:r>
          </w:p>
        </w:tc>
        <w:tc>
          <w:tcPr>
            <w:tcW w:w="8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743,187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UP Support Services, Inc.</w:t>
            </w:r>
            <w:r>
              <w:rPr>
                <w:rFonts w:ascii="Arial" w:cs="Arial" w:eastAsia="Arial" w:hAnsi="Arial"/>
                <w:sz w:val="17"/>
                <w:szCs w:val="17"/>
                <w:color w:val="auto"/>
                <w:vertAlign w:val="superscript"/>
              </w:rPr>
              <w:t>(9)</w:t>
            </w:r>
          </w:p>
        </w:tc>
        <w:tc>
          <w:tcPr>
            <w:tcW w:w="10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1"/>
              </w:rPr>
              <w:t>12/31/2015</w:t>
            </w:r>
          </w:p>
        </w:tc>
        <w:tc>
          <w:tcPr>
            <w:tcW w:w="17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1,173,479</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1,068,059</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1,173,479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4"/>
          </w:tcPr>
          <w:p>
            <w:pPr>
              <w:jc w:val="right"/>
              <w:ind w:right="300"/>
              <w:spacing w:after="0" w:line="155" w:lineRule="exact"/>
              <w:rPr>
                <w:sz w:val="20"/>
                <w:szCs w:val="20"/>
                <w:color w:val="auto"/>
              </w:rPr>
            </w:pPr>
            <w:r>
              <w:rPr>
                <w:rFonts w:ascii="Arial" w:cs="Arial" w:eastAsia="Arial" w:hAnsi="Arial"/>
                <w:sz w:val="14"/>
                <w:szCs w:val="14"/>
                <w:color w:val="auto"/>
              </w:rPr>
              <w:t>12,536,691</w:t>
            </w:r>
          </w:p>
        </w:tc>
        <w:tc>
          <w:tcPr>
            <w:tcW w:w="80" w:type="dxa"/>
            <w:vAlign w:val="bottom"/>
          </w:tcPr>
          <w:p>
            <w:pPr>
              <w:spacing w:after="0"/>
              <w:rPr>
                <w:sz w:val="14"/>
                <w:szCs w:val="14"/>
                <w:color w:val="auto"/>
              </w:rPr>
            </w:pPr>
          </w:p>
        </w:tc>
        <w:tc>
          <w:tcPr>
            <w:tcW w:w="72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9"/>
              </w:rPr>
              <w:t>12,716,666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Debt—2.1%</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6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15.00 %</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700" w:type="dxa"/>
            <w:vAlign w:val="bottom"/>
            <w:gridSpan w:val="3"/>
          </w:tcPr>
          <w:p>
            <w:pPr>
              <w:spacing w:after="0"/>
              <w:rPr>
                <w:sz w:val="20"/>
                <w:szCs w:val="20"/>
                <w:color w:val="auto"/>
              </w:rPr>
            </w:pPr>
            <w:r>
              <w:rPr>
                <w:rFonts w:ascii="Arial" w:cs="Arial" w:eastAsia="Arial" w:hAnsi="Arial"/>
                <w:sz w:val="14"/>
                <w:szCs w:val="14"/>
                <w:color w:val="auto"/>
              </w:rPr>
              <w:t>UP Support Services, Inc.</w:t>
            </w:r>
          </w:p>
        </w:tc>
        <w:tc>
          <w:tcPr>
            <w:tcW w:w="1040" w:type="dxa"/>
            <w:vAlign w:val="bottom"/>
            <w:gridSpan w:val="3"/>
          </w:tcPr>
          <w:p>
            <w:pPr>
              <w:jc w:val="right"/>
              <w:ind w:right="380"/>
              <w:spacing w:after="0"/>
              <w:rPr>
                <w:sz w:val="20"/>
                <w:szCs w:val="20"/>
                <w:color w:val="auto"/>
              </w:rPr>
            </w:pPr>
            <w:r>
              <w:rPr>
                <w:rFonts w:ascii="Arial" w:cs="Arial" w:eastAsia="Arial" w:hAnsi="Arial"/>
                <w:sz w:val="14"/>
                <w:szCs w:val="14"/>
                <w:color w:val="auto"/>
                <w:w w:val="91"/>
              </w:rPr>
              <w:t>12/31/2015</w:t>
            </w:r>
          </w:p>
        </w:tc>
        <w:tc>
          <w:tcPr>
            <w:tcW w:w="1720" w:type="dxa"/>
            <w:vAlign w:val="bottom"/>
            <w:gridSpan w:val="3"/>
          </w:tcPr>
          <w:p>
            <w:pPr>
              <w:jc w:val="center"/>
              <w:spacing w:after="0"/>
              <w:rPr>
                <w:sz w:val="20"/>
                <w:szCs w:val="20"/>
                <w:color w:val="auto"/>
              </w:rPr>
            </w:pPr>
            <w:r>
              <w:rPr>
                <w:rFonts w:ascii="Arial" w:cs="Arial" w:eastAsia="Arial" w:hAnsi="Arial"/>
                <w:sz w:val="14"/>
                <w:szCs w:val="14"/>
                <w:color w:val="auto"/>
                <w:w w:val="86"/>
              </w:rPr>
              <w:t>Oil and Gas</w:t>
            </w: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rPr>
              <w:t>(PIK 15.00)%</w:t>
            </w:r>
          </w:p>
        </w:tc>
        <w:tc>
          <w:tcPr>
            <w:tcW w:w="56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w w:val="99"/>
              </w:rPr>
              <w:t>14,300,282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4"/>
          </w:tcPr>
          <w:p>
            <w:pPr>
              <w:jc w:val="right"/>
              <w:ind w:right="300"/>
              <w:spacing w:after="0"/>
              <w:rPr>
                <w:sz w:val="20"/>
                <w:szCs w:val="20"/>
                <w:color w:val="auto"/>
              </w:rPr>
            </w:pPr>
            <w:r>
              <w:rPr>
                <w:rFonts w:ascii="Arial" w:cs="Arial" w:eastAsia="Arial" w:hAnsi="Arial"/>
                <w:sz w:val="14"/>
                <w:szCs w:val="14"/>
                <w:color w:val="auto"/>
              </w:rPr>
              <w:t>11,809,647</w:t>
            </w:r>
          </w:p>
        </w:tc>
        <w:tc>
          <w:tcPr>
            <w:tcW w:w="8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color w:val="auto"/>
                <w:w w:val="99"/>
              </w:rPr>
              <w:t>14,300,282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10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w w:val="91"/>
              </w:rPr>
              <w:t>06/30/2020</w:t>
            </w: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360" w:type="dxa"/>
            <w:vAlign w:val="bottom"/>
            <w:gridSpan w:val="3"/>
          </w:tcPr>
          <w:p>
            <w:pPr>
              <w:jc w:val="right"/>
              <w:ind w:right="14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(7)</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2,700,000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2,700,000</w:t>
            </w:r>
          </w:p>
        </w:tc>
        <w:tc>
          <w:tcPr>
            <w:tcW w:w="80" w:type="dxa"/>
            <w:vAlign w:val="bottom"/>
          </w:tcPr>
          <w:p>
            <w:pPr>
              <w:spacing w:after="0"/>
              <w:rPr>
                <w:sz w:val="13"/>
                <w:szCs w:val="13"/>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2,158,053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Equity—1.3%</w:t>
            </w:r>
            <w:r>
              <w:rPr>
                <w:rFonts w:ascii="Arial" w:cs="Arial" w:eastAsia="Arial" w:hAnsi="Arial"/>
                <w:sz w:val="17"/>
                <w:szCs w:val="17"/>
                <w:b w:val="1"/>
                <w:bCs w:val="1"/>
                <w:color w:val="auto"/>
                <w:vertAlign w:val="superscript"/>
              </w:rPr>
              <w:t>(6)</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4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3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14.00%</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2"/>
                <w:szCs w:val="12"/>
                <w:color w:val="auto"/>
              </w:rPr>
            </w:pP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216,947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Holdings, Inc.</w:t>
            </w:r>
          </w:p>
        </w:tc>
        <w:tc>
          <w:tcPr>
            <w:tcW w:w="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3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56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411,988</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35,120,613</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8,239,760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300"/>
              <w:spacing w:after="0" w:line="155" w:lineRule="exact"/>
              <w:rPr>
                <w:sz w:val="20"/>
                <w:szCs w:val="20"/>
                <w:color w:val="auto"/>
              </w:rPr>
            </w:pPr>
            <w:r>
              <w:rPr>
                <w:rFonts w:ascii="Arial" w:cs="Arial" w:eastAsia="Arial" w:hAnsi="Arial"/>
                <w:sz w:val="14"/>
                <w:szCs w:val="14"/>
                <w:color w:val="auto"/>
              </w:rPr>
              <w:t>37,120,613</w:t>
            </w:r>
          </w:p>
        </w:tc>
        <w:tc>
          <w:tcPr>
            <w:tcW w:w="80" w:type="dxa"/>
            <w:vAlign w:val="bottom"/>
          </w:tcPr>
          <w:p>
            <w:pPr>
              <w:spacing w:after="0"/>
              <w:rPr>
                <w:sz w:val="13"/>
                <w:szCs w:val="13"/>
                <w:color w:val="auto"/>
              </w:rPr>
            </w:pPr>
          </w:p>
        </w:tc>
        <w:tc>
          <w:tcPr>
            <w:tcW w:w="7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8,456,707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(6)</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40" w:type="dxa"/>
            <w:vAlign w:val="bottom"/>
          </w:tcPr>
          <w:p>
            <w:pPr>
              <w:spacing w:after="0"/>
              <w:rPr>
                <w:sz w:val="13"/>
                <w:szCs w:val="13"/>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7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400" w:type="dxa"/>
            <w:vAlign w:val="bottom"/>
          </w:tcPr>
          <w:p>
            <w:pPr>
              <w:spacing w:after="0"/>
              <w:rPr>
                <w:sz w:val="13"/>
                <w:szCs w:val="13"/>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7"/>
              </w:rPr>
              <w:t>Total Investments in Controlled, Affiliated Portfolio Companies</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64,167,051</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37,631,708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Investments—147.9%</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right"/>
              <w:ind w:right="300"/>
              <w:spacing w:after="0" w:line="155" w:lineRule="exact"/>
              <w:rPr>
                <w:sz w:val="20"/>
                <w:szCs w:val="20"/>
                <w:color w:val="auto"/>
              </w:rPr>
            </w:pPr>
            <w:r>
              <w:rPr>
                <w:rFonts w:ascii="Arial" w:cs="Arial" w:eastAsia="Arial" w:hAnsi="Arial"/>
                <w:sz w:val="14"/>
                <w:szCs w:val="14"/>
                <w:color w:val="auto"/>
                <w:w w:val="84"/>
              </w:rPr>
              <w:t>1,008,611,862</w:t>
            </w:r>
          </w:p>
        </w:tc>
        <w:tc>
          <w:tcPr>
            <w:tcW w:w="80" w:type="dxa"/>
            <w:vAlign w:val="bottom"/>
          </w:tcPr>
          <w:p>
            <w:pPr>
              <w:spacing w:after="0"/>
              <w:rPr>
                <w:sz w:val="13"/>
                <w:szCs w:val="13"/>
                <w:color w:val="auto"/>
              </w:rPr>
            </w:pPr>
          </w:p>
        </w:tc>
        <w:tc>
          <w:tcPr>
            <w:tcW w:w="72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9"/>
              </w:rPr>
              <w:t>990,479,710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Equivalents—1.1%</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7,559,453</w:t>
            </w:r>
          </w:p>
        </w:tc>
        <w:tc>
          <w:tcPr>
            <w:tcW w:w="3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7,559,453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Equivalents—149.0%</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1080" w:type="dxa"/>
            <w:vAlign w:val="bottom"/>
            <w:gridSpan w:val="4"/>
          </w:tcPr>
          <w:p>
            <w:pPr>
              <w:jc w:val="right"/>
              <w:ind w:right="300"/>
              <w:spacing w:after="0" w:line="155" w:lineRule="exact"/>
              <w:rPr>
                <w:sz w:val="20"/>
                <w:szCs w:val="20"/>
                <w:color w:val="auto"/>
              </w:rPr>
            </w:pPr>
            <w:r>
              <w:rPr>
                <w:rFonts w:ascii="Arial" w:cs="Arial" w:eastAsia="Arial" w:hAnsi="Arial"/>
                <w:sz w:val="14"/>
                <w:szCs w:val="14"/>
                <w:b w:val="1"/>
                <w:bCs w:val="1"/>
                <w:color w:val="auto"/>
                <w:w w:val="84"/>
              </w:rPr>
              <w:t>1,016,171,315</w:t>
            </w:r>
          </w:p>
        </w:tc>
        <w:tc>
          <w:tcPr>
            <w:tcW w:w="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89"/>
              </w:rPr>
              <w:t>998,039,163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Assets—(49.0%)</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w w:val="84"/>
              </w:rPr>
              <w:t>(328,322,116)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w w:val="89"/>
              </w:rPr>
              <w:t>669,717,047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(“L”) or Prime (“P”) rate.</w:t>
      </w:r>
    </w:p>
    <w:p>
      <w:pPr>
        <w:ind w:left="340" w:right="6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Coupon is payable in cash and/or in-kind, or PIK.</w:t>
      </w:r>
    </w:p>
    <w:p>
      <w:pPr>
        <w:ind w:left="34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340" w:hanging="332"/>
        <w:spacing w:after="0"/>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Basis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Point</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Spread</w:t>
            </w:r>
          </w:p>
        </w:tc>
        <w:tc>
          <w:tcPr>
            <w:tcW w:w="180" w:type="dxa"/>
            <w:vAlign w:val="bottom"/>
          </w:tcPr>
          <w:p>
            <w:pPr>
              <w:spacing w:after="0"/>
              <w:rPr>
                <w:sz w:val="12"/>
                <w:szCs w:val="12"/>
                <w:color w:val="auto"/>
              </w:rPr>
            </w:pPr>
          </w:p>
        </w:tc>
        <w:tc>
          <w:tcPr>
            <w:tcW w:w="8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Par/</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2"/>
          </w:tcPr>
          <w:p>
            <w:pPr>
              <w:jc w:val="right"/>
              <w:ind w:right="360"/>
              <w:spacing w:after="0" w:line="135" w:lineRule="exact"/>
              <w:rPr>
                <w:sz w:val="20"/>
                <w:szCs w:val="20"/>
                <w:color w:val="auto"/>
              </w:rPr>
            </w:pPr>
            <w:r>
              <w:rPr>
                <w:rFonts w:ascii="Arial" w:cs="Arial" w:eastAsia="Arial" w:hAnsi="Arial"/>
                <w:sz w:val="14"/>
                <w:szCs w:val="14"/>
                <w:b w:val="1"/>
                <w:bCs w:val="1"/>
                <w:color w:val="auto"/>
                <w:w w:val="86"/>
              </w:rPr>
              <w:t>Current</w:t>
            </w: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Above</w:t>
            </w:r>
          </w:p>
        </w:tc>
        <w:tc>
          <w:tcPr>
            <w:tcW w:w="1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520" w:type="dxa"/>
            <w:vAlign w:val="bottom"/>
          </w:tcPr>
          <w:p>
            <w:pPr>
              <w:spacing w:after="0"/>
              <w:rPr>
                <w:sz w:val="14"/>
                <w:szCs w:val="14"/>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Industry</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Coupon</w:t>
            </w:r>
          </w:p>
        </w:tc>
        <w:tc>
          <w:tcPr>
            <w:tcW w:w="740" w:type="dxa"/>
            <w:vAlign w:val="bottom"/>
            <w:gridSpan w:val="2"/>
          </w:tcPr>
          <w:p>
            <w:pPr>
              <w:jc w:val="center"/>
              <w:ind w:right="20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18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Shares</w:t>
            </w:r>
          </w:p>
        </w:tc>
        <w:tc>
          <w:tcPr>
            <w:tcW w:w="8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gridSpan w:val="2"/>
            <w:shd w:val="clear" w:color="auto" w:fill="CCEEFF"/>
          </w:tcPr>
          <w:p>
            <w:pPr>
              <w:spacing w:after="0" w:line="122" w:lineRule="exact"/>
              <w:rPr>
                <w:sz w:val="20"/>
                <w:szCs w:val="20"/>
                <w:color w:val="auto"/>
              </w:rPr>
            </w:pPr>
            <w:r>
              <w:rPr>
                <w:rFonts w:ascii="Arial" w:cs="Arial" w:eastAsia="Arial" w:hAnsi="Arial"/>
                <w:sz w:val="10"/>
                <w:szCs w:val="10"/>
                <w:b w:val="1"/>
                <w:bCs w:val="1"/>
                <w:color w:val="auto"/>
              </w:rPr>
              <w:t>Investments in Non-Controlled, Non-Affiliated Portfolio Companies—167.2%</w:t>
            </w:r>
            <w:r>
              <w:rPr>
                <w:rFonts w:ascii="Arial" w:cs="Arial" w:eastAsia="Arial" w:hAnsi="Arial"/>
                <w:sz w:val="14"/>
                <w:szCs w:val="14"/>
                <w:b w:val="1"/>
                <w:bCs w:val="1"/>
                <w:color w:val="auto"/>
                <w:vertAlign w:val="superscript"/>
              </w:rPr>
              <w:t>(1),(2)</w:t>
            </w: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Debt—60.6%</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American Surgical Holdings, Inc.</w:t>
            </w:r>
          </w:p>
        </w:tc>
        <w:tc>
          <w:tcPr>
            <w:tcW w:w="740" w:type="dxa"/>
            <w:vAlign w:val="bottom"/>
            <w:gridSpan w:val="3"/>
            <w:shd w:val="clear" w:color="auto" w:fill="CCEEFF"/>
          </w:tcPr>
          <w:p>
            <w:pPr>
              <w:ind w:left="40"/>
              <w:spacing w:after="0" w:line="138" w:lineRule="exact"/>
              <w:rPr>
                <w:sz w:val="20"/>
                <w:szCs w:val="20"/>
                <w:color w:val="auto"/>
              </w:rPr>
            </w:pPr>
            <w:r>
              <w:rPr>
                <w:rFonts w:ascii="Arial" w:cs="Arial" w:eastAsia="Arial" w:hAnsi="Arial"/>
                <w:sz w:val="14"/>
                <w:szCs w:val="14"/>
                <w:color w:val="auto"/>
                <w:w w:val="96"/>
              </w:rPr>
              <w:t>03/23/2015</w:t>
            </w:r>
          </w:p>
        </w:tc>
        <w:tc>
          <w:tcPr>
            <w:tcW w:w="156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6"/>
              </w:rPr>
              <w:t>Healthcare,</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14.00%</w:t>
            </w:r>
          </w:p>
        </w:tc>
        <w:tc>
          <w:tcPr>
            <w:tcW w:w="7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0"/>
                <w:szCs w:val="10"/>
                <w:color w:val="auto"/>
              </w:rPr>
              <w:t>L+1,000</w:t>
            </w:r>
            <w:r>
              <w:rPr>
                <w:rFonts w:ascii="Arial" w:cs="Arial" w:eastAsia="Arial" w:hAnsi="Arial"/>
                <w:sz w:val="15"/>
                <w:szCs w:val="15"/>
                <w:color w:val="auto"/>
                <w:vertAlign w:val="superscript"/>
              </w:rPr>
              <w:t>(8)</w:t>
            </w:r>
          </w:p>
        </w:tc>
        <w:tc>
          <w:tcPr>
            <w:tcW w:w="1020" w:type="dxa"/>
            <w:vAlign w:val="bottom"/>
            <w:gridSpan w:val="3"/>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w w:val="99"/>
              </w:rPr>
              <w:t>20,300,000</w:t>
            </w:r>
          </w:p>
        </w:tc>
        <w:tc>
          <w:tcPr>
            <w:tcW w:w="820" w:type="dxa"/>
            <w:vAlign w:val="bottom"/>
            <w:gridSpan w:val="4"/>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w w:val="88"/>
              </w:rPr>
              <w:t>$ 19,748,930</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$ 20,300,000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7"/>
              </w:rPr>
              <w:t>Education and Childcare</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6"/>
              </w:rPr>
              <w:t>10/01/2016</w:t>
            </w:r>
          </w:p>
        </w:tc>
        <w:tc>
          <w:tcPr>
            <w:tcW w:w="52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1"/>
              </w:rPr>
              <w:t>Logistics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11.63%</w:t>
            </w: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7,500,000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7,328,729</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7,331,250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7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04/01/2018</w:t>
            </w: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540"/>
              <w:spacing w:after="0" w:line="149" w:lineRule="exact"/>
              <w:rPr>
                <w:sz w:val="20"/>
                <w:szCs w:val="20"/>
                <w:color w:val="auto"/>
              </w:rPr>
            </w:pPr>
            <w:r>
              <w:rPr>
                <w:rFonts w:ascii="Arial" w:cs="Arial" w:eastAsia="Arial" w:hAnsi="Arial"/>
                <w:sz w:val="14"/>
                <w:szCs w:val="14"/>
                <w:color w:val="auto"/>
                <w:w w:val="91"/>
              </w:rPr>
              <w:t>Logistics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11.50%</w:t>
            </w: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1,000,000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988,872</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tcPr>
          <w:p>
            <w:pPr>
              <w:spacing w:after="0" w:line="138" w:lineRule="exact"/>
              <w:rPr>
                <w:sz w:val="20"/>
                <w:szCs w:val="20"/>
                <w:color w:val="auto"/>
              </w:rPr>
            </w:pPr>
            <w:r>
              <w:rPr>
                <w:rFonts w:ascii="Arial" w:cs="Arial" w:eastAsia="Arial" w:hAnsi="Arial"/>
                <w:sz w:val="14"/>
                <w:szCs w:val="14"/>
                <w:color w:val="auto"/>
              </w:rPr>
              <w:t>Chester Downs and Marina, LLC</w:t>
            </w:r>
          </w:p>
        </w:tc>
        <w:tc>
          <w:tcPr>
            <w:tcW w:w="740" w:type="dxa"/>
            <w:vAlign w:val="bottom"/>
            <w:gridSpan w:val="3"/>
          </w:tcPr>
          <w:p>
            <w:pPr>
              <w:ind w:left="40"/>
              <w:spacing w:after="0" w:line="138" w:lineRule="exact"/>
              <w:rPr>
                <w:sz w:val="20"/>
                <w:szCs w:val="20"/>
                <w:color w:val="auto"/>
              </w:rPr>
            </w:pPr>
            <w:r>
              <w:rPr>
                <w:rFonts w:ascii="Arial" w:cs="Arial" w:eastAsia="Arial" w:hAnsi="Arial"/>
                <w:sz w:val="14"/>
                <w:szCs w:val="14"/>
                <w:color w:val="auto"/>
                <w:w w:val="96"/>
              </w:rPr>
              <w:t>07/29/2016</w:t>
            </w:r>
          </w:p>
        </w:tc>
        <w:tc>
          <w:tcPr>
            <w:tcW w:w="156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9"/>
              </w:rPr>
              <w:t>Hotels, Motels, Inns</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12.38%</w:t>
            </w:r>
          </w:p>
        </w:tc>
        <w:tc>
          <w:tcPr>
            <w:tcW w:w="74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L+988</w:t>
            </w:r>
            <w:r>
              <w:rPr>
                <w:rFonts w:ascii="Arial" w:cs="Arial" w:eastAsia="Arial" w:hAnsi="Arial"/>
                <w:sz w:val="15"/>
                <w:szCs w:val="15"/>
                <w:color w:val="auto"/>
                <w:vertAlign w:val="superscript"/>
              </w:rPr>
              <w:t>(8)</w:t>
            </w:r>
          </w:p>
        </w:tc>
        <w:tc>
          <w:tcPr>
            <w:tcW w:w="1020" w:type="dxa"/>
            <w:vAlign w:val="bottom"/>
            <w:gridSpan w:val="3"/>
          </w:tcPr>
          <w:p>
            <w:pPr>
              <w:jc w:val="right"/>
              <w:ind w:right="300"/>
              <w:spacing w:after="0" w:line="138" w:lineRule="exact"/>
              <w:rPr>
                <w:sz w:val="20"/>
                <w:szCs w:val="20"/>
                <w:color w:val="auto"/>
              </w:rPr>
            </w:pPr>
            <w:r>
              <w:rPr>
                <w:rFonts w:ascii="Arial" w:cs="Arial" w:eastAsia="Arial" w:hAnsi="Arial"/>
                <w:sz w:val="14"/>
                <w:szCs w:val="14"/>
                <w:color w:val="auto"/>
                <w:w w:val="99"/>
              </w:rPr>
              <w:t>11,358,254</w:t>
            </w:r>
          </w:p>
        </w:tc>
        <w:tc>
          <w:tcPr>
            <w:tcW w:w="820" w:type="dxa"/>
            <w:vAlign w:val="bottom"/>
            <w:gridSpan w:val="4"/>
          </w:tcPr>
          <w:p>
            <w:pPr>
              <w:jc w:val="right"/>
              <w:ind w:right="80"/>
              <w:spacing w:after="0" w:line="138" w:lineRule="exact"/>
              <w:rPr>
                <w:sz w:val="20"/>
                <w:szCs w:val="20"/>
                <w:color w:val="auto"/>
              </w:rPr>
            </w:pPr>
            <w:r>
              <w:rPr>
                <w:rFonts w:ascii="Arial" w:cs="Arial" w:eastAsia="Arial" w:hAnsi="Arial"/>
                <w:sz w:val="14"/>
                <w:szCs w:val="14"/>
                <w:color w:val="auto"/>
              </w:rPr>
              <w:t>11,024,166</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11,310,924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gridSpan w:val="2"/>
            <w:vMerge w:val="restart"/>
          </w:tcPr>
          <w:p>
            <w:pPr>
              <w:spacing w:after="0"/>
              <w:rPr>
                <w:sz w:val="20"/>
                <w:szCs w:val="20"/>
                <w:color w:val="auto"/>
              </w:rPr>
            </w:pPr>
            <w:r>
              <w:rPr>
                <w:rFonts w:ascii="Arial" w:cs="Arial" w:eastAsia="Arial" w:hAnsi="Arial"/>
                <w:sz w:val="14"/>
                <w:szCs w:val="14"/>
                <w:color w:val="auto"/>
              </w:rPr>
              <w:t>Columbus International, Inc.</w:t>
            </w:r>
            <w:r>
              <w:rPr>
                <w:rFonts w:ascii="Arial" w:cs="Arial" w:eastAsia="Arial" w:hAnsi="Arial"/>
                <w:sz w:val="22"/>
                <w:szCs w:val="22"/>
                <w:color w:val="auto"/>
                <w:vertAlign w:val="superscript"/>
              </w:rPr>
              <w:t>(5),(10)</w:t>
            </w: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6"/>
              </w:rPr>
              <w:t>and Gaming</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gridSpan w:val="2"/>
            <w:vMerge w:val="continue"/>
          </w:tcPr>
          <w:p>
            <w:pPr>
              <w:spacing w:after="0"/>
              <w:rPr>
                <w:sz w:val="10"/>
                <w:szCs w:val="10"/>
                <w:color w:val="auto"/>
              </w:rPr>
            </w:pPr>
          </w:p>
        </w:tc>
        <w:tc>
          <w:tcPr>
            <w:tcW w:w="740" w:type="dxa"/>
            <w:vAlign w:val="bottom"/>
            <w:gridSpan w:val="3"/>
          </w:tcPr>
          <w:p>
            <w:pPr>
              <w:ind w:left="40"/>
              <w:spacing w:after="0" w:line="122" w:lineRule="exact"/>
              <w:rPr>
                <w:sz w:val="20"/>
                <w:szCs w:val="20"/>
                <w:color w:val="auto"/>
              </w:rPr>
            </w:pPr>
            <w:r>
              <w:rPr>
                <w:rFonts w:ascii="Arial" w:cs="Arial" w:eastAsia="Arial" w:hAnsi="Arial"/>
                <w:sz w:val="14"/>
                <w:szCs w:val="14"/>
                <w:color w:val="auto"/>
                <w:w w:val="96"/>
              </w:rPr>
              <w:t>11/20/2014</w:t>
            </w:r>
          </w:p>
        </w:tc>
        <w:tc>
          <w:tcPr>
            <w:tcW w:w="156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90"/>
              </w:rPr>
              <w:t>Communications</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4"/>
                <w:szCs w:val="14"/>
                <w:color w:val="auto"/>
              </w:rPr>
              <w:t>11.50%</w:t>
            </w:r>
          </w:p>
        </w:tc>
        <w:tc>
          <w:tcPr>
            <w:tcW w:w="740" w:type="dxa"/>
            <w:vAlign w:val="bottom"/>
            <w:gridSpan w:val="2"/>
          </w:tcPr>
          <w:p>
            <w:pPr>
              <w:ind w:left="320"/>
              <w:spacing w:after="0" w:line="122"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300"/>
              <w:spacing w:after="0" w:line="122" w:lineRule="exact"/>
              <w:rPr>
                <w:sz w:val="20"/>
                <w:szCs w:val="20"/>
                <w:color w:val="auto"/>
              </w:rPr>
            </w:pPr>
            <w:r>
              <w:rPr>
                <w:rFonts w:ascii="Arial" w:cs="Arial" w:eastAsia="Arial" w:hAnsi="Arial"/>
                <w:sz w:val="14"/>
                <w:szCs w:val="14"/>
                <w:color w:val="auto"/>
                <w:w w:val="99"/>
              </w:rPr>
              <w:t>10,000,000</w:t>
            </w:r>
          </w:p>
        </w:tc>
        <w:tc>
          <w:tcPr>
            <w:tcW w:w="820" w:type="dxa"/>
            <w:vAlign w:val="bottom"/>
            <w:gridSpan w:val="4"/>
          </w:tcPr>
          <w:p>
            <w:pPr>
              <w:jc w:val="right"/>
              <w:ind w:right="80"/>
              <w:spacing w:after="0" w:line="122" w:lineRule="exact"/>
              <w:rPr>
                <w:sz w:val="20"/>
                <w:szCs w:val="20"/>
                <w:color w:val="auto"/>
              </w:rPr>
            </w:pPr>
            <w:r>
              <w:rPr>
                <w:rFonts w:ascii="Arial" w:cs="Arial" w:eastAsia="Arial" w:hAnsi="Arial"/>
                <w:sz w:val="14"/>
                <w:szCs w:val="14"/>
                <w:color w:val="auto"/>
              </w:rPr>
              <w:t>10,000,000</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9,800,000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gridSpan w:val="2"/>
          </w:tcPr>
          <w:p>
            <w:pPr>
              <w:spacing w:after="0" w:line="176" w:lineRule="exact"/>
              <w:rPr>
                <w:sz w:val="20"/>
                <w:szCs w:val="20"/>
                <w:color w:val="auto"/>
              </w:rPr>
            </w:pPr>
            <w:r>
              <w:rPr>
                <w:rFonts w:ascii="Arial" w:cs="Arial" w:eastAsia="Arial" w:hAnsi="Arial"/>
                <w:sz w:val="13"/>
                <w:szCs w:val="13"/>
                <w:color w:val="auto"/>
              </w:rPr>
              <w:t>Covad Communications Group, Inc.</w:t>
            </w:r>
            <w:r>
              <w:rPr>
                <w:rFonts w:ascii="Arial" w:cs="Arial" w:eastAsia="Arial" w:hAnsi="Arial"/>
                <w:sz w:val="20"/>
                <w:szCs w:val="20"/>
                <w:color w:val="auto"/>
                <w:vertAlign w:val="superscript"/>
              </w:rPr>
              <w:t>(5)</w:t>
            </w:r>
          </w:p>
        </w:tc>
        <w:tc>
          <w:tcPr>
            <w:tcW w:w="740" w:type="dxa"/>
            <w:vAlign w:val="bottom"/>
            <w:gridSpan w:val="3"/>
          </w:tcPr>
          <w:p>
            <w:pPr>
              <w:ind w:left="40"/>
              <w:spacing w:after="0"/>
              <w:rPr>
                <w:sz w:val="20"/>
                <w:szCs w:val="20"/>
                <w:color w:val="auto"/>
              </w:rPr>
            </w:pPr>
            <w:r>
              <w:rPr>
                <w:rFonts w:ascii="Arial" w:cs="Arial" w:eastAsia="Arial" w:hAnsi="Arial"/>
                <w:sz w:val="14"/>
                <w:szCs w:val="14"/>
                <w:color w:val="auto"/>
                <w:w w:val="96"/>
              </w:rPr>
              <w:t>11/03/2015</w:t>
            </w:r>
          </w:p>
        </w:tc>
        <w:tc>
          <w:tcPr>
            <w:tcW w:w="1560" w:type="dxa"/>
            <w:vAlign w:val="bottom"/>
            <w:gridSpan w:val="3"/>
          </w:tcPr>
          <w:p>
            <w:pPr>
              <w:jc w:val="center"/>
              <w:ind w:right="20"/>
              <w:spacing w:after="0"/>
              <w:rPr>
                <w:sz w:val="20"/>
                <w:szCs w:val="20"/>
                <w:color w:val="auto"/>
              </w:rPr>
            </w:pPr>
            <w:r>
              <w:rPr>
                <w:rFonts w:ascii="Arial" w:cs="Arial" w:eastAsia="Arial" w:hAnsi="Arial"/>
                <w:sz w:val="14"/>
                <w:szCs w:val="14"/>
                <w:color w:val="auto"/>
                <w:w w:val="88"/>
              </w:rPr>
              <w:t>Telecommunications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12.00%</w:t>
            </w:r>
          </w:p>
        </w:tc>
        <w:tc>
          <w:tcPr>
            <w:tcW w:w="740" w:type="dxa"/>
            <w:vAlign w:val="bottom"/>
            <w:gridSpan w:val="2"/>
          </w:tcPr>
          <w:p>
            <w:pPr>
              <w:jc w:val="right"/>
              <w:ind w:right="80"/>
              <w:spacing w:after="0" w:line="176" w:lineRule="exact"/>
              <w:rPr>
                <w:sz w:val="20"/>
                <w:szCs w:val="20"/>
                <w:color w:val="auto"/>
              </w:rPr>
            </w:pPr>
            <w:r>
              <w:rPr>
                <w:rFonts w:ascii="Arial" w:cs="Arial" w:eastAsia="Arial" w:hAnsi="Arial"/>
                <w:sz w:val="13"/>
                <w:szCs w:val="13"/>
                <w:color w:val="auto"/>
              </w:rPr>
              <w:t>L+1,000</w:t>
            </w:r>
            <w:r>
              <w:rPr>
                <w:rFonts w:ascii="Arial" w:cs="Arial" w:eastAsia="Arial" w:hAnsi="Arial"/>
                <w:sz w:val="20"/>
                <w:szCs w:val="20"/>
                <w:color w:val="auto"/>
                <w:vertAlign w:val="superscript"/>
              </w:rPr>
              <w:t>(8)</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color w:val="auto"/>
              </w:rPr>
              <w:t>6,475,000</w:t>
            </w:r>
          </w:p>
        </w:tc>
        <w:tc>
          <w:tcPr>
            <w:tcW w:w="820" w:type="dxa"/>
            <w:vAlign w:val="bottom"/>
            <w:gridSpan w:val="4"/>
          </w:tcPr>
          <w:p>
            <w:pPr>
              <w:jc w:val="right"/>
              <w:ind w:right="80"/>
              <w:spacing w:after="0"/>
              <w:rPr>
                <w:sz w:val="20"/>
                <w:szCs w:val="20"/>
                <w:color w:val="auto"/>
              </w:rPr>
            </w:pPr>
            <w:r>
              <w:rPr>
                <w:rFonts w:ascii="Arial" w:cs="Arial" w:eastAsia="Arial" w:hAnsi="Arial"/>
                <w:sz w:val="14"/>
                <w:szCs w:val="14"/>
                <w:color w:val="auto"/>
              </w:rPr>
              <w:t>6,362,696</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6,345,500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Good Sam Enterprises, LLC</w:t>
            </w:r>
            <w:r>
              <w:rPr>
                <w:rFonts w:ascii="Arial" w:cs="Arial" w:eastAsia="Arial" w:hAnsi="Arial"/>
                <w:sz w:val="15"/>
                <w:szCs w:val="15"/>
                <w:color w:val="auto"/>
                <w:vertAlign w:val="superscript"/>
              </w:rPr>
              <w:t>(5)</w:t>
            </w: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(f/k/a Affinity Group Holdings Inc.)</w:t>
            </w:r>
          </w:p>
        </w:tc>
        <w:tc>
          <w:tcPr>
            <w:tcW w:w="740" w:type="dxa"/>
            <w:vAlign w:val="bottom"/>
            <w:gridSpan w:val="3"/>
            <w:shd w:val="clear" w:color="auto" w:fill="CCEEFF"/>
          </w:tcPr>
          <w:p>
            <w:pPr>
              <w:ind w:left="40"/>
              <w:spacing w:after="0" w:line="159" w:lineRule="exact"/>
              <w:rPr>
                <w:sz w:val="20"/>
                <w:szCs w:val="20"/>
                <w:color w:val="auto"/>
              </w:rPr>
            </w:pPr>
            <w:r>
              <w:rPr>
                <w:rFonts w:ascii="Arial" w:cs="Arial" w:eastAsia="Arial" w:hAnsi="Arial"/>
                <w:sz w:val="14"/>
                <w:szCs w:val="14"/>
                <w:color w:val="auto"/>
                <w:w w:val="96"/>
              </w:rPr>
              <w:t>12/01/2016</w:t>
            </w:r>
          </w:p>
        </w:tc>
        <w:tc>
          <w:tcPr>
            <w:tcW w:w="156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5"/>
              </w:rPr>
              <w:t>Consumer Products</w:t>
            </w: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11.50%</w:t>
            </w:r>
          </w:p>
        </w:tc>
        <w:tc>
          <w:tcPr>
            <w:tcW w:w="74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w w:val="99"/>
              </w:rPr>
              <w:t>12,000,000</w:t>
            </w:r>
          </w:p>
        </w:tc>
        <w:tc>
          <w:tcPr>
            <w:tcW w:w="8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11,759,625</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11,220,000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gridSpan w:val="2"/>
          </w:tcPr>
          <w:p>
            <w:pPr>
              <w:spacing w:after="0" w:line="122" w:lineRule="exact"/>
              <w:rPr>
                <w:sz w:val="20"/>
                <w:szCs w:val="20"/>
                <w:color w:val="auto"/>
              </w:rPr>
            </w:pPr>
            <w:r>
              <w:rPr>
                <w:rFonts w:ascii="Arial" w:cs="Arial" w:eastAsia="Arial" w:hAnsi="Arial"/>
                <w:sz w:val="14"/>
                <w:szCs w:val="14"/>
                <w:color w:val="auto"/>
              </w:rPr>
              <w:t>Hanley-Wood, L.L.C.</w:t>
            </w:r>
          </w:p>
        </w:tc>
        <w:tc>
          <w:tcPr>
            <w:tcW w:w="740" w:type="dxa"/>
            <w:vAlign w:val="bottom"/>
            <w:gridSpan w:val="3"/>
          </w:tcPr>
          <w:p>
            <w:pPr>
              <w:ind w:left="40"/>
              <w:spacing w:after="0" w:line="122" w:lineRule="exact"/>
              <w:rPr>
                <w:sz w:val="20"/>
                <w:szCs w:val="20"/>
                <w:color w:val="auto"/>
              </w:rPr>
            </w:pPr>
            <w:r>
              <w:rPr>
                <w:rFonts w:ascii="Arial" w:cs="Arial" w:eastAsia="Arial" w:hAnsi="Arial"/>
                <w:sz w:val="14"/>
                <w:szCs w:val="14"/>
                <w:color w:val="auto"/>
                <w:w w:val="96"/>
              </w:rPr>
              <w:t>03/10/2014</w:t>
            </w:r>
          </w:p>
        </w:tc>
        <w:tc>
          <w:tcPr>
            <w:tcW w:w="156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90"/>
              </w:rPr>
              <w:t>Other Media</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4"/>
                <w:szCs w:val="14"/>
                <w:color w:val="auto"/>
              </w:rPr>
              <w:t>2.56%</w:t>
            </w:r>
          </w:p>
        </w:tc>
        <w:tc>
          <w:tcPr>
            <w:tcW w:w="740" w:type="dxa"/>
            <w:vAlign w:val="bottom"/>
            <w:gridSpan w:val="2"/>
          </w:tcPr>
          <w:p>
            <w:pPr>
              <w:jc w:val="right"/>
              <w:ind w:right="220"/>
              <w:spacing w:after="0" w:line="122"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300"/>
              <w:spacing w:after="0" w:line="122" w:lineRule="exact"/>
              <w:rPr>
                <w:sz w:val="20"/>
                <w:szCs w:val="20"/>
                <w:color w:val="auto"/>
              </w:rPr>
            </w:pPr>
            <w:r>
              <w:rPr>
                <w:rFonts w:ascii="Arial" w:cs="Arial" w:eastAsia="Arial" w:hAnsi="Arial"/>
                <w:sz w:val="14"/>
                <w:szCs w:val="14"/>
                <w:color w:val="auto"/>
              </w:rPr>
              <w:t>8,662,500</w:t>
            </w:r>
          </w:p>
        </w:tc>
        <w:tc>
          <w:tcPr>
            <w:tcW w:w="820" w:type="dxa"/>
            <w:vAlign w:val="bottom"/>
            <w:gridSpan w:val="4"/>
          </w:tcPr>
          <w:p>
            <w:pPr>
              <w:jc w:val="right"/>
              <w:ind w:right="80"/>
              <w:spacing w:after="0" w:line="122" w:lineRule="exact"/>
              <w:rPr>
                <w:sz w:val="20"/>
                <w:szCs w:val="20"/>
                <w:color w:val="auto"/>
              </w:rPr>
            </w:pPr>
            <w:r>
              <w:rPr>
                <w:rFonts w:ascii="Arial" w:cs="Arial" w:eastAsia="Arial" w:hAnsi="Arial"/>
                <w:sz w:val="14"/>
                <w:szCs w:val="14"/>
                <w:color w:val="auto"/>
              </w:rPr>
              <w:t>8,662,500</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4,222,969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6"/>
              </w:rPr>
              <w:t>08/07/2014</w:t>
            </w: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Printing and Publishing</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14.50%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9"/>
              </w:rPr>
              <w:t>24,625,000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24,227,464</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25,683,875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0" w:type="dxa"/>
            <w:vAlign w:val="bottom"/>
            <w:gridSpan w:val="2"/>
          </w:tcPr>
          <w:p>
            <w:pPr>
              <w:spacing w:after="0"/>
              <w:rPr>
                <w:sz w:val="20"/>
                <w:szCs w:val="20"/>
                <w:color w:val="auto"/>
              </w:rPr>
            </w:pPr>
            <w:r>
              <w:rPr>
                <w:rFonts w:ascii="Arial" w:cs="Arial" w:eastAsia="Arial" w:hAnsi="Arial"/>
                <w:sz w:val="14"/>
                <w:szCs w:val="14"/>
                <w:color w:val="auto"/>
              </w:rPr>
              <w:t>Interactive Health Solutions, Inc.</w:t>
            </w:r>
          </w:p>
        </w:tc>
        <w:tc>
          <w:tcPr>
            <w:tcW w:w="740" w:type="dxa"/>
            <w:vAlign w:val="bottom"/>
            <w:gridSpan w:val="3"/>
          </w:tcPr>
          <w:p>
            <w:pPr>
              <w:ind w:left="40"/>
              <w:spacing w:after="0"/>
              <w:rPr>
                <w:sz w:val="20"/>
                <w:szCs w:val="20"/>
                <w:color w:val="auto"/>
              </w:rPr>
            </w:pPr>
            <w:r>
              <w:rPr>
                <w:rFonts w:ascii="Arial" w:cs="Arial" w:eastAsia="Arial" w:hAnsi="Arial"/>
                <w:sz w:val="14"/>
                <w:szCs w:val="14"/>
                <w:color w:val="auto"/>
                <w:w w:val="96"/>
              </w:rPr>
              <w:t>10/04/2016</w:t>
            </w:r>
          </w:p>
        </w:tc>
        <w:tc>
          <w:tcPr>
            <w:tcW w:w="1560" w:type="dxa"/>
            <w:vAlign w:val="bottom"/>
            <w:gridSpan w:val="3"/>
          </w:tcPr>
          <w:p>
            <w:pPr>
              <w:jc w:val="center"/>
              <w:ind w:right="20"/>
              <w:spacing w:after="0"/>
              <w:rPr>
                <w:sz w:val="20"/>
                <w:szCs w:val="20"/>
                <w:color w:val="auto"/>
              </w:rPr>
            </w:pPr>
            <w:r>
              <w:rPr>
                <w:rFonts w:ascii="Arial" w:cs="Arial" w:eastAsia="Arial" w:hAnsi="Arial"/>
                <w:sz w:val="14"/>
                <w:szCs w:val="14"/>
                <w:color w:val="auto"/>
                <w:w w:val="86"/>
              </w:rPr>
              <w:t>Healthcare,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11.50%</w:t>
            </w:r>
          </w:p>
        </w:tc>
        <w:tc>
          <w:tcPr>
            <w:tcW w:w="740" w:type="dxa"/>
            <w:vAlign w:val="bottom"/>
            <w:gridSpan w:val="2"/>
          </w:tcPr>
          <w:p>
            <w:pPr>
              <w:jc w:val="right"/>
              <w:ind w:right="80"/>
              <w:spacing w:after="0" w:line="165" w:lineRule="exact"/>
              <w:rPr>
                <w:sz w:val="20"/>
                <w:szCs w:val="20"/>
                <w:color w:val="auto"/>
              </w:rPr>
            </w:pPr>
            <w:r>
              <w:rPr>
                <w:rFonts w:ascii="Arial" w:cs="Arial" w:eastAsia="Arial" w:hAnsi="Arial"/>
                <w:sz w:val="12"/>
                <w:szCs w:val="12"/>
                <w:color w:val="auto"/>
              </w:rPr>
              <w:t>L+950</w:t>
            </w:r>
            <w:r>
              <w:rPr>
                <w:rFonts w:ascii="Arial" w:cs="Arial" w:eastAsia="Arial" w:hAnsi="Arial"/>
                <w:sz w:val="19"/>
                <w:szCs w:val="19"/>
                <w:color w:val="auto"/>
                <w:vertAlign w:val="superscript"/>
              </w:rPr>
              <w:t>(8)</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color w:val="auto"/>
                <w:w w:val="99"/>
              </w:rPr>
              <w:t>19,000,000</w:t>
            </w:r>
          </w:p>
        </w:tc>
        <w:tc>
          <w:tcPr>
            <w:tcW w:w="820" w:type="dxa"/>
            <w:vAlign w:val="bottom"/>
            <w:gridSpan w:val="4"/>
          </w:tcPr>
          <w:p>
            <w:pPr>
              <w:jc w:val="right"/>
              <w:ind w:right="80"/>
              <w:spacing w:after="0"/>
              <w:rPr>
                <w:sz w:val="20"/>
                <w:szCs w:val="20"/>
                <w:color w:val="auto"/>
              </w:rPr>
            </w:pPr>
            <w:r>
              <w:rPr>
                <w:rFonts w:ascii="Arial" w:cs="Arial" w:eastAsia="Arial" w:hAnsi="Arial"/>
                <w:sz w:val="14"/>
                <w:szCs w:val="14"/>
                <w:color w:val="auto"/>
              </w:rPr>
              <w:t>18,572,500</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18,572,500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7"/>
              </w:rPr>
              <w:t>Education and Childcare</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740" w:type="dxa"/>
            <w:vAlign w:val="bottom"/>
            <w:gridSpan w:val="3"/>
          </w:tcPr>
          <w:p>
            <w:pPr>
              <w:ind w:left="40"/>
              <w:spacing w:after="0" w:line="138" w:lineRule="exact"/>
              <w:rPr>
                <w:sz w:val="20"/>
                <w:szCs w:val="20"/>
                <w:color w:val="auto"/>
              </w:rPr>
            </w:pPr>
            <w:r>
              <w:rPr>
                <w:rFonts w:ascii="Arial" w:cs="Arial" w:eastAsia="Arial" w:hAnsi="Arial"/>
                <w:sz w:val="14"/>
                <w:szCs w:val="14"/>
                <w:color w:val="auto"/>
                <w:w w:val="96"/>
              </w:rPr>
              <w:t>02/07/2014</w:t>
            </w:r>
          </w:p>
        </w:tc>
        <w:tc>
          <w:tcPr>
            <w:tcW w:w="156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9"/>
              </w:rPr>
              <w:t>Home and Office</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2.51%</w:t>
            </w:r>
          </w:p>
        </w:tc>
        <w:tc>
          <w:tcPr>
            <w:tcW w:w="74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L+225</w:t>
            </w:r>
          </w:p>
        </w:tc>
        <w:tc>
          <w:tcPr>
            <w:tcW w:w="1020" w:type="dxa"/>
            <w:vAlign w:val="bottom"/>
            <w:gridSpan w:val="3"/>
          </w:tcPr>
          <w:p>
            <w:pPr>
              <w:jc w:val="right"/>
              <w:ind w:right="300"/>
              <w:spacing w:after="0" w:line="138" w:lineRule="exact"/>
              <w:rPr>
                <w:sz w:val="20"/>
                <w:szCs w:val="20"/>
                <w:color w:val="auto"/>
              </w:rPr>
            </w:pPr>
            <w:r>
              <w:rPr>
                <w:rFonts w:ascii="Arial" w:cs="Arial" w:eastAsia="Arial" w:hAnsi="Arial"/>
                <w:sz w:val="14"/>
                <w:szCs w:val="14"/>
                <w:color w:val="auto"/>
              </w:rPr>
              <w:t>9,671,622</w:t>
            </w:r>
          </w:p>
        </w:tc>
        <w:tc>
          <w:tcPr>
            <w:tcW w:w="820" w:type="dxa"/>
            <w:vAlign w:val="bottom"/>
            <w:gridSpan w:val="4"/>
          </w:tcPr>
          <w:p>
            <w:pPr>
              <w:jc w:val="right"/>
              <w:ind w:right="80"/>
              <w:spacing w:after="0" w:line="138" w:lineRule="exact"/>
              <w:rPr>
                <w:sz w:val="20"/>
                <w:szCs w:val="20"/>
                <w:color w:val="auto"/>
              </w:rPr>
            </w:pPr>
            <w:r>
              <w:rPr>
                <w:rFonts w:ascii="Arial" w:cs="Arial" w:eastAsia="Arial" w:hAnsi="Arial"/>
                <w:sz w:val="14"/>
                <w:szCs w:val="14"/>
                <w:color w:val="auto"/>
              </w:rPr>
              <w:t>9,671,622</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6,866,851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Furnishings,</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Housewares and</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Durable Consumer</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gridSpan w:val="2"/>
          </w:tcPr>
          <w:p>
            <w:pPr>
              <w:jc w:val="center"/>
              <w:ind w:right="540"/>
              <w:spacing w:after="0" w:line="159" w:lineRule="exact"/>
              <w:rPr>
                <w:sz w:val="20"/>
                <w:szCs w:val="20"/>
                <w:color w:val="auto"/>
              </w:rPr>
            </w:pPr>
            <w:r>
              <w:rPr>
                <w:rFonts w:ascii="Arial" w:cs="Arial" w:eastAsia="Arial" w:hAnsi="Arial"/>
                <w:sz w:val="14"/>
                <w:szCs w:val="14"/>
                <w:color w:val="auto"/>
                <w:w w:val="83"/>
              </w:rPr>
              <w:t>Products</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P+675</w:t>
            </w:r>
            <w:r>
              <w:rPr>
                <w:rFonts w:ascii="Arial" w:cs="Arial" w:eastAsia="Arial" w:hAnsi="Arial"/>
                <w:sz w:val="22"/>
                <w:szCs w:val="22"/>
                <w:color w:val="auto"/>
                <w:vertAlign w:val="superscript"/>
              </w:rPr>
              <w:t>(8)</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740" w:type="dxa"/>
            <w:vAlign w:val="bottom"/>
            <w:gridSpan w:val="3"/>
          </w:tcPr>
          <w:p>
            <w:pPr>
              <w:ind w:left="40"/>
              <w:spacing w:after="0" w:line="138" w:lineRule="exact"/>
              <w:rPr>
                <w:sz w:val="20"/>
                <w:szCs w:val="20"/>
                <w:color w:val="auto"/>
              </w:rPr>
            </w:pPr>
            <w:r>
              <w:rPr>
                <w:rFonts w:ascii="Arial" w:cs="Arial" w:eastAsia="Arial" w:hAnsi="Arial"/>
                <w:sz w:val="14"/>
                <w:szCs w:val="14"/>
                <w:color w:val="auto"/>
                <w:w w:val="96"/>
              </w:rPr>
              <w:t>09/10/2015</w:t>
            </w:r>
          </w:p>
        </w:tc>
        <w:tc>
          <w:tcPr>
            <w:tcW w:w="156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7"/>
              </w:rPr>
              <w:t>Chemicals, Plastics</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10.00%</w:t>
            </w:r>
          </w:p>
        </w:tc>
        <w:tc>
          <w:tcPr>
            <w:tcW w:w="740" w:type="dxa"/>
            <w:vAlign w:val="bottom"/>
            <w:gridSpan w:val="2"/>
            <w:vMerge w:val="continue"/>
          </w:tcPr>
          <w:p>
            <w:pPr>
              <w:spacing w:after="0"/>
              <w:rPr>
                <w:sz w:val="11"/>
                <w:szCs w:val="11"/>
                <w:color w:val="auto"/>
              </w:rPr>
            </w:pPr>
          </w:p>
        </w:tc>
        <w:tc>
          <w:tcPr>
            <w:tcW w:w="1020" w:type="dxa"/>
            <w:vAlign w:val="bottom"/>
            <w:gridSpan w:val="3"/>
          </w:tcPr>
          <w:p>
            <w:pPr>
              <w:jc w:val="right"/>
              <w:ind w:right="300"/>
              <w:spacing w:after="0" w:line="138" w:lineRule="exact"/>
              <w:rPr>
                <w:sz w:val="20"/>
                <w:szCs w:val="20"/>
                <w:color w:val="auto"/>
              </w:rPr>
            </w:pPr>
            <w:r>
              <w:rPr>
                <w:rFonts w:ascii="Arial" w:cs="Arial" w:eastAsia="Arial" w:hAnsi="Arial"/>
                <w:sz w:val="14"/>
                <w:szCs w:val="14"/>
                <w:color w:val="auto"/>
                <w:w w:val="99"/>
              </w:rPr>
              <w:t>18,952,500</w:t>
            </w:r>
          </w:p>
        </w:tc>
        <w:tc>
          <w:tcPr>
            <w:tcW w:w="820" w:type="dxa"/>
            <w:vAlign w:val="bottom"/>
            <w:gridSpan w:val="4"/>
          </w:tcPr>
          <w:p>
            <w:pPr>
              <w:jc w:val="right"/>
              <w:ind w:right="80"/>
              <w:spacing w:after="0" w:line="138" w:lineRule="exact"/>
              <w:rPr>
                <w:sz w:val="20"/>
                <w:szCs w:val="20"/>
                <w:color w:val="auto"/>
              </w:rPr>
            </w:pPr>
            <w:r>
              <w:rPr>
                <w:rFonts w:ascii="Arial" w:cs="Arial" w:eastAsia="Arial" w:hAnsi="Arial"/>
                <w:sz w:val="14"/>
                <w:szCs w:val="14"/>
                <w:color w:val="auto"/>
              </w:rPr>
              <w:t>18,002,959</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18,004,875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4"/>
              </w:rPr>
              <w:t>and Rubber</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Pharmaceuticals, LLC</w:t>
            </w: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6"/>
              </w:rPr>
              <w:t>Healthcare,</w:t>
            </w: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w w:val="92"/>
              </w:rPr>
              <w:t>L+1,300</w:t>
            </w:r>
            <w:r>
              <w:rPr>
                <w:rFonts w:ascii="Arial" w:cs="Arial" w:eastAsia="Arial" w:hAnsi="Arial"/>
                <w:sz w:val="22"/>
                <w:szCs w:val="22"/>
                <w:color w:val="auto"/>
                <w:w w:val="92"/>
                <w:vertAlign w:val="superscript"/>
              </w:rPr>
              <w:t>(8)</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(f/k/a Three Rivers Pharmaceutical, L.L.C.)</w:t>
            </w:r>
          </w:p>
        </w:tc>
        <w:tc>
          <w:tcPr>
            <w:tcW w:w="740" w:type="dxa"/>
            <w:vAlign w:val="bottom"/>
            <w:gridSpan w:val="3"/>
            <w:shd w:val="clear" w:color="auto" w:fill="CCEEFF"/>
          </w:tcPr>
          <w:p>
            <w:pPr>
              <w:ind w:left="40"/>
              <w:spacing w:after="0" w:line="159" w:lineRule="exact"/>
              <w:rPr>
                <w:sz w:val="20"/>
                <w:szCs w:val="20"/>
                <w:color w:val="auto"/>
              </w:rPr>
            </w:pPr>
            <w:r>
              <w:rPr>
                <w:rFonts w:ascii="Arial" w:cs="Arial" w:eastAsia="Arial" w:hAnsi="Arial"/>
                <w:sz w:val="14"/>
                <w:szCs w:val="14"/>
                <w:color w:val="auto"/>
                <w:w w:val="96"/>
              </w:rPr>
              <w:t>10/22/2011</w:t>
            </w:r>
          </w:p>
        </w:tc>
        <w:tc>
          <w:tcPr>
            <w:tcW w:w="156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7"/>
              </w:rPr>
              <w:t>Education and Childcare</w:t>
            </w:r>
          </w:p>
        </w:tc>
        <w:tc>
          <w:tcPr>
            <w:tcW w:w="82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15.00%</w:t>
            </w:r>
          </w:p>
        </w:tc>
        <w:tc>
          <w:tcPr>
            <w:tcW w:w="740" w:type="dxa"/>
            <w:vAlign w:val="bottom"/>
            <w:gridSpan w:val="2"/>
            <w:vMerge w:val="continue"/>
            <w:shd w:val="clear" w:color="auto" w:fill="CCEEFF"/>
          </w:tcPr>
          <w:p>
            <w:pPr>
              <w:spacing w:after="0"/>
              <w:rPr>
                <w:sz w:val="13"/>
                <w:szCs w:val="13"/>
                <w:color w:val="auto"/>
              </w:rPr>
            </w:pPr>
          </w:p>
        </w:tc>
        <w:tc>
          <w:tcPr>
            <w:tcW w:w="1020" w:type="dxa"/>
            <w:vAlign w:val="bottom"/>
            <w:gridSpan w:val="3"/>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w w:val="99"/>
              </w:rPr>
              <w:t>29,066,987</w:t>
            </w:r>
          </w:p>
        </w:tc>
        <w:tc>
          <w:tcPr>
            <w:tcW w:w="8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27,940,332</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30,811,006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gridSpan w:val="2"/>
          </w:tcPr>
          <w:p>
            <w:pPr>
              <w:spacing w:after="0" w:line="122" w:lineRule="exact"/>
              <w:rPr>
                <w:sz w:val="20"/>
                <w:szCs w:val="20"/>
                <w:color w:val="auto"/>
              </w:rPr>
            </w:pPr>
            <w:r>
              <w:rPr>
                <w:rFonts w:ascii="Arial" w:cs="Arial" w:eastAsia="Arial" w:hAnsi="Arial"/>
                <w:sz w:val="14"/>
                <w:szCs w:val="14"/>
                <w:color w:val="auto"/>
              </w:rPr>
              <w:t>Learning Care Group, Inc.</w:t>
            </w:r>
          </w:p>
        </w:tc>
        <w:tc>
          <w:tcPr>
            <w:tcW w:w="740" w:type="dxa"/>
            <w:vAlign w:val="bottom"/>
            <w:gridSpan w:val="3"/>
          </w:tcPr>
          <w:p>
            <w:pPr>
              <w:ind w:left="40"/>
              <w:spacing w:after="0" w:line="122" w:lineRule="exact"/>
              <w:rPr>
                <w:sz w:val="20"/>
                <w:szCs w:val="20"/>
                <w:color w:val="auto"/>
              </w:rPr>
            </w:pPr>
            <w:r>
              <w:rPr>
                <w:rFonts w:ascii="Arial" w:cs="Arial" w:eastAsia="Arial" w:hAnsi="Arial"/>
                <w:sz w:val="14"/>
                <w:szCs w:val="14"/>
                <w:color w:val="auto"/>
                <w:w w:val="96"/>
              </w:rPr>
              <w:t>04/27/2016</w:t>
            </w:r>
          </w:p>
        </w:tc>
        <w:tc>
          <w:tcPr>
            <w:tcW w:w="156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86"/>
              </w:rPr>
              <w:t>Education</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4"/>
                <w:szCs w:val="14"/>
                <w:color w:val="auto"/>
              </w:rPr>
              <w:t>12.00%</w:t>
            </w:r>
          </w:p>
        </w:tc>
        <w:tc>
          <w:tcPr>
            <w:tcW w:w="740" w:type="dxa"/>
            <w:vAlign w:val="bottom"/>
            <w:gridSpan w:val="2"/>
          </w:tcPr>
          <w:p>
            <w:pPr>
              <w:ind w:left="320"/>
              <w:spacing w:after="0" w:line="122"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300"/>
              <w:spacing w:after="0" w:line="122" w:lineRule="exact"/>
              <w:rPr>
                <w:sz w:val="20"/>
                <w:szCs w:val="20"/>
                <w:color w:val="auto"/>
              </w:rPr>
            </w:pPr>
            <w:r>
              <w:rPr>
                <w:rFonts w:ascii="Arial" w:cs="Arial" w:eastAsia="Arial" w:hAnsi="Arial"/>
                <w:sz w:val="14"/>
                <w:szCs w:val="14"/>
                <w:color w:val="auto"/>
                <w:w w:val="99"/>
              </w:rPr>
              <w:t>26,052,632</w:t>
            </w:r>
          </w:p>
        </w:tc>
        <w:tc>
          <w:tcPr>
            <w:tcW w:w="820" w:type="dxa"/>
            <w:vAlign w:val="bottom"/>
            <w:gridSpan w:val="4"/>
          </w:tcPr>
          <w:p>
            <w:pPr>
              <w:jc w:val="right"/>
              <w:ind w:right="80"/>
              <w:spacing w:after="0" w:line="122" w:lineRule="exact"/>
              <w:rPr>
                <w:sz w:val="20"/>
                <w:szCs w:val="20"/>
                <w:color w:val="auto"/>
              </w:rPr>
            </w:pPr>
            <w:r>
              <w:rPr>
                <w:rFonts w:ascii="Arial" w:cs="Arial" w:eastAsia="Arial" w:hAnsi="Arial"/>
                <w:sz w:val="14"/>
                <w:szCs w:val="14"/>
                <w:color w:val="auto"/>
              </w:rPr>
              <w:t>25,555,967</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25,401,316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color w:val="auto"/>
              </w:rPr>
              <w:t>Penton Media, Inc.</w:t>
            </w:r>
          </w:p>
        </w:tc>
        <w:tc>
          <w:tcPr>
            <w:tcW w:w="740" w:type="dxa"/>
            <w:vAlign w:val="bottom"/>
            <w:gridSpan w:val="3"/>
          </w:tcPr>
          <w:p>
            <w:pPr>
              <w:ind w:left="40"/>
              <w:spacing w:after="0"/>
              <w:rPr>
                <w:sz w:val="20"/>
                <w:szCs w:val="20"/>
                <w:color w:val="auto"/>
              </w:rPr>
            </w:pPr>
            <w:r>
              <w:rPr>
                <w:rFonts w:ascii="Arial" w:cs="Arial" w:eastAsia="Arial" w:hAnsi="Arial"/>
                <w:sz w:val="14"/>
                <w:szCs w:val="14"/>
                <w:color w:val="auto"/>
                <w:w w:val="96"/>
              </w:rPr>
              <w:t>08/01/2014</w:t>
            </w:r>
          </w:p>
        </w:tc>
        <w:tc>
          <w:tcPr>
            <w:tcW w:w="1560" w:type="dxa"/>
            <w:vAlign w:val="bottom"/>
            <w:gridSpan w:val="3"/>
          </w:tcPr>
          <w:p>
            <w:pPr>
              <w:jc w:val="center"/>
              <w:ind w:right="20"/>
              <w:spacing w:after="0"/>
              <w:rPr>
                <w:sz w:val="20"/>
                <w:szCs w:val="20"/>
                <w:color w:val="auto"/>
              </w:rPr>
            </w:pPr>
            <w:r>
              <w:rPr>
                <w:rFonts w:ascii="Arial" w:cs="Arial" w:eastAsia="Arial" w:hAnsi="Arial"/>
                <w:sz w:val="14"/>
                <w:szCs w:val="14"/>
                <w:color w:val="auto"/>
                <w:w w:val="90"/>
              </w:rPr>
              <w:t>Other Media</w:t>
            </w:r>
          </w:p>
        </w:tc>
        <w:tc>
          <w:tcPr>
            <w:tcW w:w="820" w:type="dxa"/>
            <w:vAlign w:val="bottom"/>
            <w:gridSpan w:val="2"/>
          </w:tcPr>
          <w:p>
            <w:pPr>
              <w:jc w:val="right"/>
              <w:ind w:right="120"/>
              <w:spacing w:after="0" w:line="176" w:lineRule="exact"/>
              <w:rPr>
                <w:sz w:val="20"/>
                <w:szCs w:val="20"/>
                <w:color w:val="auto"/>
              </w:rPr>
            </w:pPr>
            <w:r>
              <w:rPr>
                <w:rFonts w:ascii="Arial" w:cs="Arial" w:eastAsia="Arial" w:hAnsi="Arial"/>
                <w:sz w:val="13"/>
                <w:szCs w:val="13"/>
                <w:color w:val="auto"/>
              </w:rPr>
              <w:t>5.00%</w:t>
            </w:r>
            <w:r>
              <w:rPr>
                <w:rFonts w:ascii="Arial" w:cs="Arial" w:eastAsia="Arial" w:hAnsi="Arial"/>
                <w:sz w:val="20"/>
                <w:szCs w:val="20"/>
                <w:color w:val="auto"/>
                <w:vertAlign w:val="superscript"/>
              </w:rPr>
              <w:t>(6)</w:t>
            </w:r>
          </w:p>
        </w:tc>
        <w:tc>
          <w:tcPr>
            <w:tcW w:w="740" w:type="dxa"/>
            <w:vAlign w:val="bottom"/>
            <w:gridSpan w:val="2"/>
          </w:tcPr>
          <w:p>
            <w:pPr>
              <w:jc w:val="right"/>
              <w:ind w:right="80"/>
              <w:spacing w:after="0" w:line="176" w:lineRule="exact"/>
              <w:rPr>
                <w:sz w:val="20"/>
                <w:szCs w:val="20"/>
                <w:color w:val="auto"/>
              </w:rPr>
            </w:pPr>
            <w:r>
              <w:rPr>
                <w:rFonts w:ascii="Arial" w:cs="Arial" w:eastAsia="Arial" w:hAnsi="Arial"/>
                <w:sz w:val="13"/>
                <w:szCs w:val="13"/>
                <w:color w:val="auto"/>
              </w:rPr>
              <w:t>L+400</w:t>
            </w:r>
            <w:r>
              <w:rPr>
                <w:rFonts w:ascii="Arial" w:cs="Arial" w:eastAsia="Arial" w:hAnsi="Arial"/>
                <w:sz w:val="20"/>
                <w:szCs w:val="20"/>
                <w:color w:val="auto"/>
                <w:vertAlign w:val="superscript"/>
              </w:rPr>
              <w:t>(8)</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color w:val="auto"/>
                <w:w w:val="99"/>
              </w:rPr>
              <w:t>37,779,699</w:t>
            </w:r>
          </w:p>
        </w:tc>
        <w:tc>
          <w:tcPr>
            <w:tcW w:w="820" w:type="dxa"/>
            <w:vAlign w:val="bottom"/>
            <w:gridSpan w:val="4"/>
          </w:tcPr>
          <w:p>
            <w:pPr>
              <w:jc w:val="right"/>
              <w:ind w:right="80"/>
              <w:spacing w:after="0"/>
              <w:rPr>
                <w:sz w:val="20"/>
                <w:szCs w:val="20"/>
                <w:color w:val="auto"/>
              </w:rPr>
            </w:pPr>
            <w:r>
              <w:rPr>
                <w:rFonts w:ascii="Arial" w:cs="Arial" w:eastAsia="Arial" w:hAnsi="Arial"/>
                <w:sz w:val="14"/>
                <w:szCs w:val="14"/>
                <w:color w:val="auto"/>
              </w:rPr>
              <w:t>32,241,162</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26,130,971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tcPr>
          <w:p>
            <w:pPr>
              <w:spacing w:after="0" w:line="138" w:lineRule="exact"/>
              <w:rPr>
                <w:sz w:val="20"/>
                <w:szCs w:val="20"/>
                <w:color w:val="auto"/>
              </w:rPr>
            </w:pPr>
            <w:r>
              <w:rPr>
                <w:rFonts w:ascii="Arial" w:cs="Arial" w:eastAsia="Arial" w:hAnsi="Arial"/>
                <w:sz w:val="14"/>
                <w:szCs w:val="14"/>
                <w:color w:val="auto"/>
              </w:rPr>
              <w:t>Prepaid Legal Services, Inc.,</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5"/>
              </w:rPr>
              <w:t>Personal, Food and</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7.50%</w:t>
            </w:r>
            <w:r>
              <w:rPr>
                <w:rFonts w:ascii="Arial" w:cs="Arial" w:eastAsia="Arial" w:hAnsi="Arial"/>
                <w:sz w:val="22"/>
                <w:szCs w:val="22"/>
                <w:color w:val="auto"/>
                <w:vertAlign w:val="superscript"/>
              </w:rPr>
              <w:t>(6)</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L+600</w:t>
            </w:r>
            <w:r>
              <w:rPr>
                <w:rFonts w:ascii="Arial" w:cs="Arial" w:eastAsia="Arial" w:hAnsi="Arial"/>
                <w:sz w:val="22"/>
                <w:szCs w:val="22"/>
                <w:color w:val="auto"/>
                <w:vertAlign w:val="superscript"/>
              </w:rPr>
              <w:t>(8)</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Tranche A</w:t>
            </w:r>
          </w:p>
        </w:tc>
        <w:tc>
          <w:tcPr>
            <w:tcW w:w="740" w:type="dxa"/>
            <w:vAlign w:val="bottom"/>
            <w:gridSpan w:val="3"/>
          </w:tcPr>
          <w:p>
            <w:pPr>
              <w:ind w:left="40"/>
              <w:spacing w:after="0" w:line="159" w:lineRule="exact"/>
              <w:rPr>
                <w:sz w:val="20"/>
                <w:szCs w:val="20"/>
                <w:color w:val="auto"/>
              </w:rPr>
            </w:pPr>
            <w:r>
              <w:rPr>
                <w:rFonts w:ascii="Arial" w:cs="Arial" w:eastAsia="Arial" w:hAnsi="Arial"/>
                <w:sz w:val="14"/>
                <w:szCs w:val="14"/>
                <w:color w:val="auto"/>
                <w:w w:val="96"/>
              </w:rPr>
              <w:t>12/30/2016</w:t>
            </w:r>
          </w:p>
        </w:tc>
        <w:tc>
          <w:tcPr>
            <w:tcW w:w="15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6"/>
              </w:rPr>
              <w:t>Miscellaneous Services</w:t>
            </w:r>
          </w:p>
        </w:tc>
        <w:tc>
          <w:tcPr>
            <w:tcW w:w="82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2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rPr>
              <w:t>2,000,000</w:t>
            </w:r>
          </w:p>
        </w:tc>
        <w:tc>
          <w:tcPr>
            <w:tcW w:w="82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1,970,966</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1,900,000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Prepaid Legal Services, Inc.,</w:t>
            </w: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6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5"/>
              </w:rPr>
              <w:t>Personal, Food and</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11.00%</w:t>
            </w:r>
            <w:r>
              <w:rPr>
                <w:rFonts w:ascii="Arial" w:cs="Arial" w:eastAsia="Arial" w:hAnsi="Arial"/>
                <w:sz w:val="22"/>
                <w:szCs w:val="22"/>
                <w:color w:val="auto"/>
                <w:vertAlign w:val="superscript"/>
              </w:rPr>
              <w:t>(6)</w:t>
            </w: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L+950</w:t>
            </w:r>
            <w:r>
              <w:rPr>
                <w:rFonts w:ascii="Arial" w:cs="Arial" w:eastAsia="Arial" w:hAnsi="Arial"/>
                <w:sz w:val="22"/>
                <w:szCs w:val="22"/>
                <w:color w:val="auto"/>
                <w:vertAlign w:val="superscript"/>
              </w:rPr>
              <w:t>(8)</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Tranche B</w:t>
            </w:r>
          </w:p>
        </w:tc>
        <w:tc>
          <w:tcPr>
            <w:tcW w:w="740" w:type="dxa"/>
            <w:vAlign w:val="bottom"/>
            <w:gridSpan w:val="3"/>
            <w:shd w:val="clear" w:color="auto" w:fill="CCEEFF"/>
          </w:tcPr>
          <w:p>
            <w:pPr>
              <w:ind w:left="40"/>
              <w:spacing w:after="0" w:line="159" w:lineRule="exact"/>
              <w:rPr>
                <w:sz w:val="20"/>
                <w:szCs w:val="20"/>
                <w:color w:val="auto"/>
              </w:rPr>
            </w:pPr>
            <w:r>
              <w:rPr>
                <w:rFonts w:ascii="Arial" w:cs="Arial" w:eastAsia="Arial" w:hAnsi="Arial"/>
                <w:sz w:val="14"/>
                <w:szCs w:val="14"/>
                <w:color w:val="auto"/>
                <w:w w:val="96"/>
              </w:rPr>
              <w:t>12/30/2016</w:t>
            </w:r>
          </w:p>
        </w:tc>
        <w:tc>
          <w:tcPr>
            <w:tcW w:w="156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6"/>
              </w:rPr>
              <w:t>Miscellaneous Services</w:t>
            </w:r>
          </w:p>
        </w:tc>
        <w:tc>
          <w:tcPr>
            <w:tcW w:w="82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020" w:type="dxa"/>
            <w:vAlign w:val="bottom"/>
            <w:gridSpan w:val="3"/>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w w:val="99"/>
              </w:rPr>
              <w:t>35,000,000</w:t>
            </w:r>
          </w:p>
        </w:tc>
        <w:tc>
          <w:tcPr>
            <w:tcW w:w="8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33,978,263</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33,250,000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800" w:type="dxa"/>
            <w:vAlign w:val="bottom"/>
            <w:gridSpan w:val="2"/>
          </w:tcPr>
          <w:p>
            <w:pPr>
              <w:spacing w:after="0" w:line="122" w:lineRule="exact"/>
              <w:rPr>
                <w:sz w:val="20"/>
                <w:szCs w:val="20"/>
                <w:color w:val="auto"/>
              </w:rPr>
            </w:pPr>
            <w:r>
              <w:rPr>
                <w:rFonts w:ascii="Arial" w:cs="Arial" w:eastAsia="Arial" w:hAnsi="Arial"/>
                <w:sz w:val="14"/>
                <w:szCs w:val="14"/>
                <w:color w:val="auto"/>
              </w:rPr>
              <w:t>Questex Media Group LLC</w:t>
            </w:r>
          </w:p>
        </w:tc>
        <w:tc>
          <w:tcPr>
            <w:tcW w:w="740" w:type="dxa"/>
            <w:vAlign w:val="bottom"/>
            <w:gridSpan w:val="3"/>
          </w:tcPr>
          <w:p>
            <w:pPr>
              <w:ind w:left="40"/>
              <w:spacing w:after="0" w:line="122" w:lineRule="exact"/>
              <w:rPr>
                <w:sz w:val="20"/>
                <w:szCs w:val="20"/>
                <w:color w:val="auto"/>
              </w:rPr>
            </w:pPr>
            <w:r>
              <w:rPr>
                <w:rFonts w:ascii="Arial" w:cs="Arial" w:eastAsia="Arial" w:hAnsi="Arial"/>
                <w:sz w:val="14"/>
                <w:szCs w:val="14"/>
                <w:color w:val="auto"/>
                <w:w w:val="96"/>
              </w:rPr>
              <w:t>12/16/2012</w:t>
            </w:r>
          </w:p>
        </w:tc>
        <w:tc>
          <w:tcPr>
            <w:tcW w:w="156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90"/>
              </w:rPr>
              <w:t>Other Media</w:t>
            </w:r>
          </w:p>
        </w:tc>
        <w:tc>
          <w:tcPr>
            <w:tcW w:w="820" w:type="dxa"/>
            <w:vAlign w:val="bottom"/>
            <w:gridSpan w:val="2"/>
          </w:tcPr>
          <w:p>
            <w:pPr>
              <w:jc w:val="right"/>
              <w:ind w:right="240"/>
              <w:spacing w:after="0" w:line="122" w:lineRule="exact"/>
              <w:rPr>
                <w:sz w:val="20"/>
                <w:szCs w:val="20"/>
                <w:color w:val="auto"/>
              </w:rPr>
            </w:pPr>
            <w:r>
              <w:rPr>
                <w:rFonts w:ascii="Arial" w:cs="Arial" w:eastAsia="Arial" w:hAnsi="Arial"/>
                <w:sz w:val="14"/>
                <w:szCs w:val="14"/>
                <w:color w:val="auto"/>
              </w:rPr>
              <w:t>10.50%</w:t>
            </w: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0"/>
                <w:szCs w:val="10"/>
                <w:color w:val="auto"/>
              </w:rPr>
              <w:t>L+550</w:t>
            </w:r>
            <w:r>
              <w:rPr>
                <w:rFonts w:ascii="Arial" w:cs="Arial" w:eastAsia="Arial" w:hAnsi="Arial"/>
                <w:sz w:val="14"/>
                <w:szCs w:val="14"/>
                <w:color w:val="auto"/>
                <w:vertAlign w:val="superscript"/>
              </w:rPr>
              <w:t>(8)</w:t>
            </w:r>
          </w:p>
        </w:tc>
        <w:tc>
          <w:tcPr>
            <w:tcW w:w="1020" w:type="dxa"/>
            <w:vAlign w:val="bottom"/>
            <w:gridSpan w:val="3"/>
          </w:tcPr>
          <w:p>
            <w:pPr>
              <w:jc w:val="right"/>
              <w:ind w:right="300"/>
              <w:spacing w:after="0" w:line="122" w:lineRule="exact"/>
              <w:rPr>
                <w:sz w:val="20"/>
                <w:szCs w:val="20"/>
                <w:color w:val="auto"/>
              </w:rPr>
            </w:pPr>
            <w:r>
              <w:rPr>
                <w:rFonts w:ascii="Arial" w:cs="Arial" w:eastAsia="Arial" w:hAnsi="Arial"/>
                <w:sz w:val="14"/>
                <w:szCs w:val="14"/>
                <w:color w:val="auto"/>
              </w:rPr>
              <w:t>26,721</w:t>
            </w:r>
          </w:p>
        </w:tc>
        <w:tc>
          <w:tcPr>
            <w:tcW w:w="820" w:type="dxa"/>
            <w:vAlign w:val="bottom"/>
            <w:gridSpan w:val="4"/>
          </w:tcPr>
          <w:p>
            <w:pPr>
              <w:jc w:val="right"/>
              <w:ind w:right="80"/>
              <w:spacing w:after="0" w:line="122" w:lineRule="exact"/>
              <w:rPr>
                <w:sz w:val="20"/>
                <w:szCs w:val="20"/>
                <w:color w:val="auto"/>
              </w:rPr>
            </w:pPr>
            <w:r>
              <w:rPr>
                <w:rFonts w:ascii="Arial" w:cs="Arial" w:eastAsia="Arial" w:hAnsi="Arial"/>
                <w:sz w:val="14"/>
                <w:szCs w:val="14"/>
                <w:color w:val="auto"/>
              </w:rPr>
              <w:t>26,721</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26,721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0" w:type="dxa"/>
            <w:vAlign w:val="bottom"/>
            <w:gridSpan w:val="2"/>
          </w:tcPr>
          <w:p>
            <w:pPr>
              <w:spacing w:after="0" w:line="176" w:lineRule="exact"/>
              <w:rPr>
                <w:sz w:val="20"/>
                <w:szCs w:val="20"/>
                <w:color w:val="auto"/>
              </w:rPr>
            </w:pPr>
            <w:r>
              <w:rPr>
                <w:rFonts w:ascii="Arial" w:cs="Arial" w:eastAsia="Arial" w:hAnsi="Arial"/>
                <w:sz w:val="13"/>
                <w:szCs w:val="13"/>
                <w:color w:val="auto"/>
              </w:rPr>
              <w:t>Questex Media Group LLC</w:t>
            </w:r>
            <w:r>
              <w:rPr>
                <w:rFonts w:ascii="Arial" w:cs="Arial" w:eastAsia="Arial" w:hAnsi="Arial"/>
                <w:sz w:val="20"/>
                <w:szCs w:val="20"/>
                <w:color w:val="auto"/>
                <w:vertAlign w:val="superscript"/>
              </w:rPr>
              <w:t>(9)</w:t>
            </w:r>
          </w:p>
        </w:tc>
        <w:tc>
          <w:tcPr>
            <w:tcW w:w="740" w:type="dxa"/>
            <w:vAlign w:val="bottom"/>
            <w:gridSpan w:val="3"/>
          </w:tcPr>
          <w:p>
            <w:pPr>
              <w:ind w:left="40"/>
              <w:spacing w:after="0"/>
              <w:rPr>
                <w:sz w:val="20"/>
                <w:szCs w:val="20"/>
                <w:color w:val="auto"/>
              </w:rPr>
            </w:pPr>
            <w:r>
              <w:rPr>
                <w:rFonts w:ascii="Arial" w:cs="Arial" w:eastAsia="Arial" w:hAnsi="Arial"/>
                <w:sz w:val="14"/>
                <w:szCs w:val="14"/>
                <w:color w:val="auto"/>
                <w:w w:val="96"/>
              </w:rPr>
              <w:t>12/16/2012</w:t>
            </w:r>
          </w:p>
        </w:tc>
        <w:tc>
          <w:tcPr>
            <w:tcW w:w="1560" w:type="dxa"/>
            <w:vAlign w:val="bottom"/>
            <w:gridSpan w:val="3"/>
          </w:tcPr>
          <w:p>
            <w:pPr>
              <w:jc w:val="center"/>
              <w:ind w:right="20"/>
              <w:spacing w:after="0"/>
              <w:rPr>
                <w:sz w:val="20"/>
                <w:szCs w:val="20"/>
                <w:color w:val="auto"/>
              </w:rPr>
            </w:pPr>
            <w:r>
              <w:rPr>
                <w:rFonts w:ascii="Arial" w:cs="Arial" w:eastAsia="Arial" w:hAnsi="Arial"/>
                <w:sz w:val="14"/>
                <w:szCs w:val="14"/>
                <w:color w:val="auto"/>
                <w:w w:val="90"/>
              </w:rPr>
              <w:t>Other Media</w:t>
            </w:r>
          </w:p>
        </w:tc>
        <w:tc>
          <w:tcPr>
            <w:tcW w:w="8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32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9"/>
                <w:szCs w:val="9"/>
                <w:color w:val="auto"/>
              </w:rPr>
              <w:t xml:space="preserve"> (8)</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color w:val="auto"/>
              </w:rPr>
              <w:t>240,485</w:t>
            </w:r>
          </w:p>
        </w:tc>
        <w:tc>
          <w:tcPr>
            <w:tcW w:w="820" w:type="dxa"/>
            <w:vAlign w:val="bottom"/>
            <w:gridSpan w:val="4"/>
          </w:tcPr>
          <w:p>
            <w:pPr>
              <w:jc w:val="right"/>
              <w:ind w:right="80"/>
              <w:spacing w:after="0"/>
              <w:rPr>
                <w:sz w:val="20"/>
                <w:szCs w:val="20"/>
                <w:color w:val="auto"/>
              </w:rPr>
            </w:pPr>
            <w:r>
              <w:rPr>
                <w:rFonts w:ascii="Arial" w:cs="Arial" w:eastAsia="Arial" w:hAnsi="Arial"/>
                <w:sz w:val="14"/>
                <w:szCs w:val="14"/>
                <w:color w:val="auto"/>
              </w:rPr>
              <w:t>240,485</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240,485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820" w:type="dxa"/>
            <w:vAlign w:val="bottom"/>
            <w:gridSpan w:val="3"/>
          </w:tcPr>
          <w:p>
            <w:pPr>
              <w:spacing w:after="0" w:line="148" w:lineRule="exact"/>
              <w:rPr>
                <w:sz w:val="20"/>
                <w:szCs w:val="20"/>
                <w:color w:val="auto"/>
              </w:rPr>
            </w:pPr>
            <w:r>
              <w:rPr>
                <w:rFonts w:ascii="Arial" w:cs="Arial" w:eastAsia="Arial" w:hAnsi="Arial"/>
                <w:sz w:val="14"/>
                <w:szCs w:val="14"/>
                <w:color w:val="auto"/>
              </w:rPr>
              <w:t>VPSI, Inc.</w:t>
            </w:r>
          </w:p>
        </w:tc>
        <w:tc>
          <w:tcPr>
            <w:tcW w:w="740" w:type="dxa"/>
            <w:vAlign w:val="bottom"/>
            <w:gridSpan w:val="3"/>
          </w:tcPr>
          <w:p>
            <w:pPr>
              <w:ind w:left="40"/>
              <w:spacing w:after="0" w:line="148" w:lineRule="exact"/>
              <w:rPr>
                <w:sz w:val="20"/>
                <w:szCs w:val="20"/>
                <w:color w:val="auto"/>
              </w:rPr>
            </w:pPr>
            <w:r>
              <w:rPr>
                <w:rFonts w:ascii="Arial" w:cs="Arial" w:eastAsia="Arial" w:hAnsi="Arial"/>
                <w:sz w:val="14"/>
                <w:szCs w:val="14"/>
                <w:color w:val="auto"/>
                <w:w w:val="96"/>
              </w:rPr>
              <w:t>12/23/2015</w:t>
            </w:r>
          </w:p>
        </w:tc>
        <w:tc>
          <w:tcPr>
            <w:tcW w:w="1560" w:type="dxa"/>
            <w:vAlign w:val="bottom"/>
            <w:gridSpan w:val="3"/>
          </w:tcPr>
          <w:p>
            <w:pPr>
              <w:jc w:val="center"/>
              <w:ind w:right="20"/>
              <w:spacing w:after="0" w:line="148" w:lineRule="exact"/>
              <w:rPr>
                <w:sz w:val="20"/>
                <w:szCs w:val="20"/>
                <w:color w:val="auto"/>
              </w:rPr>
            </w:pPr>
            <w:r>
              <w:rPr>
                <w:rFonts w:ascii="Arial" w:cs="Arial" w:eastAsia="Arial" w:hAnsi="Arial"/>
                <w:sz w:val="14"/>
                <w:szCs w:val="14"/>
                <w:color w:val="auto"/>
                <w:w w:val="86"/>
              </w:rPr>
              <w:t>Personal Transportation</w:t>
            </w:r>
          </w:p>
        </w:tc>
        <w:tc>
          <w:tcPr>
            <w:tcW w:w="82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12.00%</w:t>
            </w:r>
          </w:p>
        </w:tc>
        <w:tc>
          <w:tcPr>
            <w:tcW w:w="74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w w:val="97"/>
              </w:rPr>
              <w:t>L+1,000</w:t>
            </w:r>
          </w:p>
        </w:tc>
        <w:tc>
          <w:tcPr>
            <w:tcW w:w="1020" w:type="dxa"/>
            <w:vAlign w:val="bottom"/>
            <w:gridSpan w:val="3"/>
          </w:tcPr>
          <w:p>
            <w:pPr>
              <w:jc w:val="right"/>
              <w:ind w:right="300"/>
              <w:spacing w:after="0" w:line="148" w:lineRule="exact"/>
              <w:rPr>
                <w:sz w:val="20"/>
                <w:szCs w:val="20"/>
                <w:color w:val="auto"/>
              </w:rPr>
            </w:pPr>
            <w:r>
              <w:rPr>
                <w:rFonts w:ascii="Arial" w:cs="Arial" w:eastAsia="Arial" w:hAnsi="Arial"/>
                <w:sz w:val="14"/>
                <w:szCs w:val="14"/>
                <w:color w:val="auto"/>
                <w:w w:val="99"/>
              </w:rPr>
              <w:t>17,302,083</w:t>
            </w:r>
          </w:p>
        </w:tc>
        <w:tc>
          <w:tcPr>
            <w:tcW w:w="820" w:type="dxa"/>
            <w:vAlign w:val="bottom"/>
            <w:gridSpan w:val="4"/>
          </w:tcPr>
          <w:p>
            <w:pPr>
              <w:jc w:val="right"/>
              <w:ind w:right="80"/>
              <w:spacing w:after="0" w:line="148" w:lineRule="exact"/>
              <w:rPr>
                <w:sz w:val="20"/>
                <w:szCs w:val="20"/>
                <w:color w:val="auto"/>
              </w:rPr>
            </w:pPr>
            <w:r>
              <w:rPr>
                <w:rFonts w:ascii="Arial" w:cs="Arial" w:eastAsia="Arial" w:hAnsi="Arial"/>
                <w:sz w:val="14"/>
                <w:szCs w:val="14"/>
                <w:color w:val="auto"/>
              </w:rPr>
              <w:t>17,047,133</w:t>
            </w:r>
          </w:p>
        </w:tc>
        <w:tc>
          <w:tcPr>
            <w:tcW w:w="840" w:type="dxa"/>
            <w:vAlign w:val="bottom"/>
            <w:gridSpan w:val="4"/>
          </w:tcPr>
          <w:p>
            <w:pPr>
              <w:jc w:val="right"/>
              <w:spacing w:after="0" w:line="148" w:lineRule="exact"/>
              <w:rPr>
                <w:sz w:val="20"/>
                <w:szCs w:val="20"/>
                <w:color w:val="auto"/>
              </w:rPr>
            </w:pPr>
            <w:r>
              <w:rPr>
                <w:rFonts w:ascii="Arial" w:cs="Arial" w:eastAsia="Arial" w:hAnsi="Arial"/>
                <w:sz w:val="14"/>
                <w:szCs w:val="14"/>
                <w:color w:val="auto"/>
              </w:rPr>
              <w:t>17,215,572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Yonkers Racing Corp.</w:t>
            </w:r>
            <w:r>
              <w:rPr>
                <w:rFonts w:ascii="Arial" w:cs="Arial" w:eastAsia="Arial" w:hAnsi="Arial"/>
                <w:sz w:val="15"/>
                <w:szCs w:val="15"/>
                <w:color w:val="auto"/>
                <w:vertAlign w:val="superscript"/>
              </w:rPr>
              <w:t>(5)</w:t>
            </w:r>
          </w:p>
        </w:tc>
        <w:tc>
          <w:tcPr>
            <w:tcW w:w="2300" w:type="dxa"/>
            <w:vAlign w:val="bottom"/>
            <w:gridSpan w:val="6"/>
            <w:shd w:val="clear" w:color="auto" w:fill="CCEEFF"/>
          </w:tcPr>
          <w:p>
            <w:pPr>
              <w:ind w:left="40"/>
              <w:spacing w:after="0" w:line="138" w:lineRule="exact"/>
              <w:rPr>
                <w:sz w:val="20"/>
                <w:szCs w:val="20"/>
                <w:color w:val="auto"/>
              </w:rPr>
            </w:pPr>
            <w:r>
              <w:rPr>
                <w:rFonts w:ascii="Arial" w:cs="Arial" w:eastAsia="Arial" w:hAnsi="Arial"/>
                <w:sz w:val="14"/>
                <w:szCs w:val="14"/>
                <w:color w:val="auto"/>
                <w:w w:val="96"/>
              </w:rPr>
              <w:t>07/15/2016   Hotels, Motels, Inns and</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11.38%</w:t>
            </w:r>
          </w:p>
        </w:tc>
        <w:tc>
          <w:tcPr>
            <w:tcW w:w="740" w:type="dxa"/>
            <w:vAlign w:val="bottom"/>
            <w:gridSpan w:val="2"/>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4,500,000</w:t>
            </w:r>
          </w:p>
        </w:tc>
        <w:tc>
          <w:tcPr>
            <w:tcW w:w="820" w:type="dxa"/>
            <w:vAlign w:val="bottom"/>
            <w:gridSpan w:val="4"/>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4,391,231</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4,590,000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center"/>
              <w:ind w:right="540"/>
              <w:spacing w:after="0" w:line="159" w:lineRule="exact"/>
              <w:rPr>
                <w:sz w:val="20"/>
                <w:szCs w:val="20"/>
                <w:color w:val="auto"/>
              </w:rPr>
            </w:pPr>
            <w:r>
              <w:rPr>
                <w:rFonts w:ascii="Arial" w:cs="Arial" w:eastAsia="Arial" w:hAnsi="Arial"/>
                <w:sz w:val="14"/>
                <w:szCs w:val="14"/>
                <w:color w:val="auto"/>
                <w:w w:val="85"/>
              </w:rPr>
              <w:t>Gaming</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8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w w:val="92"/>
              </w:rPr>
              <w:t>289,742,323</w:t>
            </w: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280,144,815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Debt—32.9%</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6"/>
              </w:rPr>
              <w:t>02/07/2015</w:t>
            </w: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2"/>
              </w:rPr>
              <w:t>Energy/Utilities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6.30%</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L+600</w:t>
            </w: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9"/>
              </w:rPr>
              <w:t>13,600,000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13,300,431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11,832,000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02/07/2015</w:t>
            </w:r>
          </w:p>
        </w:tc>
        <w:tc>
          <w:tcPr>
            <w:tcW w:w="15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2"/>
              </w:rPr>
              <w:t>Energy/Utilities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7.33%</w:t>
            </w: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L+700</w:t>
            </w:r>
          </w:p>
        </w:tc>
        <w:tc>
          <w:tcPr>
            <w:tcW w:w="10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12,000,000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11,821,275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10,680,000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6"/>
              </w:rPr>
              <w:t>02/01/2017</w:t>
            </w: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Consumer Products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12.00%</w:t>
            </w: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9"/>
              </w:rPr>
              <w:t>34,000,000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31,944,865</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10,710,000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7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08/16/2018</w:t>
            </w:r>
          </w:p>
        </w:tc>
        <w:tc>
          <w:tcPr>
            <w:tcW w:w="15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2"/>
              </w:rPr>
              <w:t>Energy / Utilities</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12.50%</w:t>
            </w:r>
            <w:r>
              <w:rPr>
                <w:rFonts w:ascii="Arial" w:cs="Arial" w:eastAsia="Arial" w:hAnsi="Arial"/>
                <w:sz w:val="17"/>
                <w:szCs w:val="17"/>
                <w:color w:val="auto"/>
                <w:vertAlign w:val="superscript"/>
              </w:rPr>
              <w:t>(6)</w:t>
            </w: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31,000,000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Eureka Hunter Pipeline, LLC </w:t>
            </w:r>
            <w:r>
              <w:rPr>
                <w:rFonts w:ascii="Arial" w:cs="Arial" w:eastAsia="Arial" w:hAnsi="Arial"/>
                <w:sz w:val="17"/>
                <w:szCs w:val="17"/>
                <w:color w:val="auto"/>
                <w:vertAlign w:val="superscript"/>
              </w:rPr>
              <w:t>(9)</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6"/>
              </w:rPr>
              <w:t>08/15/2012</w:t>
            </w: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2"/>
              </w:rPr>
              <w:t>Energy / Utilities</w:t>
            </w: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9"/>
              </w:rPr>
              <w:t>19,000,000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18,525,000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4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03/01/2014</w:t>
            </w:r>
          </w:p>
        </w:tc>
        <w:tc>
          <w:tcPr>
            <w:tcW w:w="156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Cargo Transport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10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2,860,871</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2,860,871</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2,860,871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tcPr>
          <w:p>
            <w:pPr>
              <w:spacing w:after="0" w:line="138" w:lineRule="exact"/>
              <w:rPr>
                <w:sz w:val="20"/>
                <w:szCs w:val="20"/>
                <w:color w:val="auto"/>
              </w:rPr>
            </w:pPr>
            <w:r>
              <w:rPr>
                <w:rFonts w:ascii="Arial" w:cs="Arial" w:eastAsia="Arial" w:hAnsi="Arial"/>
                <w:sz w:val="14"/>
                <w:szCs w:val="14"/>
                <w:color w:val="auto"/>
              </w:rPr>
              <w:t>Questex Media Group LLC, Term</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L+650</w:t>
            </w:r>
            <w:r>
              <w:rPr>
                <w:rFonts w:ascii="Arial" w:cs="Arial" w:eastAsia="Arial" w:hAnsi="Arial"/>
                <w:sz w:val="22"/>
                <w:szCs w:val="22"/>
                <w:color w:val="auto"/>
                <w:vertAlign w:val="superscript"/>
              </w:rPr>
              <w:t>(8)</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Loan A</w:t>
            </w:r>
          </w:p>
        </w:tc>
        <w:tc>
          <w:tcPr>
            <w:tcW w:w="740" w:type="dxa"/>
            <w:vAlign w:val="bottom"/>
            <w:gridSpan w:val="3"/>
          </w:tcPr>
          <w:p>
            <w:pPr>
              <w:ind w:left="40"/>
              <w:spacing w:after="0" w:line="159" w:lineRule="exact"/>
              <w:rPr>
                <w:sz w:val="20"/>
                <w:szCs w:val="20"/>
                <w:color w:val="auto"/>
              </w:rPr>
            </w:pPr>
            <w:r>
              <w:rPr>
                <w:rFonts w:ascii="Arial" w:cs="Arial" w:eastAsia="Arial" w:hAnsi="Arial"/>
                <w:sz w:val="14"/>
                <w:szCs w:val="14"/>
                <w:color w:val="auto"/>
                <w:w w:val="96"/>
              </w:rPr>
              <w:t>12/15/2014</w:t>
            </w:r>
          </w:p>
        </w:tc>
        <w:tc>
          <w:tcPr>
            <w:tcW w:w="156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90"/>
              </w:rPr>
              <w:t>Other Media</w:t>
            </w: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9.50%</w:t>
            </w:r>
          </w:p>
        </w:tc>
        <w:tc>
          <w:tcPr>
            <w:tcW w:w="740" w:type="dxa"/>
            <w:vAlign w:val="bottom"/>
            <w:gridSpan w:val="2"/>
            <w:vMerge w:val="continue"/>
          </w:tcPr>
          <w:p>
            <w:pPr>
              <w:spacing w:after="0"/>
              <w:rPr>
                <w:sz w:val="13"/>
                <w:szCs w:val="13"/>
                <w:color w:val="auto"/>
              </w:rPr>
            </w:pPr>
          </w:p>
        </w:tc>
        <w:tc>
          <w:tcPr>
            <w:tcW w:w="102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rPr>
              <w:t>2,971,450</w:t>
            </w:r>
          </w:p>
        </w:tc>
        <w:tc>
          <w:tcPr>
            <w:tcW w:w="82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2,971,450</w:t>
            </w: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2,692,134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Questex Media Group LLC, Term</w:t>
            </w: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11.50%</w:t>
            </w:r>
            <w:r>
              <w:rPr>
                <w:rFonts w:ascii="Arial" w:cs="Arial" w:eastAsia="Arial" w:hAnsi="Arial"/>
                <w:sz w:val="22"/>
                <w:szCs w:val="22"/>
                <w:color w:val="auto"/>
                <w:vertAlign w:val="superscript"/>
              </w:rPr>
              <w:t>(6)</w:t>
            </w: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L+750</w:t>
            </w:r>
            <w:r>
              <w:rPr>
                <w:rFonts w:ascii="Arial" w:cs="Arial" w:eastAsia="Arial" w:hAnsi="Arial"/>
                <w:sz w:val="22"/>
                <w:szCs w:val="22"/>
                <w:color w:val="auto"/>
                <w:vertAlign w:val="superscript"/>
              </w:rPr>
              <w:t>(8)</w:t>
            </w: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Loan B</w:t>
            </w:r>
          </w:p>
        </w:tc>
        <w:tc>
          <w:tcPr>
            <w:tcW w:w="740" w:type="dxa"/>
            <w:vAlign w:val="bottom"/>
            <w:gridSpan w:val="3"/>
            <w:shd w:val="clear" w:color="auto" w:fill="CCEEFF"/>
          </w:tcPr>
          <w:p>
            <w:pPr>
              <w:ind w:left="40"/>
              <w:spacing w:after="0" w:line="159" w:lineRule="exact"/>
              <w:rPr>
                <w:sz w:val="20"/>
                <w:szCs w:val="20"/>
                <w:color w:val="auto"/>
              </w:rPr>
            </w:pPr>
            <w:r>
              <w:rPr>
                <w:rFonts w:ascii="Arial" w:cs="Arial" w:eastAsia="Arial" w:hAnsi="Arial"/>
                <w:sz w:val="14"/>
                <w:szCs w:val="14"/>
                <w:color w:val="auto"/>
                <w:w w:val="96"/>
              </w:rPr>
              <w:t>12/15/2015</w:t>
            </w:r>
          </w:p>
        </w:tc>
        <w:tc>
          <w:tcPr>
            <w:tcW w:w="156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90"/>
              </w:rPr>
              <w:t>Other Media</w:t>
            </w:r>
          </w:p>
        </w:tc>
        <w:tc>
          <w:tcPr>
            <w:tcW w:w="820" w:type="dxa"/>
            <w:vAlign w:val="bottom"/>
            <w:gridSpan w:val="2"/>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020" w:type="dxa"/>
            <w:vAlign w:val="bottom"/>
            <w:gridSpan w:val="3"/>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1,990,370</w:t>
            </w:r>
          </w:p>
        </w:tc>
        <w:tc>
          <w:tcPr>
            <w:tcW w:w="8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1,990,370</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1,737,593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RAM Energy Resources, Inc.</w:t>
            </w:r>
          </w:p>
        </w:tc>
        <w:tc>
          <w:tcPr>
            <w:tcW w:w="740" w:type="dxa"/>
            <w:vAlign w:val="bottom"/>
            <w:gridSpan w:val="3"/>
          </w:tcPr>
          <w:p>
            <w:pPr>
              <w:ind w:left="40"/>
              <w:spacing w:after="0" w:line="149" w:lineRule="exact"/>
              <w:rPr>
                <w:sz w:val="20"/>
                <w:szCs w:val="20"/>
                <w:color w:val="auto"/>
              </w:rPr>
            </w:pPr>
            <w:r>
              <w:rPr>
                <w:rFonts w:ascii="Arial" w:cs="Arial" w:eastAsia="Arial" w:hAnsi="Arial"/>
                <w:sz w:val="14"/>
                <w:szCs w:val="14"/>
                <w:color w:val="auto"/>
                <w:w w:val="96"/>
              </w:rPr>
              <w:t>09/13/2016</w:t>
            </w:r>
          </w:p>
        </w:tc>
        <w:tc>
          <w:tcPr>
            <w:tcW w:w="15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Oil and Gas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L+900</w:t>
            </w:r>
            <w:r>
              <w:rPr>
                <w:rFonts w:ascii="Arial" w:cs="Arial" w:eastAsia="Arial" w:hAnsi="Arial"/>
                <w:sz w:val="17"/>
                <w:szCs w:val="17"/>
                <w:color w:val="auto"/>
                <w:vertAlign w:val="superscript"/>
              </w:rPr>
              <w:t>(8)</w:t>
            </w:r>
          </w:p>
        </w:tc>
        <w:tc>
          <w:tcPr>
            <w:tcW w:w="10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w w:val="99"/>
              </w:rPr>
              <w:t>17,000,000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16,672,749</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16,830,000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2300" w:type="dxa"/>
            <w:vAlign w:val="bottom"/>
            <w:gridSpan w:val="6"/>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10/15/2017  Buildings and Real Estate</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13.50%</w:t>
            </w:r>
          </w:p>
        </w:tc>
        <w:tc>
          <w:tcPr>
            <w:tcW w:w="7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10,000,000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9,760,000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-3995420</wp:posOffset>
            </wp:positionV>
            <wp:extent cx="7246620"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-3524250</wp:posOffset>
            </wp:positionV>
            <wp:extent cx="7246620"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-3241040</wp:posOffset>
            </wp:positionV>
            <wp:extent cx="7246620" cy="4718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-2297430</wp:posOffset>
            </wp:positionV>
            <wp:extent cx="7246620" cy="94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-1731645</wp:posOffset>
            </wp:positionV>
            <wp:extent cx="7246620" cy="94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0"/>
              </w:rPr>
              <w:t>Basis</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Point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Spread</w:t>
            </w:r>
          </w:p>
        </w:tc>
        <w:tc>
          <w:tcPr>
            <w:tcW w:w="240" w:type="dxa"/>
            <w:vAlign w:val="bottom"/>
          </w:tcPr>
          <w:p>
            <w:pPr>
              <w:spacing w:after="0"/>
              <w:rPr>
                <w:sz w:val="12"/>
                <w:szCs w:val="12"/>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2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w w:val="86"/>
              </w:rPr>
              <w:t>Current</w:t>
            </w: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4"/>
              </w:rPr>
              <w:t>Above</w:t>
            </w:r>
          </w:p>
        </w:tc>
        <w:tc>
          <w:tcPr>
            <w:tcW w:w="2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38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Maturity</w:t>
            </w:r>
          </w:p>
        </w:tc>
        <w:tc>
          <w:tcPr>
            <w:tcW w:w="900" w:type="dxa"/>
            <w:vAlign w:val="bottom"/>
          </w:tcPr>
          <w:p>
            <w:pPr>
              <w:spacing w:after="0"/>
              <w:rPr>
                <w:sz w:val="14"/>
                <w:szCs w:val="14"/>
                <w:color w:val="auto"/>
              </w:rPr>
            </w:pPr>
          </w:p>
        </w:tc>
        <w:tc>
          <w:tcPr>
            <w:tcW w:w="158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0"/>
              </w:rPr>
              <w:t>Industry</w:t>
            </w: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Coupon</w:t>
            </w:r>
          </w:p>
        </w:tc>
        <w:tc>
          <w:tcPr>
            <w:tcW w:w="620" w:type="dxa"/>
            <w:vAlign w:val="bottom"/>
            <w:gridSpan w:val="2"/>
          </w:tcPr>
          <w:p>
            <w:pPr>
              <w:jc w:val="center"/>
              <w:ind w:right="12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24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4"/>
                <w:szCs w:val="14"/>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ROC Finance LLC and ROC Finance 1 Corp.</w:t>
            </w:r>
          </w:p>
        </w:tc>
        <w:tc>
          <w:tcPr>
            <w:tcW w:w="1180" w:type="dxa"/>
            <w:vAlign w:val="bottom"/>
            <w:gridSpan w:val="3"/>
            <w:shd w:val="clear" w:color="auto" w:fill="CCEEFF"/>
          </w:tcPr>
          <w:p>
            <w:pPr>
              <w:jc w:val="right"/>
              <w:ind w:right="180"/>
              <w:spacing w:after="0" w:line="136" w:lineRule="exact"/>
              <w:rPr>
                <w:sz w:val="20"/>
                <w:szCs w:val="20"/>
                <w:color w:val="auto"/>
              </w:rPr>
            </w:pPr>
            <w:r>
              <w:rPr>
                <w:rFonts w:ascii="Arial" w:cs="Arial" w:eastAsia="Arial" w:hAnsi="Arial"/>
                <w:sz w:val="14"/>
                <w:szCs w:val="14"/>
                <w:color w:val="auto"/>
              </w:rPr>
              <w:t>09/01/2018</w:t>
            </w:r>
          </w:p>
        </w:tc>
        <w:tc>
          <w:tcPr>
            <w:tcW w:w="2480" w:type="dxa"/>
            <w:vAlign w:val="bottom"/>
            <w:gridSpan w:val="3"/>
            <w:shd w:val="clear" w:color="auto" w:fill="CCEEFF"/>
          </w:tcPr>
          <w:p>
            <w:pPr>
              <w:jc w:val="center"/>
              <w:ind w:right="140"/>
              <w:spacing w:after="0" w:line="136" w:lineRule="exact"/>
              <w:rPr>
                <w:sz w:val="20"/>
                <w:szCs w:val="20"/>
                <w:color w:val="auto"/>
              </w:rPr>
            </w:pPr>
            <w:r>
              <w:rPr>
                <w:rFonts w:ascii="Arial" w:cs="Arial" w:eastAsia="Arial" w:hAnsi="Arial"/>
                <w:sz w:val="14"/>
                <w:szCs w:val="14"/>
                <w:color w:val="auto"/>
                <w:w w:val="87"/>
              </w:rPr>
              <w:t>Hotels, Motels, Inns and Gaming</w:t>
            </w:r>
          </w:p>
        </w:tc>
        <w:tc>
          <w:tcPr>
            <w:tcW w:w="920" w:type="dxa"/>
            <w:vAlign w:val="bottom"/>
            <w:gridSpan w:val="2"/>
            <w:shd w:val="clear" w:color="auto" w:fill="CCEEFF"/>
          </w:tcPr>
          <w:p>
            <w:pPr>
              <w:jc w:val="right"/>
              <w:ind w:right="340"/>
              <w:spacing w:after="0" w:line="136" w:lineRule="exact"/>
              <w:rPr>
                <w:sz w:val="20"/>
                <w:szCs w:val="20"/>
                <w:color w:val="auto"/>
              </w:rPr>
            </w:pPr>
            <w:r>
              <w:rPr>
                <w:rFonts w:ascii="Arial" w:cs="Arial" w:eastAsia="Arial" w:hAnsi="Arial"/>
                <w:sz w:val="14"/>
                <w:szCs w:val="14"/>
                <w:color w:val="auto"/>
              </w:rPr>
              <w:t>12.13%</w:t>
            </w:r>
          </w:p>
        </w:tc>
        <w:tc>
          <w:tcPr>
            <w:tcW w:w="480" w:type="dxa"/>
            <w:vAlign w:val="bottom"/>
            <w:shd w:val="clear" w:color="auto" w:fill="CCEEFF"/>
          </w:tcPr>
          <w:p>
            <w:pPr>
              <w:ind w:left="280"/>
              <w:spacing w:after="0" w:line="13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200"/>
              <w:spacing w:after="0" w:line="136" w:lineRule="exact"/>
              <w:rPr>
                <w:sz w:val="20"/>
                <w:szCs w:val="20"/>
                <w:color w:val="auto"/>
              </w:rPr>
            </w:pPr>
            <w:r>
              <w:rPr>
                <w:rFonts w:ascii="Arial" w:cs="Arial" w:eastAsia="Arial" w:hAnsi="Arial"/>
                <w:sz w:val="14"/>
                <w:szCs w:val="14"/>
                <w:color w:val="auto"/>
              </w:rPr>
              <w:t>16,000,000</w:t>
            </w:r>
          </w:p>
        </w:tc>
        <w:tc>
          <w:tcPr>
            <w:tcW w:w="960" w:type="dxa"/>
            <w:vAlign w:val="bottom"/>
            <w:gridSpan w:val="4"/>
            <w:shd w:val="clear" w:color="auto" w:fill="CCEEFF"/>
          </w:tcPr>
          <w:p>
            <w:pPr>
              <w:jc w:val="right"/>
              <w:spacing w:after="0" w:line="136" w:lineRule="exact"/>
              <w:rPr>
                <w:sz w:val="20"/>
                <w:szCs w:val="20"/>
                <w:color w:val="auto"/>
              </w:rPr>
            </w:pPr>
            <w:r>
              <w:rPr>
                <w:rFonts w:ascii="Arial" w:cs="Arial" w:eastAsia="Arial" w:hAnsi="Arial"/>
                <w:sz w:val="14"/>
                <w:szCs w:val="14"/>
                <w:color w:val="auto"/>
              </w:rPr>
              <w:t>$ 15,726,668</w:t>
            </w:r>
          </w:p>
        </w:tc>
        <w:tc>
          <w:tcPr>
            <w:tcW w:w="1000" w:type="dxa"/>
            <w:vAlign w:val="bottom"/>
            <w:gridSpan w:val="4"/>
            <w:shd w:val="clear" w:color="auto" w:fill="CCEEFF"/>
          </w:tcPr>
          <w:p>
            <w:pPr>
              <w:jc w:val="right"/>
              <w:spacing w:after="0" w:line="136" w:lineRule="exact"/>
              <w:rPr>
                <w:sz w:val="20"/>
                <w:szCs w:val="20"/>
                <w:color w:val="auto"/>
              </w:rPr>
            </w:pPr>
            <w:r>
              <w:rPr>
                <w:rFonts w:ascii="Arial" w:cs="Arial" w:eastAsia="Arial" w:hAnsi="Arial"/>
                <w:sz w:val="14"/>
                <w:szCs w:val="14"/>
                <w:color w:val="auto"/>
              </w:rPr>
              <w:t>$ 16,160,000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Sheridan Holdings, Inc.</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06/15/2015</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1"/>
                <w:szCs w:val="11"/>
                <w:color w:val="auto"/>
              </w:rPr>
              <w:t>6.07%</w:t>
            </w:r>
            <w:r>
              <w:rPr>
                <w:rFonts w:ascii="Arial" w:cs="Arial" w:eastAsia="Arial" w:hAnsi="Arial"/>
                <w:sz w:val="17"/>
                <w:szCs w:val="17"/>
                <w:color w:val="auto"/>
                <w:vertAlign w:val="superscript"/>
              </w:rPr>
              <w:t>(6)</w:t>
            </w:r>
          </w:p>
        </w:tc>
        <w:tc>
          <w:tcPr>
            <w:tcW w:w="6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L+575</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13,500,000</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11,856,253</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12,521,250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06/15/2015</w:t>
            </w:r>
          </w:p>
        </w:tc>
        <w:tc>
          <w:tcPr>
            <w:tcW w:w="248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6"/>
              </w:rPr>
              <w:t>Financial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6.24%</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L+600</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7,811,488</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7,422,480</w:t>
            </w:r>
          </w:p>
        </w:tc>
        <w:tc>
          <w:tcPr>
            <w:tcW w:w="24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6,756,937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176,092,412</w:t>
            </w:r>
          </w:p>
        </w:tc>
        <w:tc>
          <w:tcPr>
            <w:tcW w:w="10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152,065,785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Notes—65.0%</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11/15/2015</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Consumer Products</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11.63%</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26,345,000</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26,391,240</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20,285,650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12/15/2016</w:t>
            </w:r>
          </w:p>
        </w:tc>
        <w:tc>
          <w:tcPr>
            <w:tcW w:w="248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11.13%</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18,885,000</w:t>
            </w: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18,440,262</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8,309,400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04/17/2015</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3"/>
              </w:rPr>
              <w:t>Aerospace and Defense</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8,109,468</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7,997,216</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8,109,468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Diversitech Corporation</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01/29/2017</w:t>
            </w:r>
          </w:p>
        </w:tc>
        <w:tc>
          <w:tcPr>
            <w:tcW w:w="248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0"/>
              </w:rPr>
              <w:t>Manufacturing / Basic Industry</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11,000,000</w:t>
            </w: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10,783,491</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10,780,000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Escort, Inc.</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06/01/2016</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0"/>
              </w:rPr>
              <w:t>Electronics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24,560,142</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23,964,150</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24,314,541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Last Mile Funding, Corp.</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06/30/2016</w:t>
            </w:r>
          </w:p>
        </w:tc>
        <w:tc>
          <w:tcPr>
            <w:tcW w:w="248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Cargo Transport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14.50%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44,456,391</w:t>
            </w: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43,380,579</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43,344,981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06/30/2016</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6"/>
              </w:rPr>
              <w:t>Education</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4,566,982</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3,891,689</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4,133,119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LTI Flexible Products, Inc.</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01/26/2017</w:t>
            </w:r>
          </w:p>
        </w:tc>
        <w:tc>
          <w:tcPr>
            <w:tcW w:w="248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7"/>
              </w:rPr>
              <w:t>Chemical, Plastic and Rubber</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13.88%</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33,937,985</w:t>
            </w: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33,119,280</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33,768,295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Mailsouth, Inc.</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06/15/2017</w:t>
            </w:r>
          </w:p>
        </w:tc>
        <w:tc>
          <w:tcPr>
            <w:tcW w:w="24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Printing and Publishing</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1"/>
                <w:szCs w:val="11"/>
                <w:color w:val="auto"/>
              </w:rPr>
              <w:t>14.50%</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15,000,000</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14,579,991</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14,640,000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10/14/2016</w:t>
            </w:r>
          </w:p>
        </w:tc>
        <w:tc>
          <w:tcPr>
            <w:tcW w:w="248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19,000,000</w:t>
            </w: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18,492,685</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19,950,000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PAS Technologies, Inc.</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05/12/2017</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3"/>
              </w:rPr>
              <w:t>Aerospace and Defense</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1"/>
                <w:szCs w:val="11"/>
                <w:color w:val="auto"/>
              </w:rPr>
              <w:t>14.02%</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16,785,000</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16,400,403</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16,600,365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Prince Mineral Holdings Corp.</w:t>
            </w:r>
          </w:p>
        </w:tc>
        <w:tc>
          <w:tcPr>
            <w:tcW w:w="118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12/03/2016</w:t>
            </w:r>
          </w:p>
        </w:tc>
        <w:tc>
          <w:tcPr>
            <w:tcW w:w="2480" w:type="dxa"/>
            <w:vAlign w:val="bottom"/>
            <w:gridSpan w:val="3"/>
            <w:shd w:val="clear" w:color="auto" w:fill="CCEEFF"/>
          </w:tcPr>
          <w:p>
            <w:pPr>
              <w:jc w:val="center"/>
              <w:ind w:right="140"/>
              <w:spacing w:after="0" w:line="138" w:lineRule="exact"/>
              <w:rPr>
                <w:sz w:val="20"/>
                <w:szCs w:val="20"/>
                <w:color w:val="auto"/>
              </w:rPr>
            </w:pPr>
            <w:r>
              <w:rPr>
                <w:rFonts w:ascii="Arial" w:cs="Arial" w:eastAsia="Arial" w:hAnsi="Arial"/>
                <w:sz w:val="14"/>
                <w:szCs w:val="14"/>
                <w:color w:val="auto"/>
                <w:w w:val="90"/>
              </w:rPr>
              <w:t>Mining, Steel, Iron and Non-</w:t>
            </w:r>
          </w:p>
        </w:tc>
        <w:tc>
          <w:tcPr>
            <w:tcW w:w="9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0"/>
                <w:szCs w:val="10"/>
                <w:color w:val="auto"/>
              </w:rPr>
              <w:t>13.50%</w:t>
            </w:r>
            <w:r>
              <w:rPr>
                <w:rFonts w:ascii="Arial" w:cs="Arial" w:eastAsia="Arial" w:hAnsi="Arial"/>
                <w:sz w:val="15"/>
                <w:szCs w:val="15"/>
                <w:color w:val="auto"/>
                <w:vertAlign w:val="superscript"/>
              </w:rPr>
              <w:t>(6)</w:t>
            </w:r>
          </w:p>
        </w:tc>
        <w:tc>
          <w:tcPr>
            <w:tcW w:w="620" w:type="dxa"/>
            <w:vAlign w:val="bottom"/>
            <w:gridSpan w:val="2"/>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26,169,195</w:t>
            </w:r>
          </w:p>
        </w:tc>
        <w:tc>
          <w:tcPr>
            <w:tcW w:w="96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25,667,843</w:t>
            </w:r>
          </w:p>
        </w:tc>
        <w:tc>
          <w:tcPr>
            <w:tcW w:w="100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25,645,811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8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6"/>
              </w:rPr>
              <w:t>Precious Metals</w:t>
            </w:r>
          </w:p>
        </w:tc>
        <w:tc>
          <w:tcPr>
            <w:tcW w:w="4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04/15/2018</w:t>
            </w:r>
          </w:p>
        </w:tc>
        <w:tc>
          <w:tcPr>
            <w:tcW w:w="24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Buildings and Real Estate</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11.00%</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9,159,259</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7,800,000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12/29/2015</w:t>
            </w:r>
          </w:p>
        </w:tc>
        <w:tc>
          <w:tcPr>
            <w:tcW w:w="248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12,020,950</w:t>
            </w: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11,683,548</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11,984,887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4"/>
                <w:szCs w:val="14"/>
                <w:color w:val="auto"/>
              </w:rPr>
              <w:t>UP Support Services Inc.</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02/08/2015</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9"/>
              </w:rPr>
              <w:t>Oil and Gas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1"/>
                <w:szCs w:val="11"/>
                <w:color w:val="auto"/>
              </w:rPr>
              <w:t>19.00%</w:t>
            </w:r>
            <w:r>
              <w:rPr>
                <w:rFonts w:ascii="Arial" w:cs="Arial" w:eastAsia="Arial" w:hAnsi="Arial"/>
                <w:sz w:val="17"/>
                <w:szCs w:val="17"/>
                <w:color w:val="auto"/>
                <w:vertAlign w:val="superscript"/>
              </w:rPr>
              <w:t>(6)</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26,276,070</w:t>
            </w:r>
          </w:p>
        </w:tc>
        <w:tc>
          <w:tcPr>
            <w:tcW w:w="9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26,063,224</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24,173,984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11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12/31/2015</w:t>
            </w:r>
          </w:p>
        </w:tc>
        <w:tc>
          <w:tcPr>
            <w:tcW w:w="2480" w:type="dxa"/>
            <w:vAlign w:val="bottom"/>
            <w:gridSpan w:val="3"/>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15,000,000</w:t>
            </w: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14,686,238</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gridSpan w:val="2"/>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1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12/31/2012</w:t>
            </w:r>
          </w:p>
        </w:tc>
        <w:tc>
          <w:tcPr>
            <w:tcW w:w="248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5"/>
              </w:rPr>
              <w:t>Business Services</w:t>
            </w: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12,000,000</w:t>
            </w:r>
          </w:p>
        </w:tc>
        <w:tc>
          <w:tcPr>
            <w:tcW w:w="22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11,700,000</w:t>
            </w:r>
          </w:p>
        </w:tc>
        <w:tc>
          <w:tcPr>
            <w:tcW w:w="24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316,401,098</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300,840,501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Equity/Partnership Interests —1.7%</w:t>
            </w:r>
            <w:r>
              <w:rPr>
                <w:rFonts w:ascii="Arial" w:cs="Arial" w:eastAsia="Arial" w:hAnsi="Arial"/>
                <w:sz w:val="18"/>
                <w:szCs w:val="18"/>
                <w:b w:val="1"/>
                <w:bCs w:val="1"/>
                <w:color w:val="auto"/>
                <w:vertAlign w:val="superscript"/>
              </w:rPr>
              <w:t>(7)</w:t>
            </w: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 Holdings, Inc.</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(American Surgical Holdings, Inc.)</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248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6"/>
              </w:rPr>
              <w:t>Healthcare, Education and Childcare</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6.00%</w:t>
            </w:r>
          </w:p>
        </w:tc>
        <w:tc>
          <w:tcPr>
            <w:tcW w:w="6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211</w:t>
            </w:r>
          </w:p>
        </w:tc>
        <w:tc>
          <w:tcPr>
            <w:tcW w:w="9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500,000</w:t>
            </w:r>
          </w:p>
        </w:tc>
        <w:tc>
          <w:tcPr>
            <w:tcW w:w="10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491,004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380" w:type="dxa"/>
            <w:vAlign w:val="bottom"/>
          </w:tcPr>
          <w:p>
            <w:pPr>
              <w:spacing w:after="0"/>
              <w:rPr>
                <w:sz w:val="13"/>
                <w:szCs w:val="13"/>
                <w:color w:val="auto"/>
              </w:rPr>
            </w:pPr>
          </w:p>
        </w:tc>
        <w:tc>
          <w:tcPr>
            <w:tcW w:w="8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248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90"/>
              </w:rPr>
              <w:t>Other Media</w:t>
            </w:r>
          </w:p>
        </w:tc>
        <w:tc>
          <w:tcPr>
            <w:tcW w:w="92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7505</w:t>
            </w:r>
          </w:p>
        </w:tc>
        <w:tc>
          <w:tcPr>
            <w:tcW w:w="9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318,896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248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3"/>
              </w:rPr>
              <w:t>Aerospace and Defense</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12.00%</w:t>
            </w:r>
          </w:p>
        </w:tc>
        <w:tc>
          <w:tcPr>
            <w:tcW w:w="6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909</w:t>
            </w:r>
          </w:p>
        </w:tc>
        <w:tc>
          <w:tcPr>
            <w:tcW w:w="9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909,248</w:t>
            </w:r>
          </w:p>
        </w:tc>
        <w:tc>
          <w:tcPr>
            <w:tcW w:w="10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1,328,977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PAS Tech Holdings, Inc., Series A-1</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(PAS Technologies, Inc.)</w:t>
            </w:r>
          </w:p>
        </w:tc>
        <w:tc>
          <w:tcPr>
            <w:tcW w:w="380" w:type="dxa"/>
            <w:vAlign w:val="bottom"/>
          </w:tcPr>
          <w:p>
            <w:pPr>
              <w:spacing w:after="0"/>
              <w:rPr>
                <w:sz w:val="13"/>
                <w:szCs w:val="13"/>
                <w:color w:val="auto"/>
              </w:rPr>
            </w:pPr>
          </w:p>
        </w:tc>
        <w:tc>
          <w:tcPr>
            <w:tcW w:w="8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248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3"/>
              </w:rPr>
              <w:t>Aerospace and Defense</w:t>
            </w: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8.00%</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20,000</w:t>
            </w:r>
          </w:p>
        </w:tc>
        <w:tc>
          <w:tcPr>
            <w:tcW w:w="9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1,980,000</w:t>
            </w:r>
          </w:p>
        </w:tc>
        <w:tc>
          <w:tcPr>
            <w:tcW w:w="10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2,026,969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center"/>
              <w:ind w:right="1020"/>
              <w:spacing w:after="0" w:line="159" w:lineRule="exact"/>
              <w:rPr>
                <w:sz w:val="20"/>
                <w:szCs w:val="20"/>
                <w:color w:val="auto"/>
              </w:rPr>
            </w:pPr>
            <w:r>
              <w:rPr>
                <w:rFonts w:ascii="Arial" w:cs="Arial" w:eastAsia="Arial" w:hAnsi="Arial"/>
                <w:sz w:val="14"/>
                <w:szCs w:val="14"/>
                <w:color w:val="auto"/>
                <w:w w:val="84"/>
              </w:rPr>
              <w:t>Insurance</w:t>
            </w:r>
          </w:p>
        </w:tc>
        <w:tc>
          <w:tcPr>
            <w:tcW w:w="92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686</w:t>
            </w:r>
          </w:p>
        </w:tc>
        <w:tc>
          <w:tcPr>
            <w:tcW w:w="9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10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B</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380" w:type="dxa"/>
            <w:vAlign w:val="bottom"/>
          </w:tcPr>
          <w:p>
            <w:pPr>
              <w:spacing w:after="0"/>
              <w:rPr>
                <w:sz w:val="13"/>
                <w:szCs w:val="13"/>
                <w:color w:val="auto"/>
              </w:rPr>
            </w:pPr>
          </w:p>
        </w:tc>
        <w:tc>
          <w:tcPr>
            <w:tcW w:w="8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3"/>
                <w:szCs w:val="13"/>
                <w:color w:val="auto"/>
              </w:rPr>
            </w:pPr>
          </w:p>
        </w:tc>
        <w:tc>
          <w:tcPr>
            <w:tcW w:w="1580" w:type="dxa"/>
            <w:vAlign w:val="bottom"/>
            <w:gridSpan w:val="2"/>
          </w:tcPr>
          <w:p>
            <w:pPr>
              <w:jc w:val="center"/>
              <w:ind w:right="1020"/>
              <w:spacing w:after="0" w:line="159" w:lineRule="exact"/>
              <w:rPr>
                <w:sz w:val="20"/>
                <w:szCs w:val="20"/>
                <w:color w:val="auto"/>
              </w:rPr>
            </w:pPr>
            <w:r>
              <w:rPr>
                <w:rFonts w:ascii="Arial" w:cs="Arial" w:eastAsia="Arial" w:hAnsi="Arial"/>
                <w:sz w:val="14"/>
                <w:szCs w:val="14"/>
                <w:color w:val="auto"/>
                <w:w w:val="84"/>
              </w:rPr>
              <w:t>Insurance</w:t>
            </w: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6.50%</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1,312</w:t>
            </w:r>
          </w:p>
        </w:tc>
        <w:tc>
          <w:tcPr>
            <w:tcW w:w="9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1,312,006</w:t>
            </w:r>
          </w:p>
        </w:tc>
        <w:tc>
          <w:tcPr>
            <w:tcW w:w="10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1,581,165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3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3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2480" w:type="dxa"/>
            <w:vAlign w:val="bottom"/>
            <w:gridSpan w:val="3"/>
            <w:shd w:val="clear" w:color="auto" w:fill="CCEEFF"/>
          </w:tcPr>
          <w:p>
            <w:pPr>
              <w:jc w:val="center"/>
              <w:ind w:right="140"/>
              <w:spacing w:after="0" w:line="159" w:lineRule="exact"/>
              <w:rPr>
                <w:sz w:val="20"/>
                <w:szCs w:val="20"/>
                <w:color w:val="auto"/>
              </w:rPr>
            </w:pPr>
            <w:r>
              <w:rPr>
                <w:rFonts w:ascii="Arial" w:cs="Arial" w:eastAsia="Arial" w:hAnsi="Arial"/>
                <w:sz w:val="14"/>
                <w:szCs w:val="14"/>
                <w:color w:val="auto"/>
                <w:w w:val="89"/>
              </w:rPr>
              <w:t>Oil and Gas</w:t>
            </w: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8.00%</w:t>
            </w:r>
          </w:p>
        </w:tc>
        <w:tc>
          <w:tcPr>
            <w:tcW w:w="6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101,175</w:t>
            </w:r>
          </w:p>
        </w:tc>
        <w:tc>
          <w:tcPr>
            <w:tcW w:w="9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2,738,050</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gridSpan w:val="2"/>
          </w:tcPr>
          <w:p>
            <w:pPr>
              <w:spacing w:after="0" w:line="138" w:lineRule="exact"/>
              <w:rPr>
                <w:sz w:val="20"/>
                <w:szCs w:val="20"/>
                <w:color w:val="auto"/>
              </w:rPr>
            </w:pPr>
            <w:r>
              <w:rPr>
                <w:rFonts w:ascii="Arial" w:cs="Arial" w:eastAsia="Arial" w:hAnsi="Arial"/>
                <w:sz w:val="14"/>
                <w:szCs w:val="14"/>
                <w:color w:val="auto"/>
              </w:rPr>
              <w:t>Verde Parent Holdings, Inc.</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(VPSI, Inc.)</w:t>
            </w:r>
          </w:p>
        </w:tc>
        <w:tc>
          <w:tcPr>
            <w:tcW w:w="380" w:type="dxa"/>
            <w:vAlign w:val="bottom"/>
          </w:tcPr>
          <w:p>
            <w:pPr>
              <w:spacing w:after="0"/>
              <w:rPr>
                <w:sz w:val="14"/>
                <w:szCs w:val="14"/>
                <w:color w:val="auto"/>
              </w:rPr>
            </w:pPr>
          </w:p>
        </w:tc>
        <w:tc>
          <w:tcPr>
            <w:tcW w:w="8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2480" w:type="dxa"/>
            <w:vAlign w:val="bottom"/>
            <w:gridSpan w:val="3"/>
          </w:tcPr>
          <w:p>
            <w:pPr>
              <w:jc w:val="center"/>
              <w:ind w:right="140"/>
              <w:spacing w:after="0" w:line="159" w:lineRule="exact"/>
              <w:rPr>
                <w:sz w:val="20"/>
                <w:szCs w:val="20"/>
                <w:color w:val="auto"/>
              </w:rPr>
            </w:pPr>
            <w:r>
              <w:rPr>
                <w:rFonts w:ascii="Arial" w:cs="Arial" w:eastAsia="Arial" w:hAnsi="Arial"/>
                <w:sz w:val="14"/>
                <w:szCs w:val="14"/>
                <w:color w:val="auto"/>
                <w:w w:val="86"/>
              </w:rPr>
              <w:t>Personal Transportation</w:t>
            </w: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8.00%</w:t>
            </w: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1,824,167</w:t>
            </w:r>
          </w:p>
        </w:tc>
        <w:tc>
          <w:tcPr>
            <w:tcW w:w="220" w:type="dxa"/>
            <w:vAlign w:val="bottom"/>
          </w:tcPr>
          <w:p>
            <w:pPr>
              <w:spacing w:after="0"/>
              <w:rPr>
                <w:sz w:val="14"/>
                <w:szCs w:val="14"/>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1,824,167</w:t>
            </w:r>
          </w:p>
        </w:tc>
        <w:tc>
          <w:tcPr>
            <w:tcW w:w="240" w:type="dxa"/>
            <w:vAlign w:val="bottom"/>
          </w:tcPr>
          <w:p>
            <w:pPr>
              <w:spacing w:after="0"/>
              <w:rPr>
                <w:sz w:val="14"/>
                <w:szCs w:val="14"/>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1,911,003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10,268,187</w:t>
            </w:r>
          </w:p>
        </w:tc>
        <w:tc>
          <w:tcPr>
            <w:tcW w:w="24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8,024,938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Point</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2"/>
                <w:szCs w:val="12"/>
                <w:color w:val="auto"/>
              </w:rPr>
            </w:pPr>
          </w:p>
        </w:tc>
        <w:tc>
          <w:tcPr>
            <w:tcW w:w="7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Maturity</w:t>
            </w:r>
          </w:p>
        </w:tc>
        <w:tc>
          <w:tcPr>
            <w:tcW w:w="900" w:type="dxa"/>
            <w:vAlign w:val="bottom"/>
          </w:tcPr>
          <w:p>
            <w:pPr>
              <w:spacing w:after="0"/>
              <w:rPr>
                <w:sz w:val="14"/>
                <w:szCs w:val="14"/>
                <w:color w:val="auto"/>
              </w:rPr>
            </w:pPr>
          </w:p>
        </w:tc>
        <w:tc>
          <w:tcPr>
            <w:tcW w:w="15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0"/>
              </w:rPr>
              <w:t>Industry</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720" w:type="dxa"/>
            <w:vAlign w:val="bottom"/>
            <w:gridSpan w:val="2"/>
          </w:tcPr>
          <w:p>
            <w:pPr>
              <w:jc w:val="center"/>
              <w:ind w:right="22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16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ind w:left="18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center"/>
              <w:ind w:right="20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600" w:type="dxa"/>
            <w:vAlign w:val="bottom"/>
            <w:gridSpan w:val="2"/>
            <w:shd w:val="clear" w:color="auto" w:fill="CCEEFF"/>
          </w:tcPr>
          <w:p>
            <w:pPr>
              <w:spacing w:after="0" w:line="122" w:lineRule="exact"/>
              <w:rPr>
                <w:sz w:val="20"/>
                <w:szCs w:val="20"/>
                <w:color w:val="auto"/>
              </w:rPr>
            </w:pPr>
            <w:r>
              <w:rPr>
                <w:rFonts w:ascii="Arial" w:cs="Arial" w:eastAsia="Arial" w:hAnsi="Arial"/>
                <w:sz w:val="10"/>
                <w:szCs w:val="10"/>
                <w:b w:val="1"/>
                <w:bCs w:val="1"/>
                <w:color w:val="auto"/>
              </w:rPr>
              <w:t>Common Equity/Warrants/Partnership Interests—7.0%</w:t>
            </w:r>
            <w:r>
              <w:rPr>
                <w:rFonts w:ascii="Arial" w:cs="Arial" w:eastAsia="Arial" w:hAnsi="Arial"/>
                <w:sz w:val="14"/>
                <w:szCs w:val="14"/>
                <w:b w:val="1"/>
                <w:bCs w:val="1"/>
                <w:color w:val="auto"/>
                <w:vertAlign w:val="superscript"/>
              </w:rPr>
              <w:t>(7)</w:t>
            </w: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4"/>
                <w:szCs w:val="14"/>
                <w:color w:val="auto"/>
              </w:rPr>
              <w:t>AH Holdings, Inc.</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(American Surgical Holdings, Inc.) (Warrants)</w:t>
            </w:r>
          </w:p>
        </w:tc>
        <w:tc>
          <w:tcPr>
            <w:tcW w:w="10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03/23/2021</w:t>
            </w:r>
          </w:p>
        </w:tc>
        <w:tc>
          <w:tcPr>
            <w:tcW w:w="24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7"/>
              </w:rPr>
              <w:t>Healthcare, Education and Childcare</w:t>
            </w:r>
          </w:p>
        </w:tc>
        <w:tc>
          <w:tcPr>
            <w:tcW w:w="7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753</w:t>
            </w:r>
          </w:p>
        </w:tc>
        <w:tc>
          <w:tcPr>
            <w:tcW w:w="2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CEA Autumn Management, L.L.C.</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Broadcasting and Entertainment</w:t>
            </w:r>
          </w:p>
        </w:tc>
        <w:tc>
          <w:tcPr>
            <w:tcW w:w="7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1,333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280,176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220" w:type="dxa"/>
            <w:vAlign w:val="bottom"/>
          </w:tcPr>
          <w:p>
            <w:pPr>
              <w:spacing w:after="0"/>
              <w:rPr>
                <w:sz w:val="13"/>
                <w:szCs w:val="13"/>
                <w:color w:val="auto"/>
              </w:rPr>
            </w:pP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1,856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18,556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1,443,556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5,556</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2,277,209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8,431,871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DirectBuy Investors, L.P.</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1,350,000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469,500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Corporation, LLC, Class A</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(f/k/a Kadmon Holdings, LLC)</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(Kadmon Pharmaceuticals, LLC)</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7"/>
              </w:rPr>
              <w:t>Healthcare, Education and Childcare</w:t>
            </w:r>
          </w:p>
        </w:tc>
        <w:tc>
          <w:tcPr>
            <w:tcW w:w="7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1,079,920</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1,236,832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295,205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4"/>
                <w:szCs w:val="14"/>
                <w:color w:val="auto"/>
              </w:rPr>
              <w:t>Kadmon Corporation, LLC, Class D</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(f/k/a Kadmon Holdings, LLC)</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(Kadmon Pharmaceuticals, LLC)</w:t>
            </w:r>
          </w:p>
        </w:tc>
        <w:tc>
          <w:tcPr>
            <w:tcW w:w="220" w:type="dxa"/>
            <w:vAlign w:val="bottom"/>
          </w:tcPr>
          <w:p>
            <w:pPr>
              <w:spacing w:after="0"/>
              <w:rPr>
                <w:sz w:val="13"/>
                <w:szCs w:val="13"/>
                <w:color w:val="auto"/>
              </w:rPr>
            </w:pP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7"/>
              </w:rPr>
              <w:t>Healthcare, Education and Childcare</w:t>
            </w:r>
          </w:p>
        </w:tc>
        <w:tc>
          <w:tcPr>
            <w:tcW w:w="7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1,079,920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1,028,807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1,028,807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04/27/2020</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Education</w:t>
            </w:r>
          </w:p>
        </w:tc>
        <w:tc>
          <w:tcPr>
            <w:tcW w:w="7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1,267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779,920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112,064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Oil and Gas</w:t>
            </w:r>
          </w:p>
        </w:tc>
        <w:tc>
          <w:tcPr>
            <w:tcW w:w="7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1,221,932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3,239,999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4,044,595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 (Warrants)</w:t>
            </w:r>
          </w:p>
        </w:tc>
        <w:tc>
          <w:tcPr>
            <w:tcW w:w="10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10/14/2013</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6"/>
              </w:rPr>
              <w:t>Oil and Gas</w:t>
            </w:r>
          </w:p>
        </w:tc>
        <w:tc>
          <w:tcPr>
            <w:tcW w:w="7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122,193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105,697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61,091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4"/>
                <w:szCs w:val="14"/>
                <w:color w:val="auto"/>
              </w:rPr>
              <w:t>MidOcean PPL Holdings, Inc.</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5"/>
              </w:rPr>
              <w:t>Personal, Food and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(Pre-Paid LegalServices, Inc.)</w:t>
            </w:r>
          </w:p>
        </w:tc>
        <w:tc>
          <w:tcPr>
            <w:tcW w:w="220" w:type="dxa"/>
            <w:vAlign w:val="bottom"/>
          </w:tcPr>
          <w:p>
            <w:pPr>
              <w:spacing w:after="0"/>
              <w:rPr>
                <w:sz w:val="13"/>
                <w:szCs w:val="13"/>
                <w:color w:val="auto"/>
              </w:rPr>
            </w:pP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7"/>
              </w:rPr>
              <w:t>Miscellaneous Services</w:t>
            </w:r>
          </w:p>
        </w:tc>
        <w:tc>
          <w:tcPr>
            <w:tcW w:w="7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3,000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3,320,146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PAS Tech Holdings, Inc.</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(PAS Technologies, Inc.)</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20,000</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101,931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A</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220" w:type="dxa"/>
            <w:vAlign w:val="bottom"/>
          </w:tcPr>
          <w:p>
            <w:pPr>
              <w:spacing w:after="0"/>
              <w:rPr>
                <w:sz w:val="13"/>
                <w:szCs w:val="13"/>
                <w:color w:val="auto"/>
              </w:rPr>
            </w:pPr>
          </w:p>
        </w:tc>
        <w:tc>
          <w:tcPr>
            <w:tcW w:w="78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4,325</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1,306,167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1,352,585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B</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531</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ind w:left="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166,063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12/29/2019</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3,500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29,400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577,061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6"/>
              </w:rPr>
              <w:t>Cargo Transport</w:t>
            </w:r>
          </w:p>
        </w:tc>
        <w:tc>
          <w:tcPr>
            <w:tcW w:w="7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137,923</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2,111,588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1,521,406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spacing w:after="0"/>
              <w:rPr>
                <w:sz w:val="12"/>
                <w:szCs w:val="12"/>
                <w:color w:val="auto"/>
              </w:rPr>
            </w:pPr>
          </w:p>
        </w:tc>
        <w:tc>
          <w:tcPr>
            <w:tcW w:w="1520" w:type="dxa"/>
            <w:vAlign w:val="bottom"/>
            <w:gridSpan w:val="2"/>
          </w:tcPr>
          <w:p>
            <w:pPr>
              <w:jc w:val="center"/>
              <w:ind w:right="1000"/>
              <w:spacing w:after="0" w:line="149" w:lineRule="exact"/>
              <w:rPr>
                <w:sz w:val="20"/>
                <w:szCs w:val="20"/>
                <w:color w:val="auto"/>
              </w:rPr>
            </w:pPr>
            <w:r>
              <w:rPr>
                <w:rFonts w:ascii="Arial" w:cs="Arial" w:eastAsia="Arial" w:hAnsi="Arial"/>
                <w:sz w:val="14"/>
                <w:szCs w:val="14"/>
                <w:color w:val="auto"/>
                <w:w w:val="84"/>
              </w:rPr>
              <w:t>Insurance</w:t>
            </w:r>
          </w:p>
        </w:tc>
        <w:tc>
          <w:tcPr>
            <w:tcW w:w="7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1,591,505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6"/>
              </w:rPr>
              <w:t>Oil and Gas</w:t>
            </w:r>
          </w:p>
        </w:tc>
        <w:tc>
          <w:tcPr>
            <w:tcW w:w="78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110,742</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1,107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Verde Parent Holdings, Inc. (VPSI, Inc.)</w:t>
            </w:r>
          </w:p>
        </w:tc>
        <w:tc>
          <w:tcPr>
            <w:tcW w:w="2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Personal Transportation</w:t>
            </w:r>
          </w:p>
        </w:tc>
        <w:tc>
          <w:tcPr>
            <w:tcW w:w="7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9,166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9,166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7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35,526</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7,501,780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23,574,291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32,299,342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Total Investments in Non-Controlled, Non-Affiliated Portfolio Companies</w:t>
            </w: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816,078,311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773,375,381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gridSpan w:val="5"/>
          </w:tcPr>
          <w:p>
            <w:pPr>
              <w:spacing w:after="0" w:line="156" w:lineRule="exact"/>
              <w:rPr>
                <w:sz w:val="20"/>
                <w:szCs w:val="20"/>
                <w:color w:val="auto"/>
              </w:rPr>
            </w:pPr>
            <w:r>
              <w:rPr>
                <w:rFonts w:ascii="Arial" w:cs="Arial" w:eastAsia="Arial" w:hAnsi="Arial"/>
                <w:sz w:val="12"/>
                <w:szCs w:val="12"/>
                <w:b w:val="1"/>
                <w:bCs w:val="1"/>
                <w:color w:val="auto"/>
              </w:rPr>
              <w:t>Investments in Non-Controlled, Affiliated Portfolio Companies—8.8%</w:t>
            </w:r>
            <w:r>
              <w:rPr>
                <w:rFonts w:ascii="Arial" w:cs="Arial" w:eastAsia="Arial" w:hAnsi="Arial"/>
                <w:sz w:val="18"/>
                <w:szCs w:val="18"/>
                <w:b w:val="1"/>
                <w:bCs w:val="1"/>
                <w:color w:val="auto"/>
                <w:vertAlign w:val="superscript"/>
              </w:rPr>
              <w:t>(1),(2)</w:t>
            </w: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Debt—1.4%</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07/29/2013</w:t>
            </w:r>
          </w:p>
        </w:tc>
        <w:tc>
          <w:tcPr>
            <w:tcW w:w="24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Environmental Services</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6,666,666</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6,666,666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Debt—2.9%</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00" w:type="dxa"/>
            <w:vAlign w:val="bottom"/>
            <w:gridSpan w:val="2"/>
          </w:tcPr>
          <w:p>
            <w:pPr>
              <w:spacing w:after="0" w:line="122" w:lineRule="exact"/>
              <w:rPr>
                <w:sz w:val="20"/>
                <w:szCs w:val="20"/>
                <w:color w:val="auto"/>
              </w:rPr>
            </w:pPr>
            <w:r>
              <w:rPr>
                <w:rFonts w:ascii="Arial" w:cs="Arial" w:eastAsia="Arial" w:hAnsi="Arial"/>
                <w:sz w:val="14"/>
                <w:szCs w:val="14"/>
                <w:color w:val="auto"/>
              </w:rPr>
              <w:t>EnviroSolutions, Inc.</w:t>
            </w:r>
          </w:p>
        </w:tc>
        <w:tc>
          <w:tcPr>
            <w:tcW w:w="1000" w:type="dxa"/>
            <w:vAlign w:val="bottom"/>
            <w:gridSpan w:val="3"/>
          </w:tcPr>
          <w:p>
            <w:pPr>
              <w:jc w:val="right"/>
              <w:ind w:right="160"/>
              <w:spacing w:after="0" w:line="122" w:lineRule="exact"/>
              <w:rPr>
                <w:sz w:val="20"/>
                <w:szCs w:val="20"/>
                <w:color w:val="auto"/>
              </w:rPr>
            </w:pPr>
            <w:r>
              <w:rPr>
                <w:rFonts w:ascii="Arial" w:cs="Arial" w:eastAsia="Arial" w:hAnsi="Arial"/>
                <w:sz w:val="14"/>
                <w:szCs w:val="14"/>
                <w:color w:val="auto"/>
              </w:rPr>
              <w:t>07/29/2014</w:t>
            </w:r>
          </w:p>
        </w:tc>
        <w:tc>
          <w:tcPr>
            <w:tcW w:w="2420" w:type="dxa"/>
            <w:vAlign w:val="bottom"/>
            <w:gridSpan w:val="3"/>
          </w:tcPr>
          <w:p>
            <w:pPr>
              <w:jc w:val="center"/>
              <w:ind w:right="100"/>
              <w:spacing w:after="0" w:line="122" w:lineRule="exact"/>
              <w:rPr>
                <w:sz w:val="20"/>
                <w:szCs w:val="20"/>
                <w:color w:val="auto"/>
              </w:rPr>
            </w:pPr>
            <w:r>
              <w:rPr>
                <w:rFonts w:ascii="Arial" w:cs="Arial" w:eastAsia="Arial" w:hAnsi="Arial"/>
                <w:sz w:val="14"/>
                <w:szCs w:val="14"/>
                <w:color w:val="auto"/>
                <w:w w:val="87"/>
              </w:rPr>
              <w:t>Environmental Services</w:t>
            </w:r>
          </w:p>
        </w:tc>
        <w:tc>
          <w:tcPr>
            <w:tcW w:w="780" w:type="dxa"/>
            <w:vAlign w:val="bottom"/>
            <w:gridSpan w:val="2"/>
          </w:tcPr>
          <w:p>
            <w:pPr>
              <w:ind w:left="240"/>
              <w:spacing w:after="0" w:line="122" w:lineRule="exact"/>
              <w:rPr>
                <w:sz w:val="20"/>
                <w:szCs w:val="20"/>
                <w:color w:val="auto"/>
              </w:rPr>
            </w:pPr>
            <w:r>
              <w:rPr>
                <w:rFonts w:ascii="Arial" w:cs="Arial" w:eastAsia="Arial" w:hAnsi="Arial"/>
                <w:sz w:val="14"/>
                <w:szCs w:val="14"/>
                <w:color w:val="auto"/>
              </w:rPr>
              <w:t>8.00%</w:t>
            </w:r>
          </w:p>
        </w:tc>
        <w:tc>
          <w:tcPr>
            <w:tcW w:w="720" w:type="dxa"/>
            <w:vAlign w:val="bottom"/>
            <w:gridSpan w:val="2"/>
          </w:tcPr>
          <w:p>
            <w:pPr>
              <w:ind w:left="120"/>
              <w:spacing w:after="0" w:line="122" w:lineRule="exact"/>
              <w:rPr>
                <w:sz w:val="20"/>
                <w:szCs w:val="20"/>
                <w:color w:val="auto"/>
              </w:rPr>
            </w:pPr>
            <w:r>
              <w:rPr>
                <w:rFonts w:ascii="Arial" w:cs="Arial" w:eastAsia="Arial" w:hAnsi="Arial"/>
                <w:sz w:val="10"/>
                <w:szCs w:val="10"/>
                <w:color w:val="auto"/>
              </w:rPr>
              <w:t>L+600</w:t>
            </w:r>
            <w:r>
              <w:rPr>
                <w:rFonts w:ascii="Arial" w:cs="Arial" w:eastAsia="Arial" w:hAnsi="Arial"/>
                <w:sz w:val="14"/>
                <w:szCs w:val="14"/>
                <w:color w:val="auto"/>
                <w:vertAlign w:val="superscript"/>
              </w:rPr>
              <w:t>(8)</w:t>
            </w:r>
          </w:p>
        </w:tc>
        <w:tc>
          <w:tcPr>
            <w:tcW w:w="860" w:type="dxa"/>
            <w:vAlign w:val="bottom"/>
            <w:gridSpan w:val="3"/>
          </w:tcPr>
          <w:p>
            <w:pPr>
              <w:jc w:val="right"/>
              <w:ind w:right="200"/>
              <w:spacing w:after="0" w:line="122" w:lineRule="exact"/>
              <w:rPr>
                <w:sz w:val="20"/>
                <w:szCs w:val="20"/>
                <w:color w:val="auto"/>
              </w:rPr>
            </w:pPr>
            <w:r>
              <w:rPr>
                <w:rFonts w:ascii="Arial" w:cs="Arial" w:eastAsia="Arial" w:hAnsi="Arial"/>
                <w:sz w:val="14"/>
                <w:szCs w:val="14"/>
                <w:color w:val="auto"/>
              </w:rPr>
              <w:t>5,870,416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right"/>
              <w:spacing w:after="0" w:line="122" w:lineRule="exact"/>
              <w:rPr>
                <w:sz w:val="20"/>
                <w:szCs w:val="20"/>
                <w:color w:val="auto"/>
              </w:rPr>
            </w:pPr>
            <w:r>
              <w:rPr>
                <w:rFonts w:ascii="Arial" w:cs="Arial" w:eastAsia="Arial" w:hAnsi="Arial"/>
                <w:sz w:val="14"/>
                <w:szCs w:val="14"/>
                <w:color w:val="auto"/>
              </w:rPr>
              <w:t>5,870,416</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right"/>
              <w:spacing w:after="0" w:line="122" w:lineRule="exact"/>
              <w:rPr>
                <w:sz w:val="20"/>
                <w:szCs w:val="20"/>
                <w:color w:val="auto"/>
              </w:rPr>
            </w:pPr>
            <w:r>
              <w:rPr>
                <w:rFonts w:ascii="Arial" w:cs="Arial" w:eastAsia="Arial" w:hAnsi="Arial"/>
                <w:sz w:val="14"/>
                <w:szCs w:val="14"/>
                <w:color w:val="auto"/>
              </w:rPr>
              <w:t>5,870,416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Performance, Inc.</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01/16/2015</w:t>
            </w:r>
          </w:p>
        </w:tc>
        <w:tc>
          <w:tcPr>
            <w:tcW w:w="2420" w:type="dxa"/>
            <w:vAlign w:val="bottom"/>
            <w:gridSpan w:val="3"/>
          </w:tcPr>
          <w:p>
            <w:pPr>
              <w:jc w:val="center"/>
              <w:ind w:right="80"/>
              <w:spacing w:after="0"/>
              <w:rPr>
                <w:sz w:val="20"/>
                <w:szCs w:val="20"/>
                <w:color w:val="auto"/>
              </w:rPr>
            </w:pPr>
            <w:r>
              <w:rPr>
                <w:rFonts w:ascii="Arial" w:cs="Arial" w:eastAsia="Arial" w:hAnsi="Arial"/>
                <w:sz w:val="14"/>
                <w:szCs w:val="14"/>
                <w:color w:val="auto"/>
                <w:w w:val="88"/>
              </w:rPr>
              <w:t>Leisure, Amusement Motion Pictures</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7.25%</w:t>
            </w:r>
          </w:p>
        </w:tc>
        <w:tc>
          <w:tcPr>
            <w:tcW w:w="720" w:type="dxa"/>
            <w:vAlign w:val="bottom"/>
            <w:gridSpan w:val="2"/>
          </w:tcPr>
          <w:p>
            <w:pPr>
              <w:ind w:left="120"/>
              <w:spacing w:after="0" w:line="165" w:lineRule="exact"/>
              <w:rPr>
                <w:sz w:val="20"/>
                <w:szCs w:val="20"/>
                <w:color w:val="auto"/>
              </w:rPr>
            </w:pPr>
            <w:r>
              <w:rPr>
                <w:rFonts w:ascii="Arial" w:cs="Arial" w:eastAsia="Arial" w:hAnsi="Arial"/>
                <w:sz w:val="12"/>
                <w:szCs w:val="12"/>
                <w:color w:val="auto"/>
              </w:rPr>
              <w:t>L+625</w:t>
            </w:r>
            <w:r>
              <w:rPr>
                <w:rFonts w:ascii="Arial" w:cs="Arial" w:eastAsia="Arial" w:hAnsi="Arial"/>
                <w:sz w:val="19"/>
                <w:szCs w:val="19"/>
                <w:color w:val="auto"/>
                <w:vertAlign w:val="superscript"/>
              </w:rPr>
              <w:t>(8)</w:t>
            </w:r>
          </w:p>
        </w:tc>
        <w:tc>
          <w:tcPr>
            <w:tcW w:w="860" w:type="dxa"/>
            <w:vAlign w:val="bottom"/>
            <w:gridSpan w:val="3"/>
          </w:tcPr>
          <w:p>
            <w:pPr>
              <w:jc w:val="right"/>
              <w:ind w:right="200"/>
              <w:spacing w:after="0"/>
              <w:rPr>
                <w:sz w:val="20"/>
                <w:szCs w:val="20"/>
                <w:color w:val="auto"/>
              </w:rPr>
            </w:pPr>
            <w:r>
              <w:rPr>
                <w:rFonts w:ascii="Arial" w:cs="Arial" w:eastAsia="Arial" w:hAnsi="Arial"/>
                <w:sz w:val="14"/>
                <w:szCs w:val="14"/>
                <w:color w:val="auto"/>
              </w:rPr>
              <w:t>8,000,000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8,000,000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7,336,000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7"/>
              </w:rPr>
              <w:t>and Entertainment</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13,870,416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13,206,416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246620"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Point</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340" w:type="dxa"/>
            <w:vAlign w:val="bottom"/>
          </w:tcPr>
          <w:p>
            <w:pPr>
              <w:spacing w:after="0"/>
              <w:rPr>
                <w:sz w:val="12"/>
                <w:szCs w:val="12"/>
                <w:color w:val="auto"/>
              </w:rPr>
            </w:pPr>
          </w:p>
        </w:tc>
        <w:tc>
          <w:tcPr>
            <w:tcW w:w="7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3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Maturity</w:t>
            </w:r>
          </w:p>
        </w:tc>
        <w:tc>
          <w:tcPr>
            <w:tcW w:w="860" w:type="dxa"/>
            <w:vAlign w:val="bottom"/>
          </w:tcPr>
          <w:p>
            <w:pPr>
              <w:spacing w:after="0"/>
              <w:rPr>
                <w:sz w:val="14"/>
                <w:szCs w:val="14"/>
                <w:color w:val="auto"/>
              </w:rPr>
            </w:pPr>
          </w:p>
        </w:tc>
        <w:tc>
          <w:tcPr>
            <w:tcW w:w="14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0"/>
              </w:rPr>
              <w:t>Industry</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Coupon</w:t>
            </w:r>
          </w:p>
        </w:tc>
        <w:tc>
          <w:tcPr>
            <w:tcW w:w="48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(4)</w:t>
            </w:r>
          </w:p>
        </w:tc>
        <w:tc>
          <w:tcPr>
            <w:tcW w:w="34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24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6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Subordinated Debt/Corporate Notes—1.4%</w:t>
            </w:r>
          </w:p>
        </w:tc>
        <w:tc>
          <w:tcPr>
            <w:tcW w:w="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6"/>
              </w:rPr>
              <w:t>Leisure, Amusement,</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color w:val="auto"/>
              </w:rPr>
              <w:t>15.00%</w:t>
            </w:r>
            <w:r>
              <w:rPr>
                <w:rFonts w:ascii="Arial" w:cs="Arial" w:eastAsia="Arial" w:hAnsi="Arial"/>
                <w:sz w:val="22"/>
                <w:szCs w:val="22"/>
                <w:color w:val="auto"/>
                <w:vertAlign w:val="superscript"/>
              </w:rPr>
              <w:t>(6)</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680" w:type="dxa"/>
            <w:vAlign w:val="bottom"/>
            <w:gridSpan w:val="3"/>
          </w:tcPr>
          <w:p>
            <w:pPr>
              <w:spacing w:after="0" w:line="159" w:lineRule="exact"/>
              <w:rPr>
                <w:sz w:val="20"/>
                <w:szCs w:val="20"/>
                <w:color w:val="auto"/>
              </w:rPr>
            </w:pPr>
            <w:r>
              <w:rPr>
                <w:rFonts w:ascii="Arial" w:cs="Arial" w:eastAsia="Arial" w:hAnsi="Arial"/>
                <w:sz w:val="14"/>
                <w:szCs w:val="14"/>
                <w:color w:val="auto"/>
              </w:rPr>
              <w:t>Performance Holdings, Inc.</w:t>
            </w:r>
          </w:p>
        </w:tc>
        <w:tc>
          <w:tcPr>
            <w:tcW w:w="78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85"/>
              </w:rPr>
              <w:t>07/16/2015</w:t>
            </w:r>
          </w:p>
        </w:tc>
        <w:tc>
          <w:tcPr>
            <w:tcW w:w="23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8"/>
              </w:rPr>
              <w:t>Motion Pictures and Entertainment</w:t>
            </w:r>
          </w:p>
        </w:tc>
        <w:tc>
          <w:tcPr>
            <w:tcW w:w="900" w:type="dxa"/>
            <w:vAlign w:val="bottom"/>
            <w:gridSpan w:val="2"/>
            <w:vMerge w:val="continue"/>
          </w:tcPr>
          <w:p>
            <w:pPr>
              <w:spacing w:after="0"/>
              <w:rPr>
                <w:sz w:val="14"/>
                <w:szCs w:val="14"/>
                <w:color w:val="auto"/>
              </w:rPr>
            </w:pPr>
          </w:p>
        </w:tc>
        <w:tc>
          <w:tcPr>
            <w:tcW w:w="48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6,775,991</w:t>
            </w:r>
          </w:p>
        </w:tc>
        <w:tc>
          <w:tcPr>
            <w:tcW w:w="2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6,617,860</w:t>
            </w:r>
          </w:p>
        </w:tc>
        <w:tc>
          <w:tcPr>
            <w:tcW w:w="4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6,403,311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Equity/Partnership Interest—3.1%</w:t>
            </w:r>
            <w:r>
              <w:rPr>
                <w:rFonts w:ascii="Arial" w:cs="Arial" w:eastAsia="Arial" w:hAnsi="Arial"/>
                <w:sz w:val="17"/>
                <w:szCs w:val="17"/>
                <w:b w:val="1"/>
                <w:bCs w:val="1"/>
                <w:color w:val="auto"/>
                <w:vertAlign w:val="superscript"/>
              </w:rPr>
              <w:t>(7)</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Environmental Services</w:t>
            </w:r>
          </w:p>
        </w:tc>
        <w:tc>
          <w:tcPr>
            <w:tcW w:w="9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37,382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2,710,036</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5,641,925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Environmental Services</w:t>
            </w:r>
          </w:p>
        </w:tc>
        <w:tc>
          <w:tcPr>
            <w:tcW w:w="9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50,102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3,129,447</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7,561,205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 (Performance Holdings, Inc.)</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8"/>
              </w:rPr>
              <w:t>Leisure, Amusement, Motion</w:t>
            </w: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320" w:type="dxa"/>
            <w:vAlign w:val="bottom"/>
            <w:gridSpan w:val="3"/>
          </w:tcPr>
          <w:p>
            <w:pPr>
              <w:jc w:val="center"/>
              <w:ind w:right="100"/>
              <w:spacing w:after="0" w:line="159" w:lineRule="exact"/>
              <w:rPr>
                <w:sz w:val="20"/>
                <w:szCs w:val="20"/>
                <w:color w:val="auto"/>
              </w:rPr>
            </w:pPr>
            <w:r>
              <w:rPr>
                <w:rFonts w:ascii="Arial" w:cs="Arial" w:eastAsia="Arial" w:hAnsi="Arial"/>
                <w:sz w:val="14"/>
                <w:szCs w:val="14"/>
                <w:color w:val="auto"/>
                <w:w w:val="86"/>
              </w:rPr>
              <w:t>Pictures and Entertainment</w:t>
            </w:r>
          </w:p>
        </w:tc>
        <w:tc>
          <w:tcPr>
            <w:tcW w:w="90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60"/>
              <w:spacing w:after="0" w:line="15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375,000</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3,750,000</w:t>
            </w:r>
          </w:p>
        </w:tc>
        <w:tc>
          <w:tcPr>
            <w:tcW w:w="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1,193,610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9,589,483</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14,396,740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6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w w:val="98"/>
              </w:rPr>
              <w:t>Total Investments in Non-Controlled, Affiliated Portfolio Companies</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36,744,425</w:t>
            </w:r>
          </w:p>
        </w:tc>
        <w:tc>
          <w:tcPr>
            <w:tcW w:w="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40,673,133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5"/>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Controlled, Affiliated Portfolio Companies—2.9%</w:t>
            </w:r>
            <w:r>
              <w:rPr>
                <w:rFonts w:ascii="Arial" w:cs="Arial" w:eastAsia="Arial" w:hAnsi="Arial"/>
                <w:sz w:val="17"/>
                <w:szCs w:val="17"/>
                <w:b w:val="1"/>
                <w:bCs w:val="1"/>
                <w:color w:val="auto"/>
                <w:vertAlign w:val="superscript"/>
              </w:rPr>
              <w:t>(1),(2)</w:t>
            </w: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Debt—2.1%</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5"/>
              </w:rPr>
              <w:t>06/30/2020</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9,200,000</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9,200,000</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9,676,650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Notes—0.5%</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5"/>
              </w:rPr>
              <w:t>06/30/2020</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2,300,,000</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2,085,357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Equity—0.4%</w:t>
            </w:r>
            <w:r>
              <w:rPr>
                <w:rFonts w:ascii="Arial" w:cs="Arial" w:eastAsia="Arial" w:hAnsi="Arial"/>
                <w:sz w:val="18"/>
                <w:szCs w:val="18"/>
                <w:b w:val="1"/>
                <w:bCs w:val="1"/>
                <w:color w:val="auto"/>
                <w:vertAlign w:val="superscript"/>
              </w:rPr>
              <w:t>(7)</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14.00%</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1,737.994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Equity—0.0%</w:t>
            </w:r>
            <w:r>
              <w:rPr>
                <w:rFonts w:ascii="Arial" w:cs="Arial" w:eastAsia="Arial" w:hAnsi="Arial"/>
                <w:sz w:val="18"/>
                <w:szCs w:val="18"/>
                <w:b w:val="1"/>
                <w:bCs w:val="1"/>
                <w:color w:val="auto"/>
                <w:vertAlign w:val="superscript"/>
              </w:rPr>
              <w:t>(7)</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32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87"/>
              </w:rPr>
              <w:t>Total Investments in Controlled, Affiliated Portfolio Companies</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13,500,100</w:t>
            </w:r>
          </w:p>
        </w:tc>
        <w:tc>
          <w:tcPr>
            <w:tcW w:w="40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13,500,001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Investments—178.9%</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866,322,836</w:t>
            </w: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827,548,515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Equivalents—15.5%</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71,604,519</w:t>
            </w:r>
          </w:p>
        </w:tc>
        <w:tc>
          <w:tcPr>
            <w:tcW w:w="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71,604,519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Equivalents—194.3%</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4"/>
              </w:rPr>
              <w:t>937,927,355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2"/>
              </w:rPr>
              <w:t>899,153,034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Assets—(94.3%)</w:t>
            </w: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right"/>
              <w:ind w:right="20"/>
              <w:spacing w:after="0" w:line="143" w:lineRule="exact"/>
              <w:rPr>
                <w:sz w:val="20"/>
                <w:szCs w:val="20"/>
                <w:color w:val="auto"/>
              </w:rPr>
            </w:pPr>
            <w:r>
              <w:rPr>
                <w:rFonts w:ascii="Arial" w:cs="Arial" w:eastAsia="Arial" w:hAnsi="Arial"/>
                <w:sz w:val="14"/>
                <w:szCs w:val="14"/>
                <w:color w:val="auto"/>
                <w:w w:val="87"/>
              </w:rPr>
              <w:t>(436,495,838)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2"/>
              </w:rPr>
              <w:t>462,657,196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189" w:lineRule="auto"/>
        <w:tabs>
          <w:tab w:leader="none" w:pos="340" w:val="left"/>
        </w:tabs>
        <w:numPr>
          <w:ilvl w:val="0"/>
          <w:numId w:val="18"/>
        </w:numPr>
        <w:rPr>
          <w:rFonts w:ascii="Arial" w:cs="Arial" w:eastAsia="Arial" w:hAnsi="Arial"/>
          <w:sz w:val="21"/>
          <w:szCs w:val="21"/>
          <w:color w:val="auto"/>
          <w:vertAlign w:val="superscript"/>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spacing w:after="0" w:line="1" w:lineRule="exact"/>
        <w:rPr>
          <w:rFonts w:ascii="Arial" w:cs="Arial" w:eastAsia="Arial" w:hAnsi="Arial"/>
          <w:sz w:val="21"/>
          <w:szCs w:val="21"/>
          <w:color w:val="auto"/>
          <w:vertAlign w:val="superscript"/>
        </w:rPr>
      </w:pPr>
    </w:p>
    <w:p>
      <w:pPr>
        <w:ind w:left="340" w:right="120" w:hanging="332"/>
        <w:spacing w:after="0" w:line="182" w:lineRule="auto"/>
        <w:tabs>
          <w:tab w:leader="none" w:pos="340" w:val="left"/>
        </w:tabs>
        <w:numPr>
          <w:ilvl w:val="0"/>
          <w:numId w:val="18"/>
        </w:numPr>
        <w:rPr>
          <w:rFonts w:ascii="Arial" w:cs="Arial" w:eastAsia="Arial" w:hAnsi="Arial"/>
          <w:sz w:val="21"/>
          <w:szCs w:val="21"/>
          <w:color w:val="auto"/>
          <w:vertAlign w:val="superscript"/>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182" w:lineRule="auto"/>
        <w:tabs>
          <w:tab w:leader="none" w:pos="340" w:val="left"/>
        </w:tabs>
        <w:numPr>
          <w:ilvl w:val="0"/>
          <w:numId w:val="18"/>
        </w:numPr>
        <w:rPr>
          <w:rFonts w:ascii="Arial" w:cs="Arial" w:eastAsia="Arial" w:hAnsi="Arial"/>
          <w:sz w:val="17"/>
          <w:szCs w:val="17"/>
          <w:color w:val="auto"/>
          <w:vertAlign w:val="superscript"/>
        </w:rPr>
      </w:pPr>
      <w:r>
        <w:rPr>
          <w:rFonts w:ascii="Arial" w:cs="Arial" w:eastAsia="Arial" w:hAnsi="Arial"/>
          <w:sz w:val="11"/>
          <w:szCs w:val="11"/>
          <w:color w:val="auto"/>
        </w:rPr>
        <w:t>Valued based on our accounting policy (see Note 2).</w:t>
      </w:r>
    </w:p>
    <w:p>
      <w:pPr>
        <w:ind w:left="340" w:hanging="332"/>
        <w:spacing w:after="0" w:line="182" w:lineRule="auto"/>
        <w:tabs>
          <w:tab w:leader="none" w:pos="340" w:val="left"/>
        </w:tabs>
        <w:numPr>
          <w:ilvl w:val="0"/>
          <w:numId w:val="18"/>
        </w:numPr>
        <w:rPr>
          <w:rFonts w:ascii="Arial" w:cs="Arial" w:eastAsia="Arial" w:hAnsi="Arial"/>
          <w:sz w:val="17"/>
          <w:szCs w:val="17"/>
          <w:color w:val="auto"/>
          <w:vertAlign w:val="superscript"/>
        </w:rPr>
      </w:pPr>
      <w:r>
        <w:rPr>
          <w:rFonts w:ascii="Arial" w:cs="Arial" w:eastAsia="Arial" w:hAnsi="Arial"/>
          <w:sz w:val="11"/>
          <w:szCs w:val="11"/>
          <w:color w:val="auto"/>
        </w:rPr>
        <w:t>Represents floating rate instruments that accrue interest at a predetermined spread relative to an index, typically the applicable LIBOR or Prime rate.</w:t>
      </w:r>
    </w:p>
    <w:p>
      <w:pPr>
        <w:ind w:left="340" w:right="160" w:hanging="332"/>
        <w:spacing w:after="0" w:line="182" w:lineRule="auto"/>
        <w:tabs>
          <w:tab w:leader="none" w:pos="340" w:val="left"/>
        </w:tabs>
        <w:numPr>
          <w:ilvl w:val="0"/>
          <w:numId w:val="18"/>
        </w:numPr>
        <w:rPr>
          <w:rFonts w:ascii="Arial" w:cs="Arial" w:eastAsia="Arial" w:hAnsi="Arial"/>
          <w:sz w:val="21"/>
          <w:szCs w:val="21"/>
          <w:color w:val="auto"/>
          <w:vertAlign w:val="superscript"/>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usually to qualified institutional buyers.</w:t>
      </w:r>
    </w:p>
    <w:p>
      <w:pPr>
        <w:ind w:left="340" w:hanging="332"/>
        <w:spacing w:after="0" w:line="182" w:lineRule="auto"/>
        <w:tabs>
          <w:tab w:leader="none" w:pos="340" w:val="left"/>
        </w:tabs>
        <w:numPr>
          <w:ilvl w:val="0"/>
          <w:numId w:val="18"/>
        </w:numPr>
        <w:rPr>
          <w:rFonts w:ascii="Arial" w:cs="Arial" w:eastAsia="Arial" w:hAnsi="Arial"/>
          <w:sz w:val="17"/>
          <w:szCs w:val="17"/>
          <w:color w:val="auto"/>
          <w:vertAlign w:val="superscript"/>
        </w:rPr>
      </w:pPr>
      <w:r>
        <w:rPr>
          <w:rFonts w:ascii="Arial" w:cs="Arial" w:eastAsia="Arial" w:hAnsi="Arial"/>
          <w:sz w:val="11"/>
          <w:szCs w:val="11"/>
          <w:color w:val="auto"/>
        </w:rPr>
        <w:t>Coupon is payable in cash and/or through PIK.</w:t>
      </w:r>
    </w:p>
    <w:p>
      <w:pPr>
        <w:ind w:left="340" w:hanging="332"/>
        <w:spacing w:after="0" w:line="182" w:lineRule="auto"/>
        <w:tabs>
          <w:tab w:leader="none" w:pos="340" w:val="left"/>
        </w:tabs>
        <w:numPr>
          <w:ilvl w:val="0"/>
          <w:numId w:val="18"/>
        </w:numPr>
        <w:rPr>
          <w:rFonts w:ascii="Arial" w:cs="Arial" w:eastAsia="Arial" w:hAnsi="Arial"/>
          <w:sz w:val="17"/>
          <w:szCs w:val="17"/>
          <w:color w:val="auto"/>
          <w:vertAlign w:val="superscript"/>
        </w:rPr>
      </w:pPr>
      <w:r>
        <w:rPr>
          <w:rFonts w:ascii="Arial" w:cs="Arial" w:eastAsia="Arial" w:hAnsi="Arial"/>
          <w:sz w:val="11"/>
          <w:szCs w:val="11"/>
          <w:color w:val="auto"/>
        </w:rPr>
        <w:t>Non-income producing securities.</w:t>
      </w:r>
    </w:p>
    <w:p>
      <w:pPr>
        <w:ind w:left="340" w:hanging="332"/>
        <w:spacing w:after="0" w:line="182" w:lineRule="auto"/>
        <w:tabs>
          <w:tab w:leader="none" w:pos="340" w:val="left"/>
        </w:tabs>
        <w:numPr>
          <w:ilvl w:val="0"/>
          <w:numId w:val="18"/>
        </w:numPr>
        <w:rPr>
          <w:rFonts w:ascii="Arial" w:cs="Arial" w:eastAsia="Arial" w:hAnsi="Arial"/>
          <w:sz w:val="17"/>
          <w:szCs w:val="17"/>
          <w:color w:val="auto"/>
          <w:vertAlign w:val="superscript"/>
        </w:rPr>
      </w:pPr>
      <w:r>
        <w:rPr>
          <w:rFonts w:ascii="Arial" w:cs="Arial" w:eastAsia="Arial" w:hAnsi="Arial"/>
          <w:sz w:val="11"/>
          <w:szCs w:val="11"/>
          <w:color w:val="auto"/>
        </w:rPr>
        <w:t>Coupon is subject to a LIBOR or Prime rate floor.</w:t>
      </w:r>
    </w:p>
    <w:p>
      <w:pPr>
        <w:ind w:left="340" w:hanging="332"/>
        <w:spacing w:after="0" w:line="182" w:lineRule="auto"/>
        <w:tabs>
          <w:tab w:leader="none" w:pos="340" w:val="left"/>
        </w:tabs>
        <w:numPr>
          <w:ilvl w:val="0"/>
          <w:numId w:val="18"/>
        </w:numPr>
        <w:rPr>
          <w:rFonts w:ascii="Arial" w:cs="Arial" w:eastAsia="Arial" w:hAnsi="Arial"/>
          <w:sz w:val="17"/>
          <w:szCs w:val="17"/>
          <w:color w:val="auto"/>
          <w:vertAlign w:val="superscript"/>
        </w:rPr>
      </w:pPr>
      <w:r>
        <w:rPr>
          <w:rFonts w:ascii="Arial" w:cs="Arial" w:eastAsia="Arial" w:hAnsi="Arial"/>
          <w:sz w:val="11"/>
          <w:szCs w:val="11"/>
          <w:color w:val="auto"/>
        </w:rPr>
        <w:t>Represents the purchase of a security with delayed settlement (unfunded investment). This security does not have a basis point spread above an index.</w:t>
      </w:r>
    </w:p>
    <w:p>
      <w:pPr>
        <w:ind w:left="340" w:hanging="332"/>
        <w:spacing w:after="0" w:line="185" w:lineRule="auto"/>
        <w:tabs>
          <w:tab w:leader="none" w:pos="340" w:val="left"/>
        </w:tabs>
        <w:numPr>
          <w:ilvl w:val="0"/>
          <w:numId w:val="18"/>
        </w:numPr>
        <w:rPr>
          <w:rFonts w:ascii="Arial" w:cs="Arial" w:eastAsia="Arial" w:hAnsi="Arial"/>
          <w:sz w:val="18"/>
          <w:szCs w:val="18"/>
          <w:color w:val="auto"/>
          <w:vertAlign w:val="superscript"/>
        </w:rPr>
      </w:pPr>
      <w:r>
        <w:rPr>
          <w:rFonts w:ascii="Arial" w:cs="Arial" w:eastAsia="Arial" w:hAnsi="Arial"/>
          <w:sz w:val="12"/>
          <w:szCs w:val="12"/>
          <w:color w:val="auto"/>
        </w:rPr>
        <w:t>Non-U.S. company or principal place of business outside the United States.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65" w:lineRule="exact"/>
        <w:rPr>
          <w:sz w:val="20"/>
          <w:szCs w:val="20"/>
          <w:color w:val="auto"/>
        </w:rPr>
      </w:pPr>
    </w:p>
    <w:p>
      <w:pPr>
        <w:jc w:val="both"/>
        <w:ind w:right="840" w:firstLine="456"/>
        <w:spacing w:after="0" w:line="259"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and “PennantPark Investment” refer to PennantPark Investment Corporation and its consolidated subsidiaries. “SBIC LP” refers to our wholly owned, consolidated small business investment company, or SBIC, PennantPark SBIC LP.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PennantPark Investment Corporation was organized as a Maryland corporation on January 11, 2007. PennantPark Investment is a closed-end, externally managed, non-diversified investment company that has elected to be treated as a business development company, or BDC, under the Investment Company Act of 1940, as amended, or the 1940 Act. PennantPark Investment’s objective is to generate both current income and capital appreciation through debt and equity investments. We invest primarily in U.S. middle-market companies in the form of senior secured loans, mezzanine debt and, to a lesser extent equity investments.</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24, 2007, we closed our initial public offering and our common stock trades on the NASDAQ Global Select Market under the symbol “PNNT.” We completed our initial public offering of common stock in 2007 and issued 21.0 million shares raising $294.1 million in net proceeds. Since our initial public offering, we have sold 43.6 million shares of common stock through follow-on public offerings, resulting in net proceeds of $441.4 million. During the fiscal year September 30, 2012, we sold 19.4 million shares in follow-on public offerings, resulting in net proceeds of $198.9 million, after estimated offering costs. On September 28, 2012, we completed an offering of 9.0 million shares of common stock at a public offering price of $10.82 per share for gross proceeds of $97.4 million and net proceeds of $93.6 million after underwriting discounts and offering expenses. See Note 14.</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are externally managed by PennantPark Investment Advisers. PennantPark Investment Administration provides the administrative services necessary for us to operate. PennantPark Investment, through the Investment Adviser, manages day-to-day operations of and provides investment advisory services to SBIC LP under a separate investment management agreement. PennantPark Investment, through the Administrator, also provides similar services to SBIC LP and our controlled affiliate SuttonPark Holdings, Inc. and its subsidiaries, or SPH, under separate administration agreements. See Note 3.</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SBIC LP and its general partner, SBIC GP, were organized in Delaware as a limited partnership and a limited liability company, respectively, in May 2010 and began operations in June 2010. SBIC LP received a license from the Small Business Administration, or SBA, to operate as an SBIC effective July 30, 2010 under Section 301(c) of the Small Business Investment Act of 1958, or the 1958 Act. Both SBIC LP and SBIC GP are consolidated wholly owned subsidiaries of PennantPark Investment. SBIC LP’s objective is to generate both current income and capital appreciation through debt and equity investments generally, investing with us in SBA eligible businesses that meet the investment criteria used by PennantPark Investment.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These Taxable Subsidiaries allow us to hold portfolio companies organized as pass-through entities and satisfy the requirements of regulated investment companies, or RICs, under the Internal Revenue Code of 1986, as amended, or the Code.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amounts of income and expenses during the reported period. Actual results could differ from these estimates.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(a) InvestmentValuations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9" w:lineRule="exact"/>
        <w:rPr>
          <w:sz w:val="20"/>
          <w:szCs w:val="20"/>
          <w:color w:val="auto"/>
        </w:rPr>
      </w:pPr>
    </w:p>
    <w:p>
      <w:pPr>
        <w:ind w:left="900" w:right="180" w:hanging="446"/>
        <w:spacing w:after="0" w:line="33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investments and our senior secured revolving credit facility, or the Credit Facility, values during the reporting period, including any reversal of previously recorded unrealized appreciation or depreciation, when gains or losses are realized.</w:t>
      </w:r>
    </w:p>
    <w:p>
      <w:pPr>
        <w:spacing w:after="0" w:line="116"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5"/>
          <w:szCs w:val="15"/>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are capitalized and we then accrete or amortize such amounts using the effective interest method as interest income or interest expense as it relates to our deferred financing costs.</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We record prepayment penalties on loans and debt investments as income. Dividend income, if any, is recognized on an accrual basis on the ex-dividend date to the extent that we expect to collect such amounts.</w:t>
      </w:r>
    </w:p>
    <w:p>
      <w:pPr>
        <w:spacing w:after="0" w:line="138"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32" w:lineRule="exact"/>
        <w:rPr>
          <w:sz w:val="20"/>
          <w:szCs w:val="20"/>
          <w:color w:val="auto"/>
        </w:rPr>
      </w:pPr>
    </w:p>
    <w:p>
      <w:pPr>
        <w:ind w:left="1480" w:hanging="567"/>
        <w:spacing w:after="0"/>
        <w:tabs>
          <w:tab w:leader="none" w:pos="148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pay an excise tax of $0.3 million, $0.2 million and $0.1 million for the fiscal years ended September 30, 2012, 2011 and 2010,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 and the state department of revenue.</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35" w:lineRule="exact"/>
        <w:rPr>
          <w:sz w:val="20"/>
          <w:szCs w:val="20"/>
          <w:color w:val="auto"/>
        </w:rPr>
      </w:pPr>
    </w:p>
    <w:p>
      <w:pPr>
        <w:ind w:left="1480" w:hanging="567"/>
        <w:spacing w:after="0"/>
        <w:tabs>
          <w:tab w:leader="none" w:pos="148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to be paid, if any, as a dividend or distributions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51" w:lineRule="exact"/>
        <w:rPr>
          <w:sz w:val="20"/>
          <w:szCs w:val="20"/>
          <w:color w:val="auto"/>
        </w:rPr>
      </w:pPr>
    </w:p>
    <w:p>
      <w:pPr>
        <w:ind w:left="1480" w:hanging="567"/>
        <w:spacing w:after="0"/>
        <w:tabs>
          <w:tab w:leader="none" w:pos="148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SBIC LP, SBIC GP and our Taxable Subsidiaries in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PennantPark Investment’s Investment Management Agreement, with the Investment Adviser was re-approved by our board of directors, including a majority of our directors who are not interested persons of PennantPark Investment, in February 2012. Under the Investment Management Agreement, the Investment Adviser, subject to the overall supervision of PennantPark Investment’s board of directors, manages the day-to-day operations of and provides investment advisory services to PennantPark Investment. SBIC LP’s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base management fee is calculated at an annual rate of 2.00% of our gross assets (net of temporary draws under our Credit Facility and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 recently completed calendar quarters, and appropriately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adjusted for any share issuances or repurchases during the current calendar quarter. For the fiscal years ended September 30, 2012, 2011 and 2010, the Investment Adviser earned base management fees of $17.5 million, $14.9 million and $11.6 million, respectively, from us.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applicable quarter. For the fiscal years ended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2012, 2011 and 2010, the Investment Adviser received an incentive fee of $14.2 million, $13.2 million and $8.0 million, respectively, from us.</w:t>
      </w:r>
    </w:p>
    <w:p>
      <w:pPr>
        <w:spacing w:after="0" w:line="18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The performance based incentive fee on capital gains due to our Investment Adviser as calculated under the Investment Management Agreement (as described above) for the fiscal years ended September 30, 2012, 2011 and 2010, resulted in no accrual.</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2012, 2011 and 2010, our unrealized and realized capital gains did not exceed our cumulative realized and unrealized losses and resulted in no accrual under GAAP.</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PennantPark Investment’s Administration Agreement with the Administrator was reapproved by our board of directors, including a majority of our directors who are not interested persons of PennantPark Investment, in February 2012. Under the Administration Agreement, PennantPark Investment Administration provides administrative services for PennantPark Investment. The Administrator provides similar services to SBIC LP under its administration agreement with PennantPark Investment.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2012, 2011 and 2010, the Investment Adviser and Administrator, collectively, were reimbursed $3.6 million, $2.6 million and $2.1 million, respectively, from us, including expenses it incurred on behalf of the Administrator, for services described above.</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respective staffs. For the fiscal years ended September 30, 2012, 2011 and 2010, PennantPark Investment was reimbursed $0.7 million, $0.5 million and $0.1 million, respectively, for the services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Purchases of long-term investments, including PIK, for the fiscal years ended September 30, 2012, 2011 and 2010 totaled $337.3 million, $490.6 million and $315.8 million, respectively. Sales and repayments of long-term investments for the fiscal years ended September 30, 2012, 2011 and 2010 totaled $201.7 million, $304.0 million and $145.2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September 30, 2012</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ind w:left="600"/>
              <w:spacing w:after="0"/>
              <w:rPr>
                <w:sz w:val="20"/>
                <w:szCs w:val="20"/>
                <w:color w:val="auto"/>
              </w:rPr>
            </w:pPr>
            <w:r>
              <w:rPr>
                <w:rFonts w:ascii="Arial" w:cs="Arial" w:eastAsia="Arial" w:hAnsi="Arial"/>
                <w:sz w:val="14"/>
                <w:szCs w:val="14"/>
                <w:b w:val="1"/>
                <w:bCs w:val="1"/>
                <w:color w:val="auto"/>
              </w:rPr>
              <w:t>September 30, 2011</w:t>
            </w:r>
          </w:p>
        </w:tc>
      </w:tr>
      <w:tr>
        <w:trPr>
          <w:trHeight w:val="142"/>
        </w:trPr>
        <w:tc>
          <w:tcPr>
            <w:tcW w:w="4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Cost</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8"/>
              </w:rPr>
              <w:t>Fair Value</w:t>
            </w:r>
          </w:p>
        </w:tc>
        <w:tc>
          <w:tcPr>
            <w:tcW w:w="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r>
      <w:tr>
        <w:trPr>
          <w:trHeight w:val="210"/>
        </w:trPr>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4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289,964,255</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291,677,553</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305,608,989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296,488,131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Second lien</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208,454,615</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191,339,241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189,962,828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165,272,201</w:t>
            </w:r>
          </w:p>
        </w:tc>
        <w:tc>
          <w:tcPr>
            <w:tcW w:w="1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404,507,916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400,682,637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325,318,958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309,329,169</w:t>
            </w:r>
          </w:p>
        </w:tc>
        <w:tc>
          <w:tcPr>
            <w:tcW w:w="12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Preferred equity</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49,222,034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19,634,989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12,268,187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9,762,932</w:t>
            </w:r>
          </w:p>
        </w:tc>
        <w:tc>
          <w:tcPr>
            <w:tcW w:w="1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56,463,042</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87,145,290</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33,163,874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46,696,082</w:t>
            </w:r>
          </w:p>
        </w:tc>
        <w:tc>
          <w:tcPr>
            <w:tcW w:w="120" w:type="dxa"/>
            <w:vAlign w:val="bottom"/>
            <w:shd w:val="clear" w:color="auto" w:fill="CCEEFF"/>
          </w:tcPr>
          <w:p>
            <w:pPr>
              <w:spacing w:after="0"/>
              <w:rPr>
                <w:sz w:val="18"/>
                <w:szCs w:val="18"/>
                <w:color w:val="auto"/>
              </w:rPr>
            </w:pPr>
          </w:p>
        </w:tc>
      </w:tr>
      <w:tr>
        <w:trPr>
          <w:trHeight w:val="221"/>
        </w:trPr>
        <w:tc>
          <w:tcPr>
            <w:tcW w:w="4140" w:type="dxa"/>
            <w:vAlign w:val="bottom"/>
          </w:tcPr>
          <w:p>
            <w:pPr>
              <w:spacing w:after="0"/>
              <w:rPr>
                <w:sz w:val="20"/>
                <w:szCs w:val="20"/>
                <w:color w:val="auto"/>
              </w:rPr>
            </w:pPr>
            <w:r>
              <w:rPr>
                <w:rFonts w:ascii="Arial" w:cs="Arial" w:eastAsia="Arial" w:hAnsi="Arial"/>
                <w:sz w:val="18"/>
                <w:szCs w:val="18"/>
                <w:color w:val="auto"/>
              </w:rPr>
              <w:t>Total investments</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1,008,611,862</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990,479,710</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866,322,836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827,548,515</w:t>
            </w:r>
          </w:p>
        </w:tc>
        <w:tc>
          <w:tcPr>
            <w:tcW w:w="120" w:type="dxa"/>
            <w:vAlign w:val="bottom"/>
          </w:tcPr>
          <w:p>
            <w:pPr>
              <w:spacing w:after="0"/>
              <w:rPr>
                <w:sz w:val="19"/>
                <w:szCs w:val="19"/>
                <w:color w:val="auto"/>
              </w:rPr>
            </w:pPr>
          </w:p>
        </w:tc>
      </w:tr>
      <w:tr>
        <w:trPr>
          <w:trHeight w:val="218"/>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120" w:type="dxa"/>
            <w:vAlign w:val="bottom"/>
            <w:shd w:val="clear" w:color="auto" w:fill="CCEEFF"/>
          </w:tcPr>
          <w:p>
            <w:pPr>
              <w:spacing w:after="0"/>
              <w:rPr>
                <w:sz w:val="18"/>
                <w:szCs w:val="18"/>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4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0"/>
              </w:rPr>
              <w:t>1,016,171,315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998,039,163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937,927,355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899,153,034</w:t>
            </w:r>
          </w:p>
        </w:tc>
        <w:tc>
          <w:tcPr>
            <w:tcW w:w="12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140" w:type="dxa"/>
            <w:vAlign w:val="bottom"/>
          </w:tcPr>
          <w:p>
            <w:pPr>
              <w:spacing w:after="0"/>
              <w:rPr>
                <w:sz w:val="24"/>
                <w:szCs w:val="24"/>
                <w:color w:val="auto"/>
              </w:rPr>
            </w:pPr>
          </w:p>
        </w:tc>
        <w:tc>
          <w:tcPr>
            <w:tcW w:w="2640" w:type="dxa"/>
            <w:vAlign w:val="bottom"/>
            <w:gridSpan w:val="4"/>
          </w:tcPr>
          <w:p>
            <w:pPr>
              <w:jc w:val="right"/>
              <w:ind w:right="816"/>
              <w:spacing w:after="0"/>
              <w:rPr>
                <w:sz w:val="20"/>
                <w:szCs w:val="20"/>
                <w:color w:val="auto"/>
              </w:rPr>
            </w:pPr>
            <w:r>
              <w:rPr>
                <w:rFonts w:ascii="Arial" w:cs="Arial" w:eastAsia="Arial" w:hAnsi="Arial"/>
                <w:sz w:val="18"/>
                <w:szCs w:val="18"/>
                <w:color w:val="auto"/>
              </w:rPr>
              <w:t>S-69</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September 30,: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 Classification</w:t>
            </w:r>
          </w:p>
        </w:tc>
        <w:tc>
          <w:tcPr>
            <w:tcW w:w="48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2012</w:t>
            </w:r>
          </w:p>
        </w:tc>
        <w:tc>
          <w:tcPr>
            <w:tcW w:w="1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2011</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Healthcare, Education and Childcare</w:t>
            </w: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gridSpan w:val="2"/>
            <w:vMerge w:val="continue"/>
            <w:shd w:val="clear" w:color="auto" w:fill="CCEEFF"/>
          </w:tcPr>
          <w:p>
            <w:pPr>
              <w:spacing w:after="0"/>
              <w:rPr>
                <w:sz w:val="17"/>
                <w:szCs w:val="17"/>
                <w:color w:val="auto"/>
              </w:rPr>
            </w:pPr>
          </w:p>
        </w:tc>
        <w:tc>
          <w:tcPr>
            <w:tcW w:w="1480" w:type="dxa"/>
            <w:vAlign w:val="bottom"/>
            <w:gridSpan w:val="2"/>
            <w:shd w:val="clear" w:color="auto" w:fill="CCEEFF"/>
          </w:tcPr>
          <w:p>
            <w:pPr>
              <w:jc w:val="right"/>
              <w:ind w:right="1020"/>
              <w:spacing w:after="0" w:line="203" w:lineRule="exact"/>
              <w:rPr>
                <w:sz w:val="20"/>
                <w:szCs w:val="20"/>
                <w:color w:val="auto"/>
              </w:rPr>
            </w:pPr>
            <w:r>
              <w:rPr>
                <w:rFonts w:ascii="Arial" w:cs="Arial" w:eastAsia="Arial" w:hAnsi="Arial"/>
                <w:sz w:val="18"/>
                <w:szCs w:val="18"/>
                <w:color w:val="auto"/>
              </w:rPr>
              <w:t>8%</w:t>
            </w:r>
          </w:p>
        </w:tc>
        <w:tc>
          <w:tcPr>
            <w:tcW w:w="100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160" w:type="dxa"/>
            <w:vAlign w:val="bottom"/>
          </w:tcPr>
          <w:p>
            <w:pPr>
              <w:spacing w:after="0"/>
              <w:rPr>
                <w:sz w:val="18"/>
                <w:szCs w:val="18"/>
                <w:color w:val="auto"/>
              </w:rPr>
            </w:pP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Diversified Natural Resources, Precious Metals and Minerals</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160" w:type="dxa"/>
            <w:vAlign w:val="bottom"/>
          </w:tcPr>
          <w:p>
            <w:pPr>
              <w:spacing w:after="0"/>
              <w:rPr>
                <w:sz w:val="18"/>
                <w:szCs w:val="18"/>
                <w:color w:val="auto"/>
              </w:rPr>
            </w:pP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8"/>
                <w:szCs w:val="18"/>
                <w:color w:val="auto"/>
              </w:rPr>
            </w:pP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8"/>
                <w:szCs w:val="18"/>
                <w:color w:val="auto"/>
              </w:rPr>
            </w:pP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Pictures, Entertainment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8"/>
                <w:szCs w:val="18"/>
                <w:color w:val="auto"/>
              </w:rPr>
            </w:pPr>
          </w:p>
        </w:tc>
        <w:tc>
          <w:tcPr>
            <w:tcW w:w="10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Manufacturing/Basic Industry</w:t>
            </w:r>
          </w:p>
        </w:tc>
        <w:tc>
          <w:tcPr>
            <w:tcW w:w="148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Personal Transportation</w:t>
            </w:r>
          </w:p>
        </w:tc>
        <w:tc>
          <w:tcPr>
            <w:tcW w:w="148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80" w:type="dxa"/>
            <w:vAlign w:val="bottom"/>
            <w:gridSpan w:val="2"/>
          </w:tcPr>
          <w:p>
            <w:pPr>
              <w:jc w:val="right"/>
              <w:ind w:right="1020"/>
              <w:spacing w:after="0"/>
              <w:rPr>
                <w:sz w:val="20"/>
                <w:szCs w:val="20"/>
                <w:color w:val="auto"/>
              </w:rPr>
            </w:pPr>
            <w:r>
              <w:rPr>
                <w:rFonts w:ascii="Arial" w:cs="Arial" w:eastAsia="Arial" w:hAnsi="Arial"/>
                <w:sz w:val="18"/>
                <w:szCs w:val="18"/>
                <w:color w:val="auto"/>
                <w:w w:val="95"/>
              </w:rPr>
              <w:t>100%</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a disclaimer would result in classification as Level 3 information, assuming no additional corroborating evidence was available. Corroborating evidence that would result in classifying these non-binding brokers/dealer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2012, our ability to observe valuation inputs has resulted in no reclassification of assets between Levels 1, 2 and 3. During the fiscal year ended December 31, 2011 there was a transfer out of Level 3 to Level 2.</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accordance with Accounting Standards Update No. 2011-04 “Fair Value Measurement: Amendment to Achieve Common Fair Value Measurement and Disclosure Requirements in U.S. GAAP and IFRS,”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remainder of our portfolio, including our long-term Credit Facility, is classified as Level 3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5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 at</w:t>
            </w: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7"/>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87"/>
              </w:rPr>
              <w:t>September 30, 2012</w:t>
            </w:r>
          </w:p>
        </w:tc>
        <w:tc>
          <w:tcPr>
            <w:tcW w:w="24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Valuation Technique</w:t>
            </w:r>
          </w:p>
        </w:tc>
        <w:tc>
          <w:tcPr>
            <w:tcW w:w="18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Unobservable Input</w:t>
            </w:r>
          </w:p>
        </w:tc>
        <w:tc>
          <w:tcPr>
            <w:tcW w:w="2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81"/>
        </w:trPr>
        <w:tc>
          <w:tcPr>
            <w:tcW w:w="34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 subordinated</w:t>
            </w: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Broker/</w:t>
            </w:r>
          </w:p>
        </w:tc>
        <w:tc>
          <w:tcPr>
            <w:tcW w:w="200" w:type="dxa"/>
            <w:vAlign w:val="bottom"/>
            <w:tcBorders>
              <w:top w:val="single" w:sz="8" w:color="CCEEFF"/>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debt/corporate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258,617,082</w:t>
            </w:r>
          </w:p>
        </w:tc>
        <w:tc>
          <w:tcPr>
            <w:tcW w:w="24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Market Comparable</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Dealer bid quotes</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 5</w:t>
            </w:r>
          </w:p>
        </w:tc>
        <w:tc>
          <w:tcPr>
            <w:tcW w:w="0" w:type="dxa"/>
            <w:vAlign w:val="bottom"/>
          </w:tcPr>
          <w:p>
            <w:pPr>
              <w:spacing w:after="0"/>
              <w:rPr>
                <w:sz w:val="1"/>
                <w:szCs w:val="1"/>
                <w:color w:val="auto"/>
              </w:rPr>
            </w:pPr>
          </w:p>
        </w:tc>
      </w:tr>
      <w:tr>
        <w:trPr>
          <w:trHeight w:val="208"/>
        </w:trPr>
        <w:tc>
          <w:tcPr>
            <w:tcW w:w="3420" w:type="dxa"/>
            <w:vAlign w:val="bottom"/>
            <w:gridSpan w:val="2"/>
          </w:tcPr>
          <w:p>
            <w:pPr>
              <w:spacing w:after="0"/>
              <w:rPr>
                <w:sz w:val="20"/>
                <w:szCs w:val="20"/>
                <w:color w:val="auto"/>
              </w:rPr>
            </w:pPr>
            <w:r>
              <w:rPr>
                <w:rFonts w:ascii="Arial" w:cs="Arial" w:eastAsia="Arial" w:hAnsi="Arial"/>
                <w:sz w:val="18"/>
                <w:szCs w:val="18"/>
                <w:color w:val="auto"/>
              </w:rPr>
              <w:t>First lien, second lien, subordinated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20" w:type="dxa"/>
            <w:vAlign w:val="bottom"/>
            <w:gridSpan w:val="2"/>
          </w:tcPr>
          <w:p>
            <w:pPr>
              <w:ind w:left="220"/>
              <w:spacing w:after="0"/>
              <w:rPr>
                <w:sz w:val="20"/>
                <w:szCs w:val="20"/>
                <w:color w:val="auto"/>
              </w:rPr>
            </w:pPr>
            <w:r>
              <w:rPr>
                <w:rFonts w:ascii="Arial" w:cs="Arial" w:eastAsia="Arial" w:hAnsi="Arial"/>
                <w:sz w:val="18"/>
                <w:szCs w:val="18"/>
                <w:color w:val="auto"/>
              </w:rPr>
              <w:t>debt/corporate notes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589,806,989</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Market Comparable</w:t>
            </w: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Market Yield</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8.4% –19.0% (14.1%)</w:t>
            </w:r>
          </w:p>
        </w:tc>
        <w:tc>
          <w:tcPr>
            <w:tcW w:w="0" w:type="dxa"/>
            <w:vAlign w:val="bottom"/>
          </w:tcPr>
          <w:p>
            <w:pPr>
              <w:spacing w:after="0"/>
              <w:rPr>
                <w:sz w:val="1"/>
                <w:szCs w:val="1"/>
                <w:color w:val="auto"/>
              </w:rPr>
            </w:pPr>
          </w:p>
        </w:tc>
      </w:tr>
      <w:tr>
        <w:trPr>
          <w:trHeight w:val="21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101,323,123</w:t>
            </w:r>
          </w:p>
        </w:tc>
        <w:tc>
          <w:tcPr>
            <w:tcW w:w="24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Enterprise Market Value</w:t>
            </w:r>
          </w:p>
        </w:tc>
        <w:tc>
          <w:tcPr>
            <w:tcW w:w="18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6"/>
              </w:rPr>
              <w:t>EBITDA multiple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4.3x –15.5x (8.5x)</w:t>
            </w:r>
          </w:p>
        </w:tc>
        <w:tc>
          <w:tcPr>
            <w:tcW w:w="0" w:type="dxa"/>
            <w:vAlign w:val="bottom"/>
          </w:tcPr>
          <w:p>
            <w:pPr>
              <w:spacing w:after="0"/>
              <w:rPr>
                <w:sz w:val="1"/>
                <w:szCs w:val="1"/>
                <w:color w:val="auto"/>
              </w:rPr>
            </w:pPr>
          </w:p>
        </w:tc>
      </w:tr>
      <w:tr>
        <w:trPr>
          <w:trHeight w:val="2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Total Level 3 investments</w:t>
            </w: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949,747,194</w:t>
            </w:r>
          </w:p>
        </w:tc>
        <w:tc>
          <w:tcPr>
            <w:tcW w:w="2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144,452,500</w:t>
            </w:r>
          </w:p>
        </w:tc>
        <w:tc>
          <w:tcPr>
            <w:tcW w:w="24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Market Comparable</w:t>
            </w:r>
          </w:p>
        </w:tc>
        <w:tc>
          <w:tcPr>
            <w:tcW w:w="1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Discount rate</w:t>
            </w: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equivalents, investments and our Credit Facility were categorized as follows in the fair value hierarchy for ASC 820 purposes: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120" w:type="dxa"/>
            <w:vAlign w:val="bottom"/>
            <w:vMerge w:val="restart"/>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Fair Value at September 30, 2012</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1040" w:type="dxa"/>
            <w:vAlign w:val="bottom"/>
          </w:tcPr>
          <w:p>
            <w:pPr>
              <w:jc w:val="right"/>
              <w:ind w:right="135"/>
              <w:spacing w:after="0" w:line="129" w:lineRule="exact"/>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77"/>
              <w:spacing w:after="0" w:line="129"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94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$ 883,669,431</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35,275,360</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848,424,071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106,780,279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5,425,378</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31,778</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101,323,123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990,449,710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5,425,378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35,307,138</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949,747,194</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7,559,453</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7,559,453</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$ 998,009,163</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12,984,831</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35,307,138</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949,747,194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$ 144,452,500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144,452,500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040" w:type="dxa"/>
            <w:vAlign w:val="bottom"/>
          </w:tcPr>
          <w:p>
            <w:pPr>
              <w:jc w:val="right"/>
              <w:ind w:right="355"/>
              <w:spacing w:after="0"/>
              <w:rPr>
                <w:sz w:val="20"/>
                <w:szCs w:val="20"/>
                <w:color w:val="auto"/>
              </w:rPr>
            </w:pPr>
            <w:r>
              <w:rPr>
                <w:rFonts w:ascii="Arial" w:cs="Arial" w:eastAsia="Arial" w:hAnsi="Arial"/>
                <w:sz w:val="18"/>
                <w:szCs w:val="18"/>
                <w:color w:val="auto"/>
              </w:rPr>
              <w:t>S-72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120" w:type="dxa"/>
            <w:vAlign w:val="bottom"/>
            <w:vMerge w:val="restart"/>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Fair Value at September 30, 2011</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104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77"/>
              <w:spacing w:after="0" w:line="129"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940" w:type="dxa"/>
            <w:vAlign w:val="bottom"/>
          </w:tcPr>
          <w:p>
            <w:pPr>
              <w:jc w:val="right"/>
              <w:ind w:right="255"/>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$ 771,089,501</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38,395,050</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732,694,451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56,459,014</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4,044,595</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61,091</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52,353,328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827,548,515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4,044,595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38,456,141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785,047,779</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71,604,519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71,604,519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$ 899,153,034</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75,649,114</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38,456,141</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$ 238,792,125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238,792,125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86"/>
              </w:rPr>
              <w:t>Year ended September 30, 2012</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Loan and debt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93"/>
              </w:rPr>
              <w:t>Equity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ind w:left="80"/>
              <w:spacing w:after="0" w:line="148" w:lineRule="exact"/>
              <w:rPr>
                <w:sz w:val="20"/>
                <w:szCs w:val="20"/>
                <w:color w:val="auto"/>
              </w:rPr>
            </w:pPr>
            <w:r>
              <w:rPr>
                <w:rFonts w:ascii="Arial" w:cs="Arial" w:eastAsia="Arial" w:hAnsi="Arial"/>
                <w:sz w:val="14"/>
                <w:szCs w:val="14"/>
                <w:b w:val="1"/>
                <w:bCs w:val="1"/>
                <w:color w:val="auto"/>
              </w:rPr>
              <w:t>investments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center"/>
              <w:ind w:right="60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4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732,694,451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52,353,328</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785,047,779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(1,893,297)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(865,772)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(2,759,069)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23,034,558</w:t>
            </w:r>
          </w:p>
        </w:tc>
        <w:tc>
          <w:tcPr>
            <w:tcW w:w="6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jc w:val="right"/>
              <w:ind w:right="440"/>
              <w:spacing w:after="0"/>
              <w:rPr>
                <w:sz w:val="20"/>
                <w:szCs w:val="20"/>
                <w:color w:val="auto"/>
              </w:rPr>
            </w:pPr>
            <w:r>
              <w:rPr>
                <w:rFonts w:ascii="Arial" w:cs="Arial" w:eastAsia="Arial" w:hAnsi="Arial"/>
                <w:sz w:val="18"/>
                <w:szCs w:val="18"/>
                <w:color w:val="auto"/>
              </w:rPr>
              <w:t>(11,283,219)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11,751,339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Purchases, PIK, net discount accretion and non-cash exchanges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288,868,017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66,892,499</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355,760,516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(194,279,658)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(5,773,713)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(200,053,371)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Transfers in or out of Level 3</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3"/>
              </w:rPr>
              <w:t>848,424,071</w:t>
            </w:r>
          </w:p>
        </w:tc>
        <w:tc>
          <w:tcPr>
            <w:tcW w:w="6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$ 101,323,123</w:t>
            </w:r>
          </w:p>
        </w:tc>
        <w:tc>
          <w:tcPr>
            <w:tcW w:w="4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949,747,194</w:t>
            </w:r>
          </w:p>
        </w:tc>
        <w:tc>
          <w:tcPr>
            <w:tcW w:w="0" w:type="dxa"/>
            <w:vAlign w:val="bottom"/>
          </w:tcPr>
          <w:p>
            <w:pPr>
              <w:spacing w:after="0"/>
              <w:rPr>
                <w:sz w:val="1"/>
                <w:szCs w:val="1"/>
                <w:color w:val="auto"/>
              </w:rPr>
            </w:pPr>
          </w:p>
        </w:tc>
      </w:tr>
      <w:tr>
        <w:trPr>
          <w:trHeight w:val="20"/>
        </w:trPr>
        <w:tc>
          <w:tcPr>
            <w:tcW w:w="6840" w:type="dxa"/>
            <w:vAlign w:val="bottom"/>
            <w:gridSpan w:val="3"/>
            <w:vMerge w:val="restart"/>
          </w:tcPr>
          <w:p>
            <w:pPr>
              <w:spacing w:after="0"/>
              <w:rPr>
                <w:sz w:val="20"/>
                <w:szCs w:val="20"/>
                <w:color w:val="auto"/>
              </w:rPr>
            </w:pPr>
            <w:r>
              <w:rPr>
                <w:rFonts w:ascii="Arial" w:cs="Arial" w:eastAsia="Arial" w:hAnsi="Arial"/>
                <w:sz w:val="18"/>
                <w:szCs w:val="18"/>
                <w:color w:val="auto"/>
                <w:w w:val="91"/>
              </w:rPr>
              <w:t>Net change in unrealized appreciation (depreciation) for the fiscal year reported within the net</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w w:val="98"/>
              </w:rPr>
              <w:t>change in unrealized appreciation (depreciation) on investments in our Consolidated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w w:val="94"/>
              </w:rPr>
              <w:t>Statement of Operations attributable to our Level 3 assets still held at the reporting date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25,864,375</w:t>
            </w:r>
          </w:p>
        </w:tc>
        <w:tc>
          <w:tcPr>
            <w:tcW w:w="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(9,858,219)</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16,006,156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Year ended September 30, 2011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w w:val="85"/>
              </w:rPr>
              <w:t>Loan and debt</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240"/>
              <w:spacing w:after="0" w:line="148" w:lineRule="exact"/>
              <w:rPr>
                <w:sz w:val="20"/>
                <w:szCs w:val="20"/>
                <w:color w:val="auto"/>
              </w:rPr>
            </w:pPr>
            <w:r>
              <w:rPr>
                <w:rFonts w:ascii="Arial" w:cs="Arial" w:eastAsia="Arial" w:hAnsi="Arial"/>
                <w:sz w:val="14"/>
                <w:szCs w:val="14"/>
                <w:b w:val="1"/>
                <w:bCs w:val="1"/>
                <w:color w:val="auto"/>
                <w:w w:val="90"/>
              </w:rPr>
              <w:t>investments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3"/>
              </w:rPr>
              <w:t>investments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46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615,236,138</w:t>
            </w:r>
          </w:p>
        </w:tc>
        <w:tc>
          <w:tcPr>
            <w:tcW w:w="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$ 45,137,828</w:t>
            </w:r>
          </w:p>
        </w:tc>
        <w:tc>
          <w:tcPr>
            <w:tcW w:w="460" w:type="dxa"/>
            <w:vAlign w:val="bottom"/>
            <w:shd w:val="clear" w:color="auto" w:fill="CCEEFF"/>
          </w:tcPr>
          <w:p>
            <w:pPr>
              <w:spacing w:after="0"/>
              <w:rPr>
                <w:sz w:val="17"/>
                <w:szCs w:val="17"/>
                <w:color w:val="auto"/>
              </w:rPr>
            </w:pPr>
          </w:p>
        </w:tc>
        <w:tc>
          <w:tcPr>
            <w:tcW w:w="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660,373,966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Realized gains (losses)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10,194,422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6,065,196</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16,259,618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(48,568,848)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2,904,075</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(45,664,773)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Purchases, PIK, net discount accretion and non-cash exchanges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1"/>
              </w:rPr>
              <w:t>486,512,694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9,969,861</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496,482,555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(292,284,905)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(11,723,632)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(304,008,537)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Transfers in or out of Level 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5"/>
              </w:rPr>
              <w:t>(38,395,050)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(38,395,050)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732,694,451</w:t>
            </w:r>
          </w:p>
        </w:tc>
        <w:tc>
          <w:tcPr>
            <w:tcW w:w="6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$ 52,353,328</w:t>
            </w:r>
          </w:p>
        </w:tc>
        <w:tc>
          <w:tcPr>
            <w:tcW w:w="4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785,047,779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gridSpan w:val="3"/>
            <w:vMerge w:val="restart"/>
          </w:tcPr>
          <w:p>
            <w:pPr>
              <w:spacing w:after="0"/>
              <w:rPr>
                <w:sz w:val="20"/>
                <w:szCs w:val="20"/>
                <w:color w:val="auto"/>
              </w:rPr>
            </w:pPr>
            <w:r>
              <w:rPr>
                <w:rFonts w:ascii="Arial" w:cs="Arial" w:eastAsia="Arial" w:hAnsi="Arial"/>
                <w:sz w:val="18"/>
                <w:szCs w:val="18"/>
                <w:color w:val="auto"/>
                <w:w w:val="91"/>
              </w:rPr>
              <w:t>Net change in unrealized appreciation (depreciation) for the fiscal year reported within the net</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w w:val="98"/>
              </w:rPr>
              <w:t>change in unrealized appreciation (depreciation) on investments in our Consolidated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w w:val="94"/>
              </w:rPr>
              <w:t>Statement of Operations attributable to our Level 3 assets still held at the reporting date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5"/>
              </w:rPr>
              <w:t>(24,916,057)</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2,186,601</w:t>
            </w:r>
          </w:p>
        </w:tc>
        <w:tc>
          <w:tcPr>
            <w:tcW w:w="46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(22,729,456)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20" w:type="dxa"/>
            <w:vAlign w:val="bottom"/>
            <w:vMerge w:val="restart"/>
          </w:tcPr>
          <w:p>
            <w:pPr>
              <w:ind w:left="4820"/>
              <w:spacing w:after="0"/>
              <w:rPr>
                <w:sz w:val="20"/>
                <w:szCs w:val="20"/>
                <w:color w:val="auto"/>
              </w:rPr>
            </w:pPr>
            <w:r>
              <w:rPr>
                <w:rFonts w:ascii="Arial" w:cs="Arial" w:eastAsia="Arial" w:hAnsi="Arial"/>
                <w:sz w:val="18"/>
                <w:szCs w:val="18"/>
                <w:color w:val="auto"/>
              </w:rPr>
              <w:t>S-73</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1"/>
              </w:rPr>
              <w:t>Carrying /</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20" w:type="dxa"/>
            <w:vAlign w:val="bottom"/>
          </w:tcPr>
          <w:p>
            <w:pPr>
              <w:spacing w:after="0"/>
              <w:rPr>
                <w:sz w:val="11"/>
                <w:szCs w:val="11"/>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Credit Facility</w:t>
            </w:r>
          </w:p>
        </w:tc>
        <w:tc>
          <w:tcPr>
            <w:tcW w:w="564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3"/>
          </w:tcPr>
          <w:p>
            <w:pPr>
              <w:jc w:val="right"/>
              <w:ind w:right="812"/>
              <w:spacing w:after="0" w:line="129" w:lineRule="exact"/>
              <w:rPr>
                <w:sz w:val="20"/>
                <w:szCs w:val="20"/>
                <w:color w:val="auto"/>
              </w:rPr>
            </w:pPr>
            <w:r>
              <w:rPr>
                <w:rFonts w:ascii="Arial" w:cs="Arial" w:eastAsia="Arial" w:hAnsi="Arial"/>
                <w:sz w:val="14"/>
                <w:szCs w:val="14"/>
                <w:b w:val="1"/>
                <w:bCs w:val="1"/>
                <w:color w:val="auto"/>
                <w:w w:val="96"/>
              </w:rPr>
              <w:t>Year Ended</w:t>
            </w:r>
          </w:p>
        </w:tc>
        <w:tc>
          <w:tcPr>
            <w:tcW w:w="140" w:type="dxa"/>
            <w:vAlign w:val="bottom"/>
          </w:tcPr>
          <w:p>
            <w:pPr>
              <w:spacing w:after="0"/>
              <w:rPr>
                <w:sz w:val="11"/>
                <w:szCs w:val="11"/>
                <w:color w:val="auto"/>
              </w:rPr>
            </w:pPr>
          </w:p>
        </w:tc>
        <w:tc>
          <w:tcPr>
            <w:tcW w:w="98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5640" w:type="dxa"/>
            <w:vAlign w:val="bottom"/>
            <w:vMerge w:val="continue"/>
          </w:tcPr>
          <w:p>
            <w:pPr>
              <w:spacing w:after="0"/>
              <w:rPr>
                <w:sz w:val="14"/>
                <w:szCs w:val="14"/>
                <w:color w:val="auto"/>
              </w:rPr>
            </w:pPr>
          </w:p>
        </w:tc>
        <w:tc>
          <w:tcPr>
            <w:tcW w:w="1800" w:type="dxa"/>
            <w:vAlign w:val="bottom"/>
            <w:gridSpan w:val="4"/>
          </w:tcPr>
          <w:p>
            <w:pPr>
              <w:ind w:left="20"/>
              <w:spacing w:after="0" w:line="148" w:lineRule="exact"/>
              <w:rPr>
                <w:sz w:val="20"/>
                <w:szCs w:val="20"/>
                <w:color w:val="auto"/>
              </w:rPr>
            </w:pPr>
            <w:r>
              <w:rPr>
                <w:rFonts w:ascii="Arial" w:cs="Arial" w:eastAsia="Arial" w:hAnsi="Arial"/>
                <w:sz w:val="14"/>
                <w:szCs w:val="14"/>
                <w:b w:val="1"/>
                <w:bCs w:val="1"/>
                <w:color w:val="auto"/>
              </w:rPr>
              <w:t>September 30, 2012</w:t>
            </w:r>
          </w:p>
        </w:tc>
        <w:tc>
          <w:tcPr>
            <w:tcW w:w="12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65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Beginning Balance (Cost—$240,900,000 and $227,900,000, respectively)</w:t>
            </w:r>
          </w:p>
        </w:tc>
        <w:tc>
          <w:tcPr>
            <w:tcW w:w="16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238,792,125</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213,941,125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gridSpan w:val="2"/>
          </w:tcPr>
          <w:p>
            <w:pPr>
              <w:ind w:left="200"/>
              <w:spacing w:after="0"/>
              <w:rPr>
                <w:sz w:val="20"/>
                <w:szCs w:val="20"/>
                <w:color w:val="auto"/>
              </w:rPr>
            </w:pPr>
            <w:r>
              <w:rPr>
                <w:rFonts w:ascii="Arial" w:cs="Arial" w:eastAsia="Arial" w:hAnsi="Arial"/>
                <w:sz w:val="18"/>
                <w:szCs w:val="18"/>
                <w:color w:val="auto"/>
              </w:rPr>
              <w:t>Total unrealized appreciation included in earnings</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1,560,375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11,851,000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556,800,000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407,500,000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gridSpan w:val="2"/>
          </w:tcPr>
          <w:p>
            <w:pPr>
              <w:ind w:left="20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60" w:type="dxa"/>
            <w:vAlign w:val="bottom"/>
          </w:tcPr>
          <w:p>
            <w:pPr>
              <w:spacing w:after="0"/>
              <w:rPr>
                <w:sz w:val="18"/>
                <w:szCs w:val="18"/>
                <w:color w:val="auto"/>
              </w:rPr>
            </w:pPr>
          </w:p>
        </w:tc>
        <w:tc>
          <w:tcPr>
            <w:tcW w:w="1640" w:type="dxa"/>
            <w:vAlign w:val="bottom"/>
            <w:gridSpan w:val="3"/>
          </w:tcPr>
          <w:p>
            <w:pPr>
              <w:jc w:val="right"/>
              <w:ind w:right="532"/>
              <w:spacing w:after="0"/>
              <w:rPr>
                <w:sz w:val="20"/>
                <w:szCs w:val="20"/>
                <w:color w:val="auto"/>
              </w:rPr>
            </w:pPr>
            <w:r>
              <w:rPr>
                <w:rFonts w:ascii="Arial" w:cs="Arial" w:eastAsia="Arial" w:hAnsi="Arial"/>
                <w:sz w:val="18"/>
                <w:szCs w:val="18"/>
                <w:color w:val="auto"/>
                <w:w w:val="90"/>
              </w:rPr>
              <w:t>(688,200,000)</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(394,500,000)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Ending Balance (Cost—$109,500,000 and $240,900,000, respectively)</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108,952,500</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238,792,125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Temporary draw outstanding, at cost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35,500,000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Ending Balance (Cost—$145,000,000 and 240,900,000, respectively)</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144,452,500</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238,792,125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temporary draws.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Credit Facility. We elected to use the fair value option for the Credit Facility to align the measurement attributes of both our assets and liabilities while mitigating volatility in earnings from using different measurement attributes. Due to that election and in accordance with GAAP, we incurred and expensed up-front fees of $5.4 million, which represents transaction costs and expenses related to the amended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years ended September 30, 2012 and 2011, our Credit Facility had a net change in unrealized appreciation of $1.6 million and $11.9 million, respectively. As of September 30, 2012 and 2011, net unrealized depreciation on our Credit Facility totaled $0.5 million and $2.1 million, respectively. We use a nationally recognized independent valuation service to measure the fair value of our Credit Facility in a manner consistent with the valuation process that the board of directors uses to value investments.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An affiliated company is a company in which the PennantPark Investment has ownership of 5% or more of the portfolio company’s voting securities. A controlled affiliate is a portfolio company in which we own more than 25% of its voting securities. Purchase of /Advances to and Sale of / Distributions from affiliates are included in the Consolidated Statement of Cash Flows purchases and sales. Transactions with affiliates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4"/>
              </w:rPr>
              <w:t>Purchase of /</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Sales of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Investment</w:t>
            </w:r>
          </w:p>
        </w:tc>
        <w:tc>
          <w:tcPr>
            <w:tcW w:w="33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w w:val="93"/>
              </w:rPr>
              <w:t>Fair Value at</w:t>
            </w:r>
          </w:p>
        </w:tc>
        <w:tc>
          <w:tcPr>
            <w:tcW w:w="3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Advances to</w:t>
            </w:r>
          </w:p>
        </w:tc>
        <w:tc>
          <w:tcPr>
            <w:tcW w:w="280" w:type="dxa"/>
            <w:vAlign w:val="bottom"/>
          </w:tcPr>
          <w:p>
            <w:pPr>
              <w:spacing w:after="0"/>
              <w:rPr>
                <w:sz w:val="12"/>
                <w:szCs w:val="12"/>
                <w:color w:val="auto"/>
              </w:rPr>
            </w:pP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240" w:type="dxa"/>
            <w:vAlign w:val="bottom"/>
            <w:tcBorders>
              <w:bottom w:val="single" w:sz="8" w:color="auto"/>
            </w:tcBorders>
            <w:vMerge w:val="continue"/>
          </w:tcPr>
          <w:p>
            <w:pPr>
              <w:spacing w:after="0"/>
              <w:rPr>
                <w:sz w:val="14"/>
                <w:szCs w:val="14"/>
                <w:color w:val="auto"/>
              </w:rPr>
            </w:pPr>
          </w:p>
        </w:tc>
        <w:tc>
          <w:tcPr>
            <w:tcW w:w="3320" w:type="dxa"/>
            <w:vAlign w:val="bottom"/>
            <w:vMerge w:val="continue"/>
          </w:tcPr>
          <w:p>
            <w:pPr>
              <w:spacing w:after="0"/>
              <w:rPr>
                <w:sz w:val="14"/>
                <w:szCs w:val="14"/>
                <w:color w:val="auto"/>
              </w:rPr>
            </w:pPr>
          </w:p>
        </w:tc>
        <w:tc>
          <w:tcPr>
            <w:tcW w:w="11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4"/>
              </w:rPr>
              <w:t>September 30, 2011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52"/>
              <w:spacing w:after="0" w:line="148" w:lineRule="exact"/>
              <w:rPr>
                <w:sz w:val="20"/>
                <w:szCs w:val="20"/>
                <w:color w:val="auto"/>
              </w:rPr>
            </w:pPr>
            <w:r>
              <w:rPr>
                <w:rFonts w:ascii="Arial" w:cs="Arial" w:eastAsia="Arial" w:hAnsi="Arial"/>
                <w:sz w:val="14"/>
                <w:szCs w:val="14"/>
                <w:b w:val="1"/>
                <w:bCs w:val="1"/>
                <w:color w:val="auto"/>
                <w:w w:val="91"/>
              </w:rPr>
              <w:t>Affiliates</w:t>
            </w:r>
          </w:p>
        </w:tc>
        <w:tc>
          <w:tcPr>
            <w:tcW w:w="280" w:type="dxa"/>
            <w:vAlign w:val="bottom"/>
          </w:tcPr>
          <w:p>
            <w:pPr>
              <w:spacing w:after="0"/>
              <w:rPr>
                <w:sz w:val="14"/>
                <w:szCs w:val="14"/>
                <w:color w:val="auto"/>
              </w:rPr>
            </w:pPr>
          </w:p>
        </w:tc>
        <w:tc>
          <w:tcPr>
            <w:tcW w:w="10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from Affiliates</w:t>
            </w:r>
          </w:p>
        </w:tc>
        <w:tc>
          <w:tcPr>
            <w:tcW w:w="140" w:type="dxa"/>
            <w:vAlign w:val="bottom"/>
          </w:tcPr>
          <w:p>
            <w:pPr>
              <w:spacing w:after="0"/>
              <w:rPr>
                <w:sz w:val="14"/>
                <w:szCs w:val="14"/>
                <w:color w:val="auto"/>
              </w:rPr>
            </w:pPr>
          </w:p>
        </w:tc>
        <w:tc>
          <w:tcPr>
            <w:tcW w:w="76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w w:val="84"/>
              </w:rPr>
              <w:t>Received</w:t>
            </w:r>
          </w:p>
        </w:tc>
        <w:tc>
          <w:tcPr>
            <w:tcW w:w="140" w:type="dxa"/>
            <w:vAlign w:val="bottom"/>
          </w:tcPr>
          <w:p>
            <w:pPr>
              <w:spacing w:after="0"/>
              <w:rPr>
                <w:sz w:val="14"/>
                <w:szCs w:val="14"/>
                <w:color w:val="auto"/>
              </w:rPr>
            </w:pPr>
          </w:p>
        </w:tc>
        <w:tc>
          <w:tcPr>
            <w:tcW w:w="1340" w:type="dxa"/>
            <w:vAlign w:val="bottom"/>
            <w:gridSpan w:val="3"/>
          </w:tcPr>
          <w:p>
            <w:pPr>
              <w:jc w:val="right"/>
              <w:ind w:right="200"/>
              <w:spacing w:after="0" w:line="148" w:lineRule="exact"/>
              <w:rPr>
                <w:sz w:val="20"/>
                <w:szCs w:val="20"/>
                <w:color w:val="auto"/>
              </w:rPr>
            </w:pPr>
            <w:r>
              <w:rPr>
                <w:rFonts w:ascii="Arial" w:cs="Arial" w:eastAsia="Arial" w:hAnsi="Arial"/>
                <w:sz w:val="14"/>
                <w:szCs w:val="14"/>
                <w:b w:val="1"/>
                <w:bCs w:val="1"/>
                <w:color w:val="auto"/>
                <w:w w:val="85"/>
              </w:rPr>
              <w:t>September 30, 2012</w:t>
            </w:r>
          </w:p>
        </w:tc>
        <w:tc>
          <w:tcPr>
            <w:tcW w:w="120" w:type="dxa"/>
            <w:vAlign w:val="bottom"/>
          </w:tcPr>
          <w:p>
            <w:pPr>
              <w:spacing w:after="0"/>
              <w:rPr>
                <w:sz w:val="14"/>
                <w:szCs w:val="14"/>
                <w:color w:val="auto"/>
              </w:rPr>
            </w:pPr>
          </w:p>
        </w:tc>
        <w:tc>
          <w:tcPr>
            <w:tcW w:w="8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8"/>
              </w:rPr>
              <w:t>Capital Loss</w:t>
            </w:r>
          </w:p>
        </w:tc>
        <w:tc>
          <w:tcPr>
            <w:tcW w:w="0" w:type="dxa"/>
            <w:vAlign w:val="bottom"/>
          </w:tcPr>
          <w:p>
            <w:pPr>
              <w:spacing w:after="0"/>
              <w:rPr>
                <w:sz w:val="1"/>
                <w:szCs w:val="1"/>
                <w:color w:val="auto"/>
              </w:rPr>
            </w:pPr>
          </w:p>
        </w:tc>
      </w:tr>
      <w:tr>
        <w:trPr>
          <w:trHeight w:val="190"/>
        </w:trPr>
        <w:tc>
          <w:tcPr>
            <w:tcW w:w="45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Controlled Affiliates</w:t>
            </w: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13,500,001</w:t>
            </w:r>
          </w:p>
        </w:tc>
        <w:tc>
          <w:tcPr>
            <w:tcW w:w="380" w:type="dxa"/>
            <w:vAlign w:val="bottom"/>
            <w:gridSpan w:val="2"/>
          </w:tcPr>
          <w:p>
            <w:pPr>
              <w:ind w:left="30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5,500,000</w:t>
            </w:r>
          </w:p>
        </w:tc>
        <w:tc>
          <w:tcPr>
            <w:tcW w:w="4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3,500,000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w w:val="86"/>
              </w:rPr>
              <w:t>2,078,611</w:t>
            </w:r>
          </w:p>
        </w:tc>
        <w:tc>
          <w:tcPr>
            <w:tcW w:w="28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13,175,000</w:t>
            </w:r>
          </w:p>
        </w:tc>
        <w:tc>
          <w:tcPr>
            <w:tcW w:w="160" w:type="dxa"/>
            <w:vAlign w:val="bottom"/>
          </w:tcPr>
          <w:p>
            <w:pPr>
              <w:spacing w:after="0"/>
              <w:rPr>
                <w:sz w:val="18"/>
                <w:szCs w:val="18"/>
                <w:color w:val="auto"/>
              </w:rPr>
            </w:pPr>
          </w:p>
        </w:tc>
        <w:tc>
          <w:tcPr>
            <w:tcW w:w="320" w:type="dxa"/>
            <w:vAlign w:val="bottom"/>
            <w:gridSpan w:val="2"/>
          </w:tcPr>
          <w:p>
            <w:pPr>
              <w:jc w:val="right"/>
              <w:ind w:right="72"/>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Support Services, Inc.</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24,173,984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line="217" w:lineRule="exact"/>
              <w:rPr>
                <w:sz w:val="20"/>
                <w:szCs w:val="20"/>
                <w:color w:val="auto"/>
              </w:rPr>
            </w:pPr>
            <w:r>
              <w:rPr>
                <w:rFonts w:ascii="Arial" w:cs="Arial" w:eastAsia="Arial" w:hAnsi="Arial"/>
                <w:sz w:val="14"/>
                <w:szCs w:val="14"/>
                <w:color w:val="auto"/>
              </w:rPr>
              <w:t>24,456,708</w:t>
            </w:r>
            <w:r>
              <w:rPr>
                <w:rFonts w:ascii="Arial" w:cs="Arial" w:eastAsia="Arial" w:hAnsi="Arial"/>
                <w:sz w:val="22"/>
                <w:szCs w:val="22"/>
                <w:color w:val="auto"/>
                <w:vertAlign w:val="superscript"/>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Non-Controlled Affiliates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Inc.</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25,740,212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6,815,433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13,657,543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366,936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18,425,519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91"/>
              </w:rPr>
              <w:t>(11,007)</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14,932,921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863,771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18,028,080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Champ, Inc.</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27,660,000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758,333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44,501,658</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78,347,118</w:t>
            </w:r>
          </w:p>
        </w:tc>
        <w:tc>
          <w:tcPr>
            <w:tcW w:w="380" w:type="dxa"/>
            <w:vAlign w:val="bottom"/>
            <w:gridSpan w:val="2"/>
          </w:tcPr>
          <w:p>
            <w:pPr>
              <w:ind w:left="30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39,975,433</w:t>
            </w:r>
          </w:p>
        </w:tc>
        <w:tc>
          <w:tcPr>
            <w:tcW w:w="4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17,157,543</w:t>
            </w:r>
          </w:p>
        </w:tc>
        <w:tc>
          <w:tcPr>
            <w:tcW w:w="2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86"/>
              </w:rPr>
              <w:t>4,067,651</w:t>
            </w:r>
          </w:p>
        </w:tc>
        <w:tc>
          <w:tcPr>
            <w:tcW w:w="140" w:type="dxa"/>
            <w:vAlign w:val="bottom"/>
          </w:tcPr>
          <w:p>
            <w:pPr>
              <w:spacing w:after="0"/>
              <w:rPr>
                <w:sz w:val="18"/>
                <w:szCs w:val="18"/>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118,586,965</w:t>
            </w:r>
          </w:p>
        </w:tc>
        <w:tc>
          <w:tcPr>
            <w:tcW w:w="160" w:type="dxa"/>
            <w:vAlign w:val="bottom"/>
          </w:tcPr>
          <w:p>
            <w:pPr>
              <w:spacing w:after="0"/>
              <w:rPr>
                <w:sz w:val="18"/>
                <w:szCs w:val="18"/>
                <w:color w:val="auto"/>
              </w:rPr>
            </w:pPr>
          </w:p>
        </w:tc>
        <w:tc>
          <w:tcPr>
            <w:tcW w:w="320" w:type="dxa"/>
            <w:vAlign w:val="bottom"/>
            <w:gridSpan w:val="2"/>
          </w:tcPr>
          <w:p>
            <w:pPr>
              <w:jc w:val="right"/>
              <w:ind w:right="72"/>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160"/>
              <w:spacing w:after="0"/>
              <w:rPr>
                <w:sz w:val="20"/>
                <w:szCs w:val="20"/>
                <w:color w:val="auto"/>
              </w:rPr>
            </w:pPr>
            <w:r>
              <w:rPr>
                <w:rFonts w:ascii="Arial" w:cs="Arial" w:eastAsia="Arial" w:hAnsi="Arial"/>
                <w:sz w:val="14"/>
                <w:szCs w:val="14"/>
                <w:color w:val="auto"/>
                <w:w w:val="91"/>
              </w:rPr>
              <w:t>(11,007)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Became a controlled affiliate on September 30,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5"/>
              </w:rPr>
              <w:t>Class and Year</w:t>
            </w:r>
          </w:p>
        </w:tc>
        <w:tc>
          <w:tcPr>
            <w:tcW w:w="5580" w:type="dxa"/>
            <w:vAlign w:val="bottom"/>
            <w:vMerge w:val="restart"/>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9"/>
              </w:rPr>
              <w:t>Years ended September 30,</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80" w:type="dxa"/>
            <w:vAlign w:val="bottom"/>
            <w:tcBorders>
              <w:bottom w:val="single" w:sz="8" w:color="auto"/>
            </w:tcBorders>
            <w:vMerge w:val="continue"/>
          </w:tcPr>
          <w:p>
            <w:pPr>
              <w:spacing w:after="0"/>
              <w:rPr>
                <w:sz w:val="12"/>
                <w:szCs w:val="12"/>
                <w:color w:val="auto"/>
              </w:rPr>
            </w:pPr>
          </w:p>
        </w:tc>
        <w:tc>
          <w:tcPr>
            <w:tcW w:w="55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57"/>
              <w:spacing w:after="0" w:line="129"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57"/>
              <w:spacing w:after="0" w:line="129"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257"/>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10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63,353,100</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10,263,474</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16,535,491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52,969,278</w:t>
            </w:r>
            <w:r>
              <w:rPr>
                <w:rFonts w:ascii="Arial" w:cs="Arial" w:eastAsia="Arial" w:hAnsi="Arial"/>
                <w:sz w:val="11"/>
                <w:szCs w:val="11"/>
                <w:color w:val="auto"/>
                <w:w w:val="88"/>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42,196,076</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29,546,772</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in net assets per share resulting from operations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The denominator for diluted weighted average shares was 52,975,015 shares.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Dividends from net investment income and net realized capital gains are determined in accordance with U.S. federal tax regulations, which may differ materially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2012, 2011 and 2010: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Borders>
              <w:bottom w:val="single" w:sz="8" w:color="CCEEFF"/>
            </w:tcBorders>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paid-in capital</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276,902</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$(228,824)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(98,294)</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Decrease in accumulated net realized loss</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2,176,918</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undistributed net investment income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(2,453,820)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$ 228,824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98,294</w:t>
            </w:r>
          </w:p>
        </w:tc>
        <w:tc>
          <w:tcPr>
            <w:tcW w:w="100" w:type="dxa"/>
            <w:vAlign w:val="bottom"/>
            <w:shd w:val="clear" w:color="auto" w:fill="CCEEFF"/>
          </w:tcPr>
          <w:p>
            <w:pPr>
              <w:spacing w:after="0"/>
              <w:rPr>
                <w:sz w:val="18"/>
                <w:szCs w:val="18"/>
                <w:color w:val="auto"/>
              </w:rPr>
            </w:pPr>
          </w:p>
        </w:tc>
      </w:tr>
      <w:tr>
        <w:trPr>
          <w:trHeight w:val="363"/>
        </w:trPr>
        <w:tc>
          <w:tcPr>
            <w:tcW w:w="4860" w:type="dxa"/>
            <w:vAlign w:val="bottom"/>
          </w:tcPr>
          <w:p>
            <w:pPr>
              <w:spacing w:after="0"/>
              <w:rPr>
                <w:sz w:val="24"/>
                <w:szCs w:val="24"/>
                <w:color w:val="auto"/>
              </w:rPr>
            </w:pPr>
          </w:p>
        </w:tc>
        <w:tc>
          <w:tcPr>
            <w:tcW w:w="3460" w:type="dxa"/>
            <w:vAlign w:val="bottom"/>
            <w:gridSpan w:val="2"/>
          </w:tcPr>
          <w:p>
            <w:pPr>
              <w:jc w:val="right"/>
              <w:ind w:right="2363"/>
              <w:spacing w:after="0"/>
              <w:rPr>
                <w:sz w:val="20"/>
                <w:szCs w:val="20"/>
                <w:color w:val="auto"/>
              </w:rPr>
            </w:pPr>
            <w:r>
              <w:rPr>
                <w:rFonts w:ascii="Arial" w:cs="Arial" w:eastAsia="Arial" w:hAnsi="Arial"/>
                <w:sz w:val="18"/>
                <w:szCs w:val="18"/>
                <w:color w:val="auto"/>
              </w:rPr>
              <w:t>S-75</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September 30, 2012 and 2011, the cost of investments for federal income tax purposes was $1,006.8 million and $865.8 million, respectively, resulting in a gross unrealized appreciation of $59.9 million and $31.3 million, respectively, and gross unrealized depreciation of $76.3 million and $69.6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6"/>
              </w:rPr>
              <w:t>Years ended September 30,</w:t>
            </w: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980" w:type="dxa"/>
            <w:vAlign w:val="bottom"/>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$ 63,353,100</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10,263,474</w:t>
            </w:r>
          </w:p>
        </w:tc>
        <w:tc>
          <w:tcPr>
            <w:tcW w:w="3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$ 16,535,491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realized loss (gain) on investments not taxable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12,798,035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(16,259,622)</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15,417,097</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 and Credit Facility</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(19,081,794)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58,641,223</w:t>
            </w:r>
          </w:p>
        </w:tc>
        <w:tc>
          <w:tcPr>
            <w:tcW w:w="3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122,029</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Other temporary book-to-tax differences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2,444,817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(3,178,194)</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(321,805)</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87"/>
              </w:rPr>
              <w:t>$ 59,822,148</w:t>
            </w:r>
          </w:p>
        </w:tc>
        <w:tc>
          <w:tcPr>
            <w:tcW w:w="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49,695,705</w:t>
            </w:r>
          </w:p>
        </w:tc>
        <w:tc>
          <w:tcPr>
            <w:tcW w:w="3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$ 31,752,812</w:t>
            </w: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losses on book basis and reconciliation to accumulated losses on a tax basis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6"/>
              </w:rPr>
              <w:t>As of September 30,</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Undistributed ordinary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6"/>
              </w:rPr>
              <w:t>18,634,553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17,639,482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11,451,782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Undistributed long-term net capital gains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undistributed taxable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86"/>
              </w:rPr>
              <w:t>18,634,553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17,639,482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11,451,782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1"/>
                <w:szCs w:val="11"/>
                <w:color w:val="auto"/>
              </w:rPr>
              <w:t>(1)(3)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(56,786,282)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(47,030,821)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(54,591,911)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Post-October capital losses</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(8,645,354)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Dividends payable and other temporary differences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(21,086,425)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(12,477,778)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(9,651,137)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(15,815,138)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(36,122,397)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19,300,499</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color w:val="auto"/>
              </w:rPr>
              <w:t>Total accumulated deficit</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3"/>
            <w:vMerge w:val="continue"/>
          </w:tcPr>
          <w:p>
            <w:pPr>
              <w:spacing w:after="0"/>
              <w:rPr>
                <w:sz w:val="19"/>
                <w:szCs w:val="19"/>
                <w:color w:val="auto"/>
              </w:rPr>
            </w:pP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(75,053,292)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(77,991,514)</w:t>
            </w:r>
          </w:p>
        </w:tc>
        <w:tc>
          <w:tcPr>
            <w:tcW w:w="3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(42,136,121)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September 30, 2012, the capital loss carry forward of $56.8 million expires, if not utilized against future capital gains, as follows: $1.5 million in 2017, $43.3 million in 2018 and $12.0 million has no expiration date.</w:t>
      </w: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Under federal tax law, capital losses realized after October 31 may be deferred and treated as having arisen on the first day of the following fiscal year.</w:t>
      </w:r>
    </w:p>
    <w:p>
      <w:pPr>
        <w:spacing w:after="0" w:line="32" w:lineRule="exact"/>
        <w:rPr>
          <w:rFonts w:ascii="Arial" w:cs="Arial" w:eastAsia="Arial" w:hAnsi="Arial"/>
          <w:sz w:val="16"/>
          <w:szCs w:val="16"/>
          <w:color w:val="auto"/>
        </w:rPr>
      </w:pPr>
    </w:p>
    <w:p>
      <w:pPr>
        <w:ind w:left="460" w:right="140" w:hanging="452"/>
        <w:spacing w:after="0" w:line="323"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9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tax characteristics of dividends during the fiscal years ended September 30, 2012 and 2011 were solely from ordinary income and totaled $60.1 million, or $1.13 per share, and $46.3 million, or $1.10 per share,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represents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its total assets at quarter end. We may accomplish this in several ways, including purchasing U.S. Treasury Bills and closing out its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2012 and 2011 cash equivalents consisted of $7.6 million and $71.6 million, respectively, including amounts in money market funds.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 for the respective years then ended September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year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10.13</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10.69</w:t>
            </w:r>
          </w:p>
        </w:tc>
        <w:tc>
          <w:tcPr>
            <w:tcW w:w="30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11.85</w:t>
            </w:r>
          </w:p>
        </w:tc>
        <w:tc>
          <w:tcPr>
            <w:tcW w:w="28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10.00</w:t>
            </w: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Cumulative effect of adoption of fair value option</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1.99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Adjusted net asset value, beginning of year</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10.13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10.69</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11.85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11.99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12.83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1.08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1"/>
                <w:szCs w:val="11"/>
                <w:color w:val="auto"/>
              </w:rPr>
              <w:t>Net realized and unrealized gain (loss)</w:t>
            </w:r>
            <w:r>
              <w:rPr>
                <w:rFonts w:ascii="Arial" w:cs="Arial" w:eastAsia="Arial" w:hAnsi="Arial"/>
                <w:sz w:val="17"/>
                <w:szCs w:val="17"/>
                <w:color w:val="auto"/>
                <w:vertAlign w:val="superscript"/>
              </w:rPr>
              <w:t>(2)</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0.62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increase (decrease) in net assets resulting from operations </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0.56</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1.70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1"/>
                <w:szCs w:val="11"/>
                <w:color w:val="auto"/>
              </w:rPr>
              <w:t>Distributions to stockholders</w:t>
            </w:r>
            <w:r>
              <w:rPr>
                <w:rFonts w:ascii="Arial" w:cs="Arial" w:eastAsia="Arial" w:hAnsi="Arial"/>
                <w:sz w:val="17"/>
                <w:szCs w:val="17"/>
                <w:color w:val="auto"/>
                <w:vertAlign w:val="superscript"/>
              </w:rPr>
              <w:t>(2),(3)</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(0.96)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Offering costs</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(0.15)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(0.14)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(0.09)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1"/>
                <w:szCs w:val="11"/>
                <w:color w:val="auto"/>
              </w:rPr>
              <w:t>Accretive (Dilutive) effect of common stock issuance</w:t>
            </w:r>
            <w:r>
              <w:rPr>
                <w:rFonts w:ascii="Arial" w:cs="Arial" w:eastAsia="Arial" w:hAnsi="Arial"/>
                <w:sz w:val="17"/>
                <w:szCs w:val="17"/>
                <w:color w:val="auto"/>
                <w:vertAlign w:val="superscript"/>
              </w:rPr>
              <w:t>(2)</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0.17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0.44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(0.79)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10.22</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w:t>
            </w:r>
          </w:p>
        </w:tc>
        <w:tc>
          <w:tcPr>
            <w:tcW w:w="3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10.69</w:t>
            </w:r>
          </w:p>
        </w:tc>
        <w:tc>
          <w:tcPr>
            <w:tcW w:w="2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11.85</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Per share market value, end of year</w:t>
            </w: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10.61</w:t>
            </w:r>
          </w:p>
        </w:tc>
        <w:tc>
          <w:tcPr>
            <w:tcW w:w="2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8.92</w:t>
            </w:r>
          </w:p>
        </w:tc>
        <w:tc>
          <w:tcPr>
            <w:tcW w:w="300" w:type="dxa"/>
            <w:vAlign w:val="bottom"/>
          </w:tcPr>
          <w:p>
            <w:pPr>
              <w:spacing w:after="0"/>
              <w:rPr>
                <w:sz w:val="13"/>
                <w:szCs w:val="13"/>
                <w:color w:val="auto"/>
              </w:rPr>
            </w:pPr>
          </w:p>
        </w:tc>
        <w:tc>
          <w:tcPr>
            <w:tcW w:w="2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10.61</w:t>
            </w:r>
          </w:p>
        </w:tc>
        <w:tc>
          <w:tcPr>
            <w:tcW w:w="280" w:type="dxa"/>
            <w:vAlign w:val="bottom"/>
          </w:tcPr>
          <w:p>
            <w:pPr>
              <w:spacing w:after="0"/>
              <w:rPr>
                <w:sz w:val="13"/>
                <w:szCs w:val="13"/>
                <w:color w:val="auto"/>
              </w:rPr>
            </w:pPr>
          </w:p>
        </w:tc>
        <w:tc>
          <w:tcPr>
            <w:tcW w:w="2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8.11</w:t>
            </w:r>
          </w:p>
        </w:tc>
        <w:tc>
          <w:tcPr>
            <w:tcW w:w="3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Total return</w:t>
            </w:r>
            <w:r>
              <w:rPr>
                <w:rFonts w:ascii="Arial" w:cs="Arial" w:eastAsia="Arial" w:hAnsi="Arial"/>
                <w:sz w:val="17"/>
                <w:szCs w:val="17"/>
                <w:color w:val="auto"/>
                <w:vertAlign w:val="superscript"/>
              </w:rPr>
              <w:t>(4)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28.71%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30.39%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year</w:t>
            </w:r>
          </w:p>
        </w:tc>
        <w:tc>
          <w:tcPr>
            <w:tcW w:w="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4"/>
              </w:rPr>
              <w:t>65,514,503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45,689,781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36,158,772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6"/>
              </w:rPr>
              <w:t>25,368,772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21,068,772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 / Supplemental Data:</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1"/>
                <w:szCs w:val="11"/>
                <w:color w:val="auto"/>
              </w:rPr>
              <w:t>Ratio of operating expenses to average net assets</w:t>
            </w:r>
            <w:r>
              <w:rPr>
                <w:rFonts w:ascii="Arial" w:cs="Arial" w:eastAsia="Arial" w:hAnsi="Arial"/>
                <w:sz w:val="17"/>
                <w:szCs w:val="17"/>
                <w:color w:val="auto"/>
                <w:vertAlign w:val="superscript"/>
              </w:rPr>
              <w:t>(5)</w:t>
            </w: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7.42%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Ratio of Credit Facility related expenses to average net assets</w:t>
            </w:r>
            <w:r>
              <w:rPr>
                <w:rFonts w:ascii="Arial" w:cs="Arial" w:eastAsia="Arial" w:hAnsi="Arial"/>
                <w:sz w:val="17"/>
                <w:szCs w:val="17"/>
                <w:color w:val="auto"/>
                <w:vertAlign w:val="superscript"/>
              </w:rPr>
              <w:t>(7)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1"/>
                <w:szCs w:val="11"/>
                <w:color w:val="auto"/>
              </w:rPr>
              <w:t>Ratio of total expenses to average net assets</w:t>
            </w:r>
            <w:r>
              <w:rPr>
                <w:rFonts w:ascii="Arial" w:cs="Arial" w:eastAsia="Arial" w:hAnsi="Arial"/>
                <w:sz w:val="17"/>
                <w:szCs w:val="17"/>
                <w:color w:val="auto"/>
                <w:vertAlign w:val="superscript"/>
              </w:rPr>
              <w:t>(6),(7)</w:t>
            </w: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9.35%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9.49%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1"/>
                <w:szCs w:val="11"/>
                <w:color w:val="auto"/>
              </w:rPr>
              <w:t>Net assets at end of year</w:t>
            </w:r>
            <w:r>
              <w:rPr>
                <w:rFonts w:ascii="Arial" w:cs="Arial" w:eastAsia="Arial" w:hAnsi="Arial"/>
                <w:sz w:val="17"/>
                <w:szCs w:val="17"/>
                <w:color w:val="auto"/>
                <w:vertAlign w:val="superscript"/>
              </w:rPr>
              <w:t>(7)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4"/>
              </w:rPr>
              <w:t>669,717,047</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84"/>
              </w:rPr>
              <w:t>462,657,196</w:t>
            </w:r>
          </w:p>
        </w:tc>
        <w:tc>
          <w:tcPr>
            <w:tcW w:w="30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84"/>
              </w:rPr>
              <w:t>386,575,223</w:t>
            </w:r>
          </w:p>
        </w:tc>
        <w:tc>
          <w:tcPr>
            <w:tcW w:w="28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7"/>
              </w:rPr>
              <w:t>300,580,268</w:t>
            </w: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7"/>
              </w:rPr>
              <w:t>210,728,260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Weighted average debt outstanding</w:t>
            </w:r>
            <w:r>
              <w:rPr>
                <w:rFonts w:ascii="Arial" w:cs="Arial" w:eastAsia="Arial" w:hAnsi="Arial"/>
                <w:sz w:val="17"/>
                <w:szCs w:val="17"/>
                <w:color w:val="auto"/>
                <w:vertAlign w:val="superscript"/>
              </w:rPr>
              <w:t>(7)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4"/>
              </w:rPr>
              <w:t>340,868,033</w:t>
            </w: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278,294,433</w:t>
            </w:r>
          </w:p>
        </w:tc>
        <w:tc>
          <w:tcPr>
            <w:tcW w:w="3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246,216,548</w:t>
            </w:r>
          </w:p>
        </w:tc>
        <w:tc>
          <w:tcPr>
            <w:tcW w:w="2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87"/>
              </w:rPr>
              <w:t>182,490,685</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7"/>
              </w:rPr>
              <w:t>119,472,732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1"/>
                <w:szCs w:val="11"/>
                <w:color w:val="auto"/>
              </w:rPr>
              <w:t>Weighted average debt per share</w:t>
            </w:r>
            <w:r>
              <w:rPr>
                <w:rFonts w:ascii="Arial" w:cs="Arial" w:eastAsia="Arial" w:hAnsi="Arial"/>
                <w:sz w:val="17"/>
                <w:szCs w:val="17"/>
                <w:color w:val="auto"/>
                <w:vertAlign w:val="superscript"/>
              </w:rPr>
              <w:t>(7)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6.44</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6.60</w:t>
            </w:r>
          </w:p>
        </w:tc>
        <w:tc>
          <w:tcPr>
            <w:tcW w:w="300" w:type="dxa"/>
            <w:vAlign w:val="bottom"/>
          </w:tcPr>
          <w:p>
            <w:pPr>
              <w:spacing w:after="0"/>
              <w:rPr>
                <w:sz w:val="12"/>
                <w:szCs w:val="12"/>
                <w:color w:val="auto"/>
              </w:rPr>
            </w:pPr>
          </w:p>
        </w:tc>
        <w:tc>
          <w:tcPr>
            <w:tcW w:w="2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8.33</w:t>
            </w:r>
          </w:p>
        </w:tc>
        <w:tc>
          <w:tcPr>
            <w:tcW w:w="280" w:type="dxa"/>
            <w:vAlign w:val="bottom"/>
          </w:tcPr>
          <w:p>
            <w:pPr>
              <w:spacing w:after="0"/>
              <w:rPr>
                <w:sz w:val="12"/>
                <w:szCs w:val="12"/>
                <w:color w:val="auto"/>
              </w:rPr>
            </w:pP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8.65</w:t>
            </w: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40.89%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25.97%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7.47%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480" w:hanging="332"/>
        <w:spacing w:after="0" w:line="230"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 October 1, 2008, PennantPark Investment adopted ASC 825 and made an irrevocable election to apply the fair value option to our long-term Credit Facility. Upon our adoption Net Asset Value increased $41.8 million, or $1.99 per share, due to the fair value adjustment related to our Credit Facility.</w:t>
      </w:r>
    </w:p>
    <w:p>
      <w:pPr>
        <w:ind w:left="340" w:hanging="332"/>
        <w:spacing w:after="0" w:line="22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Calculated based on the weighted average shares outstanding for the respective periods.</w:t>
      </w:r>
    </w:p>
    <w:p>
      <w:pPr>
        <w:ind w:left="340" w:hanging="332"/>
        <w:spacing w:after="0" w:line="22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and may differ from amounts determined under GAAP.</w:t>
      </w:r>
    </w:p>
    <w:p>
      <w:pPr>
        <w:ind w:left="340" w:hanging="332"/>
        <w:spacing w:after="0"/>
        <w:tabs>
          <w:tab w:leader="none" w:pos="3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Based on the change in market price per share during the periods and takes into account dividends and distributions, if any, reinvested in accordance with our dividend reinvestment plan.</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Before adoption of ASC 825 for the fiscal years ended September 30, 2012, 2011, 2010, 2009 and 2008, the ratios were 7.11%, 7.38%, 7.95%, 9.32% and 6.47%, respectively.</w:t>
      </w:r>
    </w:p>
    <w:p>
      <w:pPr>
        <w:ind w:left="340" w:hanging="332"/>
        <w:spacing w:after="0" w:line="221"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Before adoption of ASC 825 for the fiscal years ended September 30, 2012, 2011, 2010, 2009 and 2008, the ratios were 10.20%, 8.55%, 9.15%, (1.75%) and 9.13%, respectively.</w:t>
      </w: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Includes the SBA debentures outstanding.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S-77</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2012</w:t>
      </w:r>
    </w:p>
    <w:p>
      <w:pPr>
        <w:spacing w:after="0" w:line="145" w:lineRule="exact"/>
        <w:rPr>
          <w:sz w:val="20"/>
          <w:szCs w:val="20"/>
          <w:color w:val="auto"/>
        </w:rPr>
      </w:pPr>
    </w:p>
    <w:p>
      <w:pPr>
        <w:ind w:left="460" w:right="7500" w:hanging="452"/>
        <w:spacing w:after="0" w:line="391" w:lineRule="auto"/>
        <w:tabs>
          <w:tab w:leader="none" w:pos="257"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CREDIT FACILITY AND SBA DEBENTURES Credit Facility</w:t>
      </w:r>
    </w:p>
    <w:p>
      <w:pPr>
        <w:spacing w:after="0" w:line="1" w:lineRule="exact"/>
        <w:rPr>
          <w:sz w:val="20"/>
          <w:szCs w:val="20"/>
          <w:color w:val="auto"/>
        </w:rPr>
      </w:pPr>
    </w:p>
    <w:p>
      <w:pPr>
        <w:ind w:right="260" w:firstLine="456"/>
        <w:spacing w:after="0" w:line="283" w:lineRule="auto"/>
        <w:rPr>
          <w:sz w:val="20"/>
          <w:szCs w:val="20"/>
          <w:color w:val="auto"/>
        </w:rPr>
      </w:pPr>
      <w:r>
        <w:rPr>
          <w:rFonts w:ascii="Arial" w:cs="Arial" w:eastAsia="Arial" w:hAnsi="Arial"/>
          <w:sz w:val="16"/>
          <w:szCs w:val="16"/>
          <w:color w:val="auto"/>
        </w:rPr>
        <w:t>On February 21, 2012, we amended and restated our multi-currency Credit Facility, which increased the size of the Credit Facility to $380 million, with certain lenders and SunTrust Bank, acting as administrative agent and JPMorgan Chase Bank, N.A., as syndication agent for the lenders. As of September 30, 2012 and September 30, 2011, there was $145.0 million (including a temporary draw of $35.5 million) and $240.9 million, respectively, in outstanding borrowings under the Credit Facility, with a weighted average interest rate at the time of 3.49% and 1.27%, exclusive of the fee on undrawn commitments of</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0.50% and 0.20%, respectively. The Credit Facility is a four-year revolving facility, with a stated maturity date of February 21, 2016, with a one-year term-out period following its third year and pricing is set at 275 basis points over LIBOR. The Credit Facility is secured by substantially all of the assets of the Company excluding assets held by our SBIC.</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our asset coverage ratio is met after such borrowing. As of September 30, 2012, we excluded the principal amounts of our SBA debentures, from our asset coverage ratio pursuant to an SEC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exemptive relief, received in June 2011, resulting in an asset coverage ratio of 564%. As a result of this exemptive relief, our asset coverage ratio of total assets on a consolidated basis, including the principal amount of our SBA debentures, to outstanding indebtedness may be less than 200%, which while providing increased investment flexibility, also increases our exposure to risks associated with leverage.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SBA Debentures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September 30, 2012.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 SBIC LP has accessed the maximum borrowing with its $75.0 million in regulatory capital.</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of September 30, 2012, $150.0 million in debt commitments were fully drawn with a weighted average interest rate of 3.70% exclusive of the 3.43% in upfront fees which are amortized over the life of the loan (4.04% after upfront fees). Our fixed rate SBA debentures as of September 30, 2012 are as follows:</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2"/>
              </w:rPr>
              <w:t>Issuance Dates</w:t>
            </w:r>
          </w:p>
        </w:tc>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Fixed All-in</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2660" w:type="dxa"/>
            <w:vAlign w:val="bottom"/>
          </w:tcPr>
          <w:p>
            <w:pPr>
              <w:spacing w:after="0"/>
              <w:rPr>
                <w:sz w:val="12"/>
                <w:szCs w:val="12"/>
                <w:color w:val="auto"/>
              </w:rPr>
            </w:pPr>
          </w:p>
        </w:tc>
        <w:tc>
          <w:tcPr>
            <w:tcW w:w="2120" w:type="dxa"/>
            <w:vAlign w:val="bottom"/>
            <w:gridSpan w:val="2"/>
          </w:tcPr>
          <w:p>
            <w:pPr>
              <w:ind w:left="400"/>
              <w:spacing w:after="0" w:line="148" w:lineRule="exact"/>
              <w:rPr>
                <w:sz w:val="20"/>
                <w:szCs w:val="20"/>
                <w:color w:val="auto"/>
              </w:rPr>
            </w:pPr>
            <w:r>
              <w:rPr>
                <w:rFonts w:ascii="Arial" w:cs="Arial" w:eastAsia="Arial" w:hAnsi="Arial"/>
                <w:sz w:val="14"/>
                <w:szCs w:val="14"/>
                <w:b w:val="1"/>
                <w:bCs w:val="1"/>
                <w:color w:val="auto"/>
              </w:rPr>
              <w:t>Maturity</w:t>
            </w:r>
          </w:p>
        </w:tc>
        <w:tc>
          <w:tcPr>
            <w:tcW w:w="14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Coupon Rate(1)</w:t>
            </w:r>
          </w:p>
        </w:tc>
        <w:tc>
          <w:tcPr>
            <w:tcW w:w="380" w:type="dxa"/>
            <w:vAlign w:val="bottom"/>
          </w:tcPr>
          <w:p>
            <w:pPr>
              <w:spacing w:after="0"/>
              <w:rPr>
                <w:sz w:val="12"/>
                <w:szCs w:val="12"/>
                <w:color w:val="auto"/>
              </w:rPr>
            </w:pPr>
          </w:p>
        </w:tc>
        <w:tc>
          <w:tcPr>
            <w:tcW w:w="11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20"/>
        </w:trPr>
        <w:tc>
          <w:tcPr>
            <w:tcW w:w="27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266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60" w:type="dxa"/>
            <w:vAlign w:val="bottom"/>
            <w:gridSpan w:val="2"/>
            <w:vMerge w:val="continue"/>
            <w:shd w:val="clear" w:color="auto" w:fill="CCEEFF"/>
          </w:tcPr>
          <w:p>
            <w:pPr>
              <w:spacing w:after="0"/>
              <w:rPr>
                <w:sz w:val="17"/>
                <w:szCs w:val="17"/>
                <w:color w:val="auto"/>
              </w:rPr>
            </w:pPr>
          </w:p>
        </w:tc>
        <w:tc>
          <w:tcPr>
            <w:tcW w:w="2660" w:type="dxa"/>
            <w:vAlign w:val="bottom"/>
            <w:vMerge w:val="continue"/>
            <w:shd w:val="clear" w:color="auto" w:fill="CCEEFF"/>
          </w:tcPr>
          <w:p>
            <w:pPr>
              <w:spacing w:after="0"/>
              <w:rPr>
                <w:sz w:val="17"/>
                <w:szCs w:val="17"/>
                <w:color w:val="auto"/>
              </w:rPr>
            </w:pPr>
          </w:p>
        </w:tc>
        <w:tc>
          <w:tcPr>
            <w:tcW w:w="1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4"/>
              </w:rPr>
              <w:t>September 1, 2020</w:t>
            </w:r>
          </w:p>
        </w:tc>
        <w:tc>
          <w:tcPr>
            <w:tcW w:w="800" w:type="dxa"/>
            <w:vAlign w:val="bottom"/>
            <w:vMerge w:val="continue"/>
            <w:shd w:val="clear" w:color="auto" w:fill="CCEEFF"/>
          </w:tcPr>
          <w:p>
            <w:pPr>
              <w:spacing w:after="0"/>
              <w:rPr>
                <w:sz w:val="17"/>
                <w:szCs w:val="17"/>
                <w:color w:val="auto"/>
              </w:rPr>
            </w:pPr>
          </w:p>
        </w:tc>
        <w:tc>
          <w:tcPr>
            <w:tcW w:w="1460" w:type="dxa"/>
            <w:vAlign w:val="bottom"/>
            <w:gridSpan w:val="2"/>
            <w:shd w:val="clear" w:color="auto" w:fill="CCEEFF"/>
          </w:tcPr>
          <w:p>
            <w:pPr>
              <w:ind w:left="620"/>
              <w:spacing w:after="0" w:line="203" w:lineRule="exact"/>
              <w:rPr>
                <w:sz w:val="20"/>
                <w:szCs w:val="20"/>
                <w:color w:val="auto"/>
              </w:rPr>
            </w:pPr>
            <w:r>
              <w:rPr>
                <w:rFonts w:ascii="Arial" w:cs="Arial" w:eastAsia="Arial" w:hAnsi="Arial"/>
                <w:sz w:val="18"/>
                <w:szCs w:val="18"/>
                <w:color w:val="auto"/>
              </w:rPr>
              <w:t>3.50%</w:t>
            </w:r>
          </w:p>
        </w:tc>
        <w:tc>
          <w:tcPr>
            <w:tcW w:w="3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4780" w:type="dxa"/>
            <w:vAlign w:val="bottom"/>
            <w:gridSpan w:val="3"/>
          </w:tcPr>
          <w:p>
            <w:pPr>
              <w:ind w:left="2660"/>
              <w:spacing w:after="0"/>
              <w:rPr>
                <w:sz w:val="20"/>
                <w:szCs w:val="20"/>
                <w:color w:val="auto"/>
              </w:rPr>
            </w:pPr>
            <w:r>
              <w:rPr>
                <w:rFonts w:ascii="Arial" w:cs="Arial" w:eastAsia="Arial" w:hAnsi="Arial"/>
                <w:sz w:val="18"/>
                <w:szCs w:val="18"/>
                <w:color w:val="auto"/>
              </w:rPr>
              <w:t>March 1, 2021</w:t>
            </w:r>
          </w:p>
        </w:tc>
        <w:tc>
          <w:tcPr>
            <w:tcW w:w="1460" w:type="dxa"/>
            <w:vAlign w:val="bottom"/>
            <w:gridSpan w:val="2"/>
          </w:tcPr>
          <w:p>
            <w:pPr>
              <w:ind w:left="620"/>
              <w:spacing w:after="0"/>
              <w:rPr>
                <w:sz w:val="20"/>
                <w:szCs w:val="20"/>
                <w:color w:val="auto"/>
              </w:rPr>
            </w:pPr>
            <w:r>
              <w:rPr>
                <w:rFonts w:ascii="Arial" w:cs="Arial" w:eastAsia="Arial" w:hAnsi="Arial"/>
                <w:sz w:val="18"/>
                <w:szCs w:val="18"/>
                <w:color w:val="auto"/>
              </w:rPr>
              <w:t>4.46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44,500,000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4780" w:type="dxa"/>
            <w:vAlign w:val="bottom"/>
            <w:gridSpan w:val="3"/>
            <w:shd w:val="clear" w:color="auto" w:fill="CCEEFF"/>
          </w:tcPr>
          <w:p>
            <w:pPr>
              <w:ind w:left="2660"/>
              <w:spacing w:after="0"/>
              <w:rPr>
                <w:sz w:val="20"/>
                <w:szCs w:val="20"/>
                <w:color w:val="auto"/>
              </w:rPr>
            </w:pPr>
            <w:r>
              <w:rPr>
                <w:rFonts w:ascii="Arial" w:cs="Arial" w:eastAsia="Arial" w:hAnsi="Arial"/>
                <w:sz w:val="18"/>
                <w:szCs w:val="18"/>
                <w:color w:val="auto"/>
              </w:rPr>
              <w:t>September 1, 2021</w:t>
            </w:r>
          </w:p>
        </w:tc>
        <w:tc>
          <w:tcPr>
            <w:tcW w:w="9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85"/>
              </w:rPr>
              <w:t>3.38</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Weighted average rate/total</w:t>
            </w:r>
          </w:p>
        </w:tc>
        <w:tc>
          <w:tcPr>
            <w:tcW w:w="2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gridSpan w:val="2"/>
          </w:tcPr>
          <w:p>
            <w:pPr>
              <w:ind w:left="620"/>
              <w:spacing w:after="0"/>
              <w:rPr>
                <w:sz w:val="20"/>
                <w:szCs w:val="20"/>
                <w:color w:val="auto"/>
              </w:rPr>
            </w:pPr>
            <w:r>
              <w:rPr>
                <w:rFonts w:ascii="Arial" w:cs="Arial" w:eastAsia="Arial" w:hAnsi="Arial"/>
                <w:sz w:val="18"/>
                <w:szCs w:val="18"/>
                <w:color w:val="auto"/>
              </w:rPr>
              <w:t>3.70%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Excluding 3.43% of upfront fees.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its financial statements that are prepared on a basis of accounting other than GAAP (for example, fair value, as defined under ASC 820, is not required to be used for assets or liabilities for such compliance reporting).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SBIC LP is wholly owned by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500" w:right="264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October 25, 2012, we sold an additional 700,000 shares of common stock at a public offering price of $10.82 per share, generating gross proceeds of $7.6 million and net proceeds of $7.3 million after underwriting discounts and offering expenses payable by us, from the underwriters’ partial exercise of the option to purchase additional shares we granted to them in connection with the offering that closed on September 28, 2012.</w:t>
      </w:r>
    </w:p>
    <w:p>
      <w:pPr>
        <w:spacing w:after="0" w:line="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S-80</w:t>
      </w:r>
    </w:p>
    <w:p>
      <w:pPr>
        <w:sectPr>
          <w:pgSz w:w="11900" w:h="16838" w:orient="portrait"/>
          <w:cols w:equalWidth="0" w:num="1">
            <w:col w:w="11160"/>
          </w:cols>
          <w:pgMar w:left="24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consent to the use of our reports dated November 14, 2012 with respect to the consolidated financial statements and the effectiveness of internal control over financial reporting for PennantPark Investment Corporation and subsidiaries included herein and to the references to our firm under the headings “Selected Financial Data”, and “Senior Securities” in the Registration Statement on Form 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0090" cy="205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14,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S-81</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DATED JANUARY 6, 2012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255905</wp:posOffset>
            </wp:positionV>
            <wp:extent cx="1414780" cy="3003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1478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Subscription Rights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Debt Securities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or BDC, under the Investment Company Act of 1940, as amended (the “1940 Act”).</w:t>
      </w:r>
    </w:p>
    <w:p>
      <w:pPr>
        <w:spacing w:after="0" w:line="132"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senior secured loans, mezzanine debt, and equity investments. We can offer no assurances that we will achieve our investment objectives.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(the “SEC”) may permit. See “Risk Factors” on page 8 and “Sales of Common Stock Below Net Asset Value” on page 52 of this prospectus for more information.</w:t>
      </w:r>
    </w:p>
    <w:p>
      <w:pPr>
        <w:spacing w:after="0" w:line="12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common stock has been approved for quotation on the NASDAQ Global Select Market under the symbol “PNNT.” The last reported closing price for our common stock on December 16, 2011 was $10.16 per share, and our net asset value on September 30, 2011 was $10.13 per share.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78740</wp:posOffset>
            </wp:positionV>
            <wp:extent cx="15176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0"/>
          <w:szCs w:val="20"/>
          <w:color w:val="auto"/>
        </w:rPr>
      </w:pPr>
    </w:p>
    <w:p>
      <w:pPr>
        <w:ind w:right="28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9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64770</wp:posOffset>
            </wp:positionV>
            <wp:extent cx="15176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dated January 6, 2012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00" w:type="dxa"/>
            <w:vAlign w:val="bottom"/>
            <w:gridSpan w:val="33"/>
            <w:vMerge w:val="restart"/>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PROSPECTUS 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00" w:type="dxa"/>
            <w:vAlign w:val="bottom"/>
            <w:gridSpan w:val="33"/>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8"/>
                <w:szCs w:val="18"/>
                <w:color w:val="auto"/>
              </w:rPr>
            </w:pPr>
          </w:p>
        </w:tc>
        <w:tc>
          <w:tcPr>
            <w:tcW w:w="8960" w:type="dxa"/>
            <w:vAlign w:val="bottom"/>
            <w:gridSpan w:val="22"/>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USE OF PROCEEDS</w:t>
              </w:r>
            </w:hyperlink>
          </w:p>
        </w:tc>
        <w:tc>
          <w:tcPr>
            <w:tcW w:w="814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121">
              <w:r>
                <w:rPr>
                  <w:rFonts w:ascii="Arial" w:cs="Arial" w:eastAsia="Arial" w:hAnsi="Arial"/>
                  <w:sz w:val="18"/>
                  <w:szCs w:val="18"/>
                  <w:color w:val="0000EE"/>
                  <w:w w:val="95"/>
                </w:rPr>
                <w:t>SELECTED FINANCIAL DATA</w:t>
              </w:r>
            </w:hyperlink>
          </w:p>
        </w:tc>
        <w:tc>
          <w:tcPr>
            <w:tcW w:w="862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SENIOR SECURITIES</w:t>
              </w:r>
            </w:hyperlink>
          </w:p>
        </w:tc>
        <w:tc>
          <w:tcPr>
            <w:tcW w:w="23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138">
              <w:r>
                <w:rPr>
                  <w:rFonts w:ascii="Arial" w:cs="Arial" w:eastAsia="Arial" w:hAnsi="Arial"/>
                  <w:sz w:val="18"/>
                  <w:szCs w:val="18"/>
                  <w:color w:val="0000EE"/>
                  <w:w w:val="92"/>
                </w:rPr>
                <w:t>PRICE RANGE OF COMMON STOCK</w:t>
              </w:r>
            </w:hyperlink>
          </w:p>
        </w:tc>
        <w:tc>
          <w:tcPr>
            <w:tcW w:w="810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139">
              <w:r>
                <w:rPr>
                  <w:rFonts w:ascii="Arial" w:cs="Arial" w:eastAsia="Arial" w:hAnsi="Arial"/>
                  <w:sz w:val="18"/>
                  <w:szCs w:val="18"/>
                  <w:color w:val="0000EE"/>
                  <w:w w:val="93"/>
                </w:rPr>
                <w:t>SALES OF COMMON STOCK BELOW NET ASSET VALUE</w:t>
              </w:r>
            </w:hyperlink>
          </w:p>
        </w:tc>
        <w:tc>
          <w:tcPr>
            <w:tcW w:w="64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45">
              <w:r>
                <w:rPr>
                  <w:rFonts w:ascii="Arial" w:cs="Arial" w:eastAsia="Arial" w:hAnsi="Arial"/>
                  <w:sz w:val="18"/>
                  <w:szCs w:val="18"/>
                  <w:color w:val="0000EE"/>
                  <w:w w:val="94"/>
                </w:rPr>
                <w:t>DISTRIBUTIONS</w:t>
              </w:r>
            </w:hyperlink>
          </w:p>
        </w:tc>
        <w:tc>
          <w:tcPr>
            <w:tcW w:w="9660" w:type="dxa"/>
            <w:vAlign w:val="bottom"/>
            <w:gridSpan w:val="2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47">
              <w:r>
                <w:rPr>
                  <w:rFonts w:ascii="Arial" w:cs="Arial" w:eastAsia="Arial" w:hAnsi="Arial"/>
                  <w:sz w:val="18"/>
                  <w:szCs w:val="18"/>
                  <w:color w:val="0000EE"/>
                  <w:w w:val="90"/>
                </w:rPr>
                <w:t>BUSINESS</w:t>
              </w:r>
            </w:hyperlink>
          </w:p>
        </w:tc>
        <w:tc>
          <w:tcPr>
            <w:tcW w:w="10160" w:type="dxa"/>
            <w:vAlign w:val="bottom"/>
            <w:gridSpan w:val="3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INVESTMENT OBJECTIVES AND POLICIES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PORTFOLIO COMPANIES</w:t>
              </w:r>
            </w:hyperlink>
          </w:p>
        </w:tc>
        <w:tc>
          <w:tcPr>
            <w:tcW w:w="756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63">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900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w:anchor="page170">
              <w:r>
                <w:rPr>
                  <w:rFonts w:ascii="Arial" w:cs="Arial" w:eastAsia="Arial" w:hAnsi="Arial"/>
                  <w:sz w:val="18"/>
                  <w:szCs w:val="18"/>
                  <w:color w:val="0000EE"/>
                  <w:w w:val="92"/>
                </w:rPr>
                <w:t>CONTROL PERSONS AND PRINCIPAL STOCKHOLDERS</w:t>
              </w:r>
            </w:hyperlink>
          </w:p>
        </w:tc>
        <w:tc>
          <w:tcPr>
            <w:tcW w:w="65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CERTAIN RELATIONSHIPS AND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4"/>
              </w:rPr>
            </w:pPr>
            <w:hyperlink w:anchor="page177">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17"/>
                <w:szCs w:val="17"/>
                <w:color w:val="auto"/>
              </w:rPr>
            </w:pPr>
          </w:p>
        </w:tc>
        <w:tc>
          <w:tcPr>
            <w:tcW w:w="70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180">
              <w:r>
                <w:rPr>
                  <w:rFonts w:ascii="Arial" w:cs="Arial" w:eastAsia="Arial" w:hAnsi="Arial"/>
                  <w:sz w:val="18"/>
                  <w:szCs w:val="18"/>
                  <w:color w:val="0000EE"/>
                  <w:w w:val="96"/>
                </w:rPr>
                <w:t>DIVIDEND REINVESTMENT PLAN</w:t>
              </w:r>
            </w:hyperlink>
          </w:p>
        </w:tc>
        <w:tc>
          <w:tcPr>
            <w:tcW w:w="824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81">
              <w:r>
                <w:rPr>
                  <w:rFonts w:ascii="Arial" w:cs="Arial" w:eastAsia="Arial" w:hAnsi="Arial"/>
                  <w:sz w:val="18"/>
                  <w:szCs w:val="18"/>
                  <w:color w:val="0000EE"/>
                  <w:w w:val="92"/>
                </w:rPr>
                <w:t>DESCRIPTION OF OUR CAPITAL STOCK</w:t>
              </w:r>
            </w:hyperlink>
          </w:p>
        </w:tc>
        <w:tc>
          <w:tcPr>
            <w:tcW w:w="778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DESCRIPTION OF OUR PREFERRED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DESCRIPTION OF OUR WARRANTS</w:t>
              </w:r>
            </w:hyperlink>
          </w:p>
        </w:tc>
        <w:tc>
          <w:tcPr>
            <w:tcW w:w="75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DESCRIPTION OF OUR SUBSCRIPTION RIGHTS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w:anchor="page191">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04">
              <w:r>
                <w:rPr>
                  <w:rFonts w:ascii="Arial" w:cs="Arial" w:eastAsia="Arial" w:hAnsi="Arial"/>
                  <w:sz w:val="18"/>
                  <w:szCs w:val="18"/>
                  <w:color w:val="0000EE"/>
                  <w:w w:val="92"/>
                </w:rPr>
                <w:t>DESCRIPTION OF OUR UNITS</w:t>
              </w:r>
            </w:hyperlink>
          </w:p>
        </w:tc>
        <w:tc>
          <w:tcPr>
            <w:tcW w:w="860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205">
              <w:r>
                <w:rPr>
                  <w:rFonts w:ascii="Arial" w:cs="Arial" w:eastAsia="Arial" w:hAnsi="Arial"/>
                  <w:sz w:val="18"/>
                  <w:szCs w:val="18"/>
                  <w:color w:val="0000EE"/>
                  <w:w w:val="93"/>
                </w:rPr>
                <w:t>REGULATION</w:t>
              </w:r>
            </w:hyperlink>
          </w:p>
        </w:tc>
        <w:tc>
          <w:tcPr>
            <w:tcW w:w="9880" w:type="dxa"/>
            <w:vAlign w:val="bottom"/>
            <w:gridSpan w:val="3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118</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211">
              <w:r>
                <w:rPr>
                  <w:rFonts w:ascii="Arial" w:cs="Arial" w:eastAsia="Arial" w:hAnsi="Arial"/>
                  <w:sz w:val="18"/>
                  <w:szCs w:val="18"/>
                  <w:color w:val="0000EE"/>
                  <w:w w:val="93"/>
                </w:rPr>
                <w:t>BROKERAGE ALLOCATIONS AND OTHER PRACTICES</w:t>
              </w:r>
            </w:hyperlink>
          </w:p>
        </w:tc>
        <w:tc>
          <w:tcPr>
            <w:tcW w:w="66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w:anchor="page212">
              <w:r>
                <w:rPr>
                  <w:rFonts w:ascii="Arial" w:cs="Arial" w:eastAsia="Arial" w:hAnsi="Arial"/>
                  <w:sz w:val="18"/>
                  <w:szCs w:val="18"/>
                  <w:color w:val="0000EE"/>
                  <w:w w:val="94"/>
                </w:rPr>
                <w:t>MATERIAL U.S. FEDERAL INCOME TAX CONSIDERATIONS</w:t>
              </w:r>
            </w:hyperlink>
          </w:p>
        </w:tc>
        <w:tc>
          <w:tcPr>
            <w:tcW w:w="62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PLAN OF DISTRIBUTION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SUB-ADMINISTRATOR, CUSTODIAN, TRANSFER AGENT AND TRUSTEE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58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LEGAL MATTERS</w:t>
              </w:r>
            </w:hyperlink>
          </w:p>
        </w:tc>
        <w:tc>
          <w:tcPr>
            <w:tcW w:w="52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19"/>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3"/>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36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4"/>
              </w:rPr>
            </w:pPr>
            <w:hyperlink w:anchor="page221">
              <w:r>
                <w:rPr>
                  <w:rFonts w:ascii="Arial" w:cs="Arial" w:eastAsia="Arial" w:hAnsi="Arial"/>
                  <w:sz w:val="18"/>
                  <w:szCs w:val="18"/>
                  <w:color w:val="0000EE"/>
                  <w:w w:val="94"/>
                </w:rPr>
                <w:t>INDEX TO CONSOLIDATED FINANCIAL STATEMENTS</w:t>
              </w:r>
            </w:hyperlink>
          </w:p>
        </w:tc>
        <w:tc>
          <w:tcPr>
            <w:tcW w:w="320" w:type="dxa"/>
            <w:vAlign w:val="bottom"/>
            <w:tcBorders>
              <w:top w:val="single" w:sz="8" w:color="0000EE"/>
            </w:tcBorders>
            <w:gridSpan w:val="4"/>
          </w:tcPr>
          <w:p>
            <w:pPr>
              <w:spacing w:after="0"/>
              <w:rPr>
                <w:sz w:val="17"/>
                <w:szCs w:val="17"/>
                <w:color w:val="auto"/>
              </w:rPr>
            </w:pPr>
          </w:p>
        </w:tc>
        <w:tc>
          <w:tcPr>
            <w:tcW w:w="63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28"/>
        </w:trPr>
        <w:tc>
          <w:tcPr>
            <w:tcW w:w="11000" w:type="dxa"/>
            <w:vAlign w:val="bottom"/>
            <w:gridSpan w:val="33"/>
          </w:tcPr>
          <w:p>
            <w:pPr>
              <w:spacing w:after="0"/>
              <w:rPr>
                <w:sz w:val="20"/>
                <w:szCs w:val="20"/>
                <w:color w:val="auto"/>
              </w:rPr>
            </w:pPr>
            <w:r>
              <w:rPr>
                <w:rFonts w:ascii="Arial" w:cs="Arial" w:eastAsia="Arial" w:hAnsi="Arial"/>
                <w:sz w:val="18"/>
                <w:szCs w:val="18"/>
                <w:color w:val="auto"/>
              </w:rPr>
              <w:t>PART C OTHER INFORMATION</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1000" w:type="dxa"/>
            <w:vAlign w:val="bottom"/>
            <w:gridSpan w:val="33"/>
          </w:tcPr>
          <w:p>
            <w:pPr>
              <w:spacing w:after="0"/>
              <w:rPr>
                <w:sz w:val="20"/>
                <w:szCs w:val="20"/>
                <w:color w:val="auto"/>
              </w:rPr>
            </w:pPr>
            <w:r>
              <w:rPr>
                <w:rFonts w:ascii="Arial" w:cs="Arial" w:eastAsia="Arial" w:hAnsi="Arial"/>
                <w:sz w:val="18"/>
                <w:szCs w:val="18"/>
                <w:color w:val="auto"/>
              </w:rPr>
              <w:t>SIGNATURES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debt securities, or units on the terms to be determined at the time of the offering.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“SBIC” subsidiary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Investment Corporation and its consolidated subsidiaries; “PennantPark Investment” refers to only PennantPark Investment Corporation; “SBIC LP”, “subsidiaries” or “our SBIC” refers to our consolidated subsidiary, PennantPark SBIC LP and its general partner PennantPark SBIC GP, LLC; “PennantPark Investment Advisers” or “Investment Adviser” refers to PennantPark Investment Advisers, LLC; and “PennantPark Investment Administration” or “Administrator” refers to PennantPark Investment Administration, LLC.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9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(“Credit Facility”) or any future credit facility, the Small Business Administration (“SBA”) debentures, proceeds from the rotation of our portfolio and proceeds from public and private offerings of securities to finance our investment objectives.</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the fiscal year ended September 30, 2011, we purchased $479.7 million of investments issued by 17 new and 11 existing portfolio companies with an overall weighted average yield of 13.7% on debt investments. This compares to purchasing $309.5 million of investments issued by 17 new and 12 existing portfolio companies with an overall weighted average yield of 14.9% on debt investments and purchasing $112.7 million of investments issued by 11 new and 8 existing portfolio companies with an overall weighted average yield of 14.5% on debt investments for the fiscal years ended September 30, 2010 and 2009,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For the fiscal year ended September 30, 2011, sales and repayments generated proceeds of $304.0 million. This compares to sales and repayments that generated proceeds for the fiscal years ended September 30, 2010 and 2009 of $145.2 and $28.0 million, respectively.</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31% variable-rate with a London Interbank Offered Rate (“LIBOR”) or prime floor and 8% variable-rate investments.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26% variable-rate with a LIBOR or prime floor and 25% variable-rate investments.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PennantPark Investment Corporation, a Maryland corporation organized on January 11, 2007, is a closed-end, externally managed, non-diversified investment company that has elected to be treated as a BDC, under the 1940 Act. In addition, for tax purposes we have elected to be treated, and intend to qualify annually, as a regulated investment company (“RIC”) under the Internal Revenue Code of 1986, as amended (the “Code”).</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wholly-owned subsidiary, PennantPark SBIC LP, was organized as a Delaware limited partnership on May 7, 2010 and received a license from the SBA to operate as an SBIC under Section 301(c) of the Small Business Investment Act of 1958, as amended (the “1958 Act”), in July 2010. SBIC LP’s objective is to generate both current income and capital appreciation through debt and equity investments. SBIC LP, generally, co-invests in SBA eligible businesses that meet the investment criteria used by PennantPark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about $1.2 billion in debt and equity capital and has invested over $1.5 billion in more than 150 companies with over 70 different financial sponsors through its managed funds.</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 See “Risk Factors—Risks Relating to our Business and Structure—We operate in a highly competitive market for investment opportunities” for more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maintain a multi-currency $315.0 million senior secured Credit Facility which matures on June 25, 2012 and is secured by substantially all of our investment portfolio assets (excluding the assets of SBIC LP). As of September 30, 2011, we had $240.9 million outstanding on the Credit Facility with a weighted average interest rate at the time of 1.27% and had $74.1 million of unused borrowing capacity. Pricing of borrowings under our Credit Facility is set at 100 basis points over LIBOR. We believe that our capital resources will provide us with the flexibility to take advantage of market opportunities when they arise. See “Management’s Discussion and Analysis of Financial Condition and Results of Operations—Liquidity and Capital Resources” for more information.</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September 30, 2011, SBIC LP had drawn $150.0 million, with a weighted average interest rate of 3.70%, exclusive of 3.43% of upfront fees. SBA debentures offer competitive terms such as being non-recourse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 for more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investment activities are managed by PennantPark Investment Advisers and supervised by our board of directors, a majority of whom are independent of us. Under our investment management agreement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have also entered into an administration agreement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0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wholly-owned subsidiary, SBIC LP, received a license from the SBA to operate as an SBIC under Section 301(c) of the 1958 Act and is regulated by the SBA. The SBA regulates, among other matters, SBIC LP’s investing activities and periodically examines its operations. We serve as the investment adviser and administrator to SBIC LP.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a subsidiary or for other general corporate purposes. Any supplements to this prospectus relating to an offering will more fully identify the use of the proceeds from such offering. See “Use of Proceeds” for information regarding our outstanding borrowings as of September 30, 2011, the corresponding interest rate charged on such borrowings as of that date and the length of time that it may take us to invest any proceeds in new or existing portfolio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intend to continue to distribute quarterly dividends to our common stockholders. Our quarterly dividends, if any, are determined by our board of directors. See “Distributions”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adopted an “opt-out”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Registered stockholders must notify our transfer agent in writing if they wish to ‘opt-out’ of the dividend reinvestment plan. See “Dividend Reinvestment Plan” for more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offer, from time to time, up to $1 billion of our securities, on terms to be determined at the time of each such offering and set forth in a supplement to this prospectus.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00"/>
          </w:cols>
          <w:pgMar w:left="240" w:top="459" w:right="25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Sales load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stockholder expenses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Incentive fees payable under the Investment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payments on borrowed funds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right"/>
        <w:ind w:right="2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2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740"/>
        <w:spacing w:after="0"/>
        <w:rPr>
          <w:sz w:val="20"/>
          <w:szCs w:val="20"/>
          <w:color w:val="auto"/>
        </w:rPr>
      </w:pPr>
      <w:r>
        <w:rPr>
          <w:rFonts w:ascii="Arial" w:cs="Arial" w:eastAsia="Arial" w:hAnsi="Arial"/>
          <w:sz w:val="14"/>
          <w:szCs w:val="14"/>
          <w:color w:val="auto"/>
        </w:rPr>
        <w:t>%</w:t>
      </w:r>
    </w:p>
    <w:p>
      <w:pPr>
        <w:spacing w:after="0" w:line="253"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3.34</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(4)</w:t>
      </w:r>
    </w:p>
    <w:p>
      <w:pPr>
        <w:spacing w:after="0" w:line="3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3.20</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(5)</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1.50</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(6)</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1.27</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-17145</wp:posOffset>
            </wp:positionV>
            <wp:extent cx="1803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spacing w:after="0" w:line="28"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9.31</w:t>
      </w:r>
      <w:r>
        <w:rPr>
          <w:sz w:val="20"/>
          <w:szCs w:val="20"/>
          <w:color w:val="auto"/>
        </w:rPr>
        <w:tab/>
      </w:r>
      <w:r>
        <w:rPr>
          <w:rFonts w:ascii="Arial" w:cs="Arial" w:eastAsia="Arial" w:hAnsi="Arial"/>
          <w:sz w:val="11"/>
          <w:szCs w:val="11"/>
          <w:color w:val="auto"/>
        </w:rPr>
        <w:t>%</w:t>
      </w:r>
      <w:r>
        <w:rPr>
          <w:rFonts w:ascii="Arial" w:cs="Arial" w:eastAsia="Arial" w:hAnsi="Arial"/>
          <w:sz w:val="17"/>
          <w:szCs w:val="17"/>
          <w:color w:val="auto"/>
          <w:vertAlign w:val="superscript"/>
        </w:rPr>
        <w:t>(8)</w:t>
      </w:r>
    </w:p>
    <w:p>
      <w:pPr>
        <w:spacing w:after="0" w:line="194" w:lineRule="exact"/>
        <w:rPr>
          <w:sz w:val="20"/>
          <w:szCs w:val="20"/>
          <w:color w:val="auto"/>
        </w:rPr>
      </w:pPr>
    </w:p>
    <w:p>
      <w:pPr>
        <w:sectPr>
          <w:pgSz w:w="11900" w:h="16838" w:orient="portrait"/>
          <w:cols w:equalWidth="0" w:num="2">
            <w:col w:w="9680" w:space="720"/>
            <w:col w:w="1000"/>
          </w:cols>
          <w:pgMar w:left="240" w:top="459" w:right="259" w:bottom="1440" w:gutter="0" w:footer="0" w:header="0"/>
          <w:type w:val="continuous"/>
        </w:sectPr>
      </w:pPr>
    </w:p>
    <w:p>
      <w:pPr>
        <w:ind w:left="460" w:right="24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ind w:left="460" w:right="24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September 30, 2011.</w:t>
      </w:r>
    </w:p>
    <w:p>
      <w:pPr>
        <w:spacing w:after="0" w:line="9"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on September 30, 2011. See “Certain Relationships and Transactions—Investment Management Agreement” for more information.</w:t>
      </w:r>
    </w:p>
    <w:p>
      <w:pPr>
        <w:ind w:left="46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September 30, 2011,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2011,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2011. For more detailed information about the incentive fee, please see “Certain Relationships and Transactions—Investment Management Agreement” for more information.</w:t>
      </w:r>
    </w:p>
    <w:p>
      <w:pPr>
        <w:spacing w:after="0" w:line="6" w:lineRule="exact"/>
        <w:rPr>
          <w:rFonts w:ascii="Arial" w:cs="Arial" w:eastAsia="Arial" w:hAnsi="Arial"/>
          <w:sz w:val="16"/>
          <w:szCs w:val="16"/>
          <w:color w:val="auto"/>
        </w:rPr>
      </w:pPr>
    </w:p>
    <w:p>
      <w:pPr>
        <w:ind w:left="460" w:hanging="452"/>
        <w:spacing w:after="0" w:line="290"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of September 30, 2011, we had $74.1 million of unused borrowing capacity, subject to maintenance of the applicable total assets to debt ratio of 200%, and $240.9 million in borrowings outstanding under our $315.0 million Credit Facility. As of September 30, 2011, SBIC LP had $150.0 million outstanding with a weighted average interest rate of 3.70%, exclusive of the 3.43% of upfront fees, (4.04% inclusive of the 3.43% upfront fee).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00"/>
        <w:spacing w:after="0" w:line="253" w:lineRule="auto"/>
        <w:rPr>
          <w:sz w:val="20"/>
          <w:szCs w:val="20"/>
          <w:color w:val="auto"/>
        </w:rPr>
      </w:pPr>
      <w:r>
        <w:rPr>
          <w:rFonts w:ascii="Arial" w:cs="Arial" w:eastAsia="Arial" w:hAnsi="Arial"/>
          <w:sz w:val="18"/>
          <w:szCs w:val="18"/>
          <w:color w:val="auto"/>
        </w:rPr>
        <w:t>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ind w:left="460" w:right="44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2011 annualized for a full year. See the Consolidated Statement of Operations in our Consolidated Financial Statements.</w:t>
      </w:r>
    </w:p>
    <w:p>
      <w:pPr>
        <w:spacing w:after="0" w:line="2" w:lineRule="exact"/>
        <w:rPr>
          <w:rFonts w:ascii="Arial" w:cs="Arial" w:eastAsia="Arial" w:hAnsi="Arial"/>
          <w:sz w:val="16"/>
          <w:szCs w:val="16"/>
          <w:color w:val="auto"/>
        </w:rPr>
      </w:pPr>
    </w:p>
    <w:p>
      <w:pPr>
        <w:ind w:left="460" w:right="60" w:hanging="452"/>
        <w:spacing w:after="0" w:line="292"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“Total annual expenses” as a percentage of net assets attributable to common shares, to the extent we borrow money to make investments, are higher than the total annual expenses percentage would be for a company that is not leveraged. We may borrow money to leverage our net assets and increase our total assets. The SEC requires that the “total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38 of this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4.75% sales load (underwriting discounts and commissions) and offering expenses totaling 0.28%, (2) total net annual expenses of 6.11%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210"/>
        </w:trPr>
        <w:tc>
          <w:tcPr>
            <w:tcW w:w="8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expenses incurred</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$ 108</w:t>
            </w:r>
          </w:p>
        </w:tc>
        <w:tc>
          <w:tcPr>
            <w:tcW w:w="5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$ 221</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$ 332</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599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 incentive fee of a material amount, our expenses, and returns to our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debt securities, or units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jc w:val="both"/>
        <w:ind w:right="52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have a materially adverse affect on debt and equity capital markets in the United States, which could have a materially negative impact on our business, financial condition and results of operations.</w:t>
      </w:r>
    </w:p>
    <w:p>
      <w:pPr>
        <w:spacing w:after="0" w:line="5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could and may reoccur for a prolonged period of time again or materially worsen in the future. We may in the future have difficulty accessing debt and equity capital, and a severe disruption in the global financial markets or deterioration in credit and financing conditions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per share without first obtaining approval for such issuance from our stockholders and our independent directors. Additionally, our ability to incur indebtedness is limited by applicable regulations such that our asset coverage, as defined under the 1940 Act, must equal at least 200% of total indebtedness immediately after each time we incur indebtedness exclusive of the SBA debentures pursuant to our SEC exemptive relief. Declining portfolio values negatively impact our ability to borrow additional funds under our Credit Facility because our net asset value is reduced for purposes of the 200% asset leverage test.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significant disruption in the capital markets experienced in the past had, and may in the future have, a negative effect on the valuations of our investments, and on the potential for liquidity events involving our investments. The debt capital that will be available to us may be at a higher cost or on less favorable terms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and results of operations.</w:t>
      </w:r>
    </w:p>
    <w:p>
      <w:pPr>
        <w:spacing w:after="0" w:line="219"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Market developments may adversely affect our business and results of operations by reducing availability under our Credit Facility and SBIC LP’s SBA debentures.</w:t>
      </w:r>
    </w:p>
    <w:p>
      <w:pPr>
        <w:spacing w:after="0" w:line="4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the applicable asset coverage test that restricts our ability to borrow under our Credit Facility, the Credit Facility contains various covenants which, if not complied with, could accelerate repayment under the Credit Facility, thereby materially and adversely affecting our liquidity, financial condition and results of operations. Our borrowings under our Credit Facility are collateralized by the assets in our investment portfolio, excluding those portfolio investments held by SBIC LP. The agreements governing the Credit Facility require us to comply with certain financial and operational covenants. These covenants include:</w:t>
      </w:r>
    </w:p>
    <w:p>
      <w:pPr>
        <w:spacing w:after="0" w:line="32"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requirement to maintain a minimum amount of shareholder’s equity;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addition to the Credit Facility, SBIC LP has issued SBA debentures that require it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collateralized by the assets of SBIC LP.</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Material net asset devaluation in connection with additional borrowings could result in an inability to comply with our obligation to restrict the level of indebtedness that we are able to incur in relation to the value of our assets or to maintain a minimum level of shareholders’ equity. This could have a material adverse effect on our operations, as it would trigger mandatory pre-payment obligations under the terms of the Credit Facility and SBA debentures.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SBIC LP may be unable to make distributions to us that will enable us to meet or maintain RIC status.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order for us to continue to qualify for RIC tax treatment and to minimize corporate-level taxes, we will be required to distribute substantially all of our consolidated net ordinary income and net capital gain income, including income from SBIC LP. We will be partially dependent on SBIC LP for cash distributions to enable us to meet the RIC distribution requirements. SBIC LP may be limited by SBA regulations governing SBICs from making certain distributions to us that may be necessary to maintain our status as a RIC. We may have to request a waiver of the SBA’s restrictions for SBIC LP to make certain distributions to maintain our RIC status. We cannot assure you that the SBA will grant such waiver and if SBIC LP is unable to obtain a waiver, compliance with the SBA regulations may result in an entity-level tax on us.</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a BDC, we are required to carry our investments at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of our board of directors. Decreases in the market value or fair values of our investments will be recorded as unrealized depreciation.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credit risk when we loan money or commit to loan money to a portfolio company.</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part of our fair valuation of our portfolio companies. Negative credit events will lead to a decrease in the fair value of our portfolio companies.</w:t>
      </w:r>
    </w:p>
    <w:p>
      <w:pPr>
        <w:spacing w:after="0" w:line="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addition, current market conditions have affected consumer confidence levels which may harm the business of our portfolio companies and result in adverse changes in payment patterns. Increased delinquencies and default rates would impact our results of operations. Deterioration in the quality of our credit portfolio could have a material adverse effect on our capital, financial condition and results of operations.</w:t>
      </w:r>
    </w:p>
    <w:p>
      <w:pPr>
        <w:spacing w:after="0" w:line="182"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make long-term loans and invest in equity securities,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 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materially adverse effect on our financial condition and results of operations.</w:t>
      </w:r>
    </w:p>
    <w:p>
      <w:pPr>
        <w:spacing w:after="0" w:line="198" w:lineRule="exact"/>
        <w:rPr>
          <w:sz w:val="20"/>
          <w:szCs w:val="20"/>
          <w:color w:val="auto"/>
        </w:rPr>
      </w:pPr>
    </w:p>
    <w:p>
      <w:pPr>
        <w:ind w:right="40"/>
        <w:spacing w:after="0" w:line="361" w:lineRule="auto"/>
        <w:rPr>
          <w:sz w:val="20"/>
          <w:szCs w:val="20"/>
          <w:color w:val="auto"/>
        </w:rPr>
      </w:pPr>
      <w:r>
        <w:rPr>
          <w:rFonts w:ascii="Arial" w:cs="Arial" w:eastAsia="Arial" w:hAnsi="Arial"/>
          <w:sz w:val="15"/>
          <w:szCs w:val="15"/>
          <w:b w:val="1"/>
          <w:bCs w:val="1"/>
          <w:color w:val="auto"/>
        </w:rPr>
        <w:t>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w:t>
      </w:r>
    </w:p>
    <w:p>
      <w:pPr>
        <w:ind w:right="60" w:firstLine="456"/>
        <w:spacing w:after="0" w:line="294"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will depend on our ability to manage future growth effectively.</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ability to achieve our investment objectives will depend on our ability to grow, which will depend, in turn, on our Investment Adviser’s ability to identify, invest in and monitor companies that meet our investment criteria. Accomplishing this result on a cost-effective basis will be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we and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managerial assistance to portfolio companies and other investment vehicles, including other BDCs, which may be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offer any assurances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treatment would substantially reduce net assets and income available for debt service and dividends.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have operated and continue to operate so as to qualify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corporate-level income tax on the income or gains we do not distribute. If we do not distribute an amount at least equal to the sum of 98% of our ordinary income (during the calendar year) plus 98.2% of our net capital gain income (during each 12 month period ending on October 31), we generally will be required to pay an excise tax on amounts carried over and distributed to shareholders in the next year equal to 4% of the undistributed amount.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federal income tax purposes, we will include in income certain amounts that we have not yet received in cash, such as original issue discount or contracted payment-in-kind (“PIK”) interest, which represents contractual interest added to the loan balance and due at the end of the loan term. Original issue discount, which could be significant relative to our overall investment assets, and increases in loan balances as a result of contracted PIK interest will be included in income before we receive any corresponding cash payments. We also may be required to include in income certain other amounts that we will not receive in cash.</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10" w:lineRule="exact"/>
        <w:rPr>
          <w:sz w:val="20"/>
          <w:szCs w:val="20"/>
          <w:color w:val="auto"/>
        </w:rPr>
      </w:pPr>
    </w:p>
    <w:p>
      <w:pPr>
        <w:jc w:val="both"/>
        <w:ind w:right="48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100" w:firstLine="456"/>
        <w:spacing w:after="0" w:line="291"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a coverage ratio of total assets to total senior securities, which includes all of our borrowings, exclusive of the SBA debentures pursuant to SEC exemptive relief, and any preferred stock we may issue in the future, of at least 200% of indebtedness. This requirement limits the amount we may borrow. If the value of our assets declines, we may be unable to satisfy this test. If that happens, we may be required to sell a portion of our investments or sell additional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be partially dependent on SBIC LP for cash distributions to enable us to meet the RIC distribution requirements. SBIC LP may be limited by the SBA regulations governing SBICs, from making certain distributions to us that may be necessary to maintain our status as a RIC. We may have to request a waiver of the SBA’s restrictions for SBIC LP to make certain distributions to maintain our RIC status. We cannot assure you that the SBA will grant such waiver and if SBIC LP is unable to obtain a waiver, compliance with the SBA regulations may result in an entity-level tax on us.</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Market conditions may make it difficult to extend the maturity of or refinance our existing indebtedness and any failure to do so could have a material adverse effect on our business.</w:t>
      </w:r>
    </w:p>
    <w:p>
      <w:pPr>
        <w:spacing w:after="0" w:line="4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Credit Facility expires in June 2012. We utilize a revolving five-year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under current market conditions, we believe it may be unlikely that we could renew or refinance our Credit Facility on terms as favorable as those in our existing Credit Facility. In particular, market interest rates have increased for borrowers such as us since we entered into our Credit Facility in June 2007.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governing our operation as a business development company will affect our ability to, and the way in which we, raise additional capital.</w:t>
      </w:r>
    </w:p>
    <w:p>
      <w:pPr>
        <w:spacing w:after="0" w:line="11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senior securities or other indebtedness, the issuance of additional shares of our common stock, the issuance of warrants or subscription rights to purchase certain of our securities, or from securitization transactions or through SBIC LP’s SBA debentures. However, we may not be able to raise additional capital in the future on favorable terms or at all. We may issue debt securities or preferred securities, which we refer to collectively as “senior securities,” and we may borrow money from banks, through SBIC LP or other financial institutions, up to the maximum amount permitted by the 1940 Act. The 1940 Act permits us to issue senior securities or incur indebtedness only in amounts such that our asset coverage, as defined in the 1940 Act, equals at least 200% after such issuance or incurrence, exclusive of the SBA debentures pursuant to our SEC exemptive relief. Our ability to pay dividends or issue additional senior securities would be restricted if our asset coverage ratio were not at least 200%.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39" w:lineRule="exact"/>
        <w:rPr>
          <w:sz w:val="20"/>
          <w:szCs w:val="20"/>
          <w:color w:val="auto"/>
        </w:rPr>
      </w:pPr>
    </w:p>
    <w:p>
      <w:pPr>
        <w:ind w:left="900" w:right="60" w:hanging="446"/>
        <w:spacing w:after="0" w:line="25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Senior Securities</w:t>
      </w:r>
      <w:r>
        <w:rPr>
          <w:rFonts w:ascii="Arial" w:cs="Arial" w:eastAsia="Arial" w:hAnsi="Arial"/>
          <w:sz w:val="18"/>
          <w:szCs w:val="18"/>
          <w:color w:val="auto"/>
        </w:rPr>
        <w:t>. As a result of issuing senior securities, we would also be exposed to typical risks associated with leverage, including an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risk of 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price for our common stockholders or otherwise be in your best interest. Our senior securities may include conversion features that cause them to bear risks more closely associated with an investment in our common stock.</w:t>
      </w:r>
    </w:p>
    <w:p>
      <w:pPr>
        <w:spacing w:after="0" w:line="51" w:lineRule="exact"/>
        <w:rPr>
          <w:sz w:val="20"/>
          <w:szCs w:val="20"/>
          <w:color w:val="auto"/>
        </w:rPr>
      </w:pPr>
    </w:p>
    <w:p>
      <w:pPr>
        <w:ind w:left="900" w:right="100" w:hanging="446"/>
        <w:spacing w:after="0" w:line="28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Additional Common Stock</w:t>
      </w:r>
      <w:r>
        <w:rPr>
          <w:rFonts w:ascii="Arial" w:cs="Arial" w:eastAsia="Arial" w:hAnsi="Arial"/>
          <w:sz w:val="16"/>
          <w:szCs w:val="16"/>
          <w:color w:val="auto"/>
        </w:rPr>
        <w:t>. Our board of directors may decide to issue common stock to finance our operations rather than issuing debt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securities. As a BDC, we are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39" w:lineRule="exact"/>
        <w:rPr>
          <w:rFonts w:ascii="Arial" w:cs="Arial" w:eastAsia="Arial" w:hAnsi="Arial"/>
          <w:sz w:val="16"/>
          <w:szCs w:val="16"/>
          <w:color w:val="auto"/>
        </w:rPr>
      </w:pPr>
    </w:p>
    <w:p>
      <w:pPr>
        <w:ind w:left="900" w:hanging="446"/>
        <w:spacing w:after="0" w:line="285"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Securitization</w:t>
      </w:r>
      <w:r>
        <w:rPr>
          <w:rFonts w:ascii="Arial" w:cs="Arial" w:eastAsia="Arial" w:hAnsi="Arial"/>
          <w:sz w:val="16"/>
          <w:szCs w:val="16"/>
          <w:color w:val="auto"/>
        </w:rPr>
        <w:t>. In addition to issuing securities to raise capital as described above, we anticipate that in the future, as market conditions permit, we</w:t>
      </w:r>
      <w:r>
        <w:rPr>
          <w:rFonts w:ascii="Arial" w:cs="Arial" w:eastAsia="Arial" w:hAnsi="Arial"/>
          <w:sz w:val="16"/>
          <w:szCs w:val="16"/>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 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test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more apt to generate losses.</w:t>
      </w:r>
    </w:p>
    <w:p>
      <w:pPr>
        <w:spacing w:after="0" w:line="40" w:lineRule="exact"/>
        <w:rPr>
          <w:rFonts w:ascii="Arial" w:cs="Arial" w:eastAsia="Arial" w:hAnsi="Arial"/>
          <w:sz w:val="16"/>
          <w:szCs w:val="16"/>
          <w:color w:val="auto"/>
        </w:rPr>
      </w:pPr>
    </w:p>
    <w:p>
      <w:pPr>
        <w:ind w:left="900" w:right="100" w:hanging="446"/>
        <w:spacing w:after="0" w:line="298"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SBA Debentures</w:t>
      </w:r>
      <w:r>
        <w:rPr>
          <w:rFonts w:ascii="Arial" w:cs="Arial" w:eastAsia="Arial" w:hAnsi="Arial"/>
          <w:sz w:val="16"/>
          <w:szCs w:val="16"/>
          <w:color w:val="auto"/>
        </w:rPr>
        <w:t>. In addition to issuing securities and using securitizations to raise capital as described above, we have issued and may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as permitted under SBA regulations and through our wholly owned subsidiary SBIC LP, SBA debentures to generate cash for funding new investments. To issue SBA debentures, we may request commitments for debt capital from the SBA. SBIC LP would be exposed to any losses on its portfolio of loans, however, such debentures are non-recourse to 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SBIC LP is licensed by the SBA and is subject to SBA regulations.</w:t>
      </w:r>
    </w:p>
    <w:p>
      <w:pPr>
        <w:spacing w:after="0" w:line="96"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In July 2010, our wholly-owned subsidiary, SBIC LP, received a license to operate as an SBIC under the 1958 Act and is regulated by the SBA. The SBA places certain limitations on the financing terms of investments by SBICs in portfolio companies and regulates the types of financings and prohibits investing in certain industries. Compliance with SBIC requirements may cause SBIC LP to invest at less competitive rates according to applicable SBA regulations.</w:t>
      </w:r>
    </w:p>
    <w:p>
      <w:pPr>
        <w:spacing w:after="0" w:line="8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Further, SBA regulations require that a licensed SBIC be periodically examined and audited by the SBA to determine its compliance with the relevant SBA regulations. If SBIC LP fails to comply with applicable SBA regulations, the SBA could, depending on the severity of the violation, limit or prohibit SBIC LP’s use of debentures, declare outstanding debentures immediately due and payable, and/or limit it from making new investments. In addition, the SBA could revoke or suspend SBIC LP’s license for willful or repeated violation of, or willful or repeated failure to observe, any provision of the 1958 Act or any rule or regulation promulgated thereunder. These actions by the SBA would, in turn, negatively affect us because SBIC LP is our wholly-owned subsidiary.</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borrow funds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at least 200%, exclusive of the SBA debentures pursuant to SEC exemptive relief, and any amounts that we use to service our indebtedness are not available for distribution to our common stockholders.</w:t>
      </w:r>
    </w:p>
    <w:p>
      <w:pPr>
        <w:spacing w:after="0" w:line="113"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Our current debt is governed by the terms of our Credit Facility or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8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Additionally, our subsidiary, SBIC LP, has received borrowed funds from the SBA through its debenture program. In connection with the filing of its SBA license application, PennantPark Investment received exemptive relief, as of June 1, 2011, from the SEC to permit us to exclude the debt of SBIC LP from our consolidated asset coverage ratio. Our ratio of total assets on a consolidated basis to outstanding indebtedness may be less than 200%, which while providing increased investment flexibility, would also increase our exposure to risks associated with leverage.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have indebtedness outstanding pursuant to our Credit Facility and expect in the future to borrow additional amounts under our Credit Facility and, subject to market availability, to increase the size of our Credit Facility. Lenders have fixed dollar claims on our assets that are superior to the claims of our common stockholders or preferred stockholders, if any, and we have granted a security interest in our assets, excluding those of SBIC LP, in connection with our Credit Facility borrowings. In the case of a liquidation event, those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lenders would receive proceeds before our stockholders. Additionally, the SBA, as a lender and an administrative agent, has a superior claim over the assets of SBIC LP in relation to our lender. In addition, borrowings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of September 30, 2011, we had outstanding borrowings of $240.9 million under our Credit Facility and $150.0 million outstanding under the SBA debentures. Our consolidated debt outstanding was $390.9 million and had a weighted average annual interest rate at the time of 2.20% exclusive of the fee on undrawn commitment of 0.20% and 3.43% upfront fees on the SBA debentures. Accordingly, to cover the annual interest on our borrowings outstanding at September 30, 2011, at the then current rate, we would have to receive an annual yield of at least 1.01%. This example is for illustrative purposes only, and actual interest rates on our Credit Facility borrowings and SBA debentures are likely to fluctuate. The costs associated with our borrowings, including any increase in the management fee payable to our Investment Adviser, will be borne by our common stockholders.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September 30, 2011 of 42% of total assets (including such borrowed funds), at a weighted average rate at the time of 2.20%, and assuming hypothetical annual returns on our portfolio of minus 10 to plus 10 percent. The table also assumes that we will maintain a constant level and weighted average rate of leverage. The amount of leverage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6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660" w:type="dxa"/>
            <w:vAlign w:val="bottom"/>
          </w:tcPr>
          <w:p>
            <w:pPr>
              <w:jc w:val="right"/>
              <w:ind w:right="132"/>
              <w:spacing w:after="0"/>
              <w:rPr>
                <w:sz w:val="20"/>
                <w:szCs w:val="20"/>
                <w:color w:val="auto"/>
              </w:rPr>
            </w:pPr>
            <w:r>
              <w:rPr>
                <w:rFonts w:ascii="Arial" w:cs="Arial" w:eastAsia="Arial" w:hAnsi="Arial"/>
                <w:sz w:val="18"/>
                <w:szCs w:val="18"/>
                <w:color w:val="auto"/>
              </w:rPr>
              <w:t>(21.9)%</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(11.9)%</w:t>
            </w:r>
          </w:p>
        </w:tc>
        <w:tc>
          <w:tcPr>
            <w:tcW w:w="920" w:type="dxa"/>
            <w:vAlign w:val="bottom"/>
          </w:tcPr>
          <w:p>
            <w:pPr>
              <w:ind w:left="220"/>
              <w:spacing w:after="0"/>
              <w:rPr>
                <w:sz w:val="20"/>
                <w:szCs w:val="20"/>
                <w:color w:val="auto"/>
              </w:rPr>
            </w:pPr>
            <w:r>
              <w:rPr>
                <w:rFonts w:ascii="Arial" w:cs="Arial" w:eastAsia="Arial" w:hAnsi="Arial"/>
                <w:sz w:val="18"/>
                <w:szCs w:val="18"/>
                <w:color w:val="auto"/>
              </w:rPr>
              <w:t>(1.9)%</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8.2%</w:t>
            </w:r>
          </w:p>
        </w:tc>
        <w:tc>
          <w:tcPr>
            <w:tcW w:w="720" w:type="dxa"/>
            <w:vAlign w:val="bottom"/>
          </w:tcPr>
          <w:p>
            <w:pPr>
              <w:jc w:val="right"/>
              <w:spacing w:after="0"/>
              <w:rPr>
                <w:sz w:val="20"/>
                <w:szCs w:val="20"/>
                <w:color w:val="auto"/>
              </w:rPr>
            </w:pPr>
            <w:r>
              <w:rPr>
                <w:rFonts w:ascii="Arial" w:cs="Arial" w:eastAsia="Arial" w:hAnsi="Arial"/>
                <w:sz w:val="18"/>
                <w:szCs w:val="18"/>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0890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38" w:lineRule="exact"/>
        <w:rPr>
          <w:rFonts w:ascii="Arial" w:cs="Arial" w:eastAsia="Arial" w:hAnsi="Arial"/>
          <w:sz w:val="16"/>
          <w:szCs w:val="16"/>
          <w:color w:val="auto"/>
        </w:rPr>
      </w:pPr>
    </w:p>
    <w:p>
      <w:pPr>
        <w:jc w:val="both"/>
        <w:ind w:left="460" w:right="60" w:hanging="452"/>
        <w:spacing w:after="0" w:line="295"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25, 2007, when we executed our Credit Facility, through September 30, 2011, the applicable LIBOR rate has decreased from 5.3% to 0.2%.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Conditions and Results of Operations—Quantitative and Qualitative Disclosures about Market Risk” for more information.</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 issuance of debt securities, including SBA debentures,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93"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issue preferred stock, debt securities, convertible debt securities or units, the net asset value and market value of our common stock may become more volatile.</w:t>
      </w:r>
    </w:p>
    <w:p>
      <w:pPr>
        <w:spacing w:after="0" w:line="4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debt securities, convertible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debt or units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debt securities, convertible debt or units or of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19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issue securities for which there is no public market and for which we expect no public market to develop.</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registered on this registration statement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professionals of our Investment Adviser and Administrator may serve as officers, directors or principals of entities that operate in the same or a related line of business as we do or of investment funds managed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affiliates of PennantPark Investment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serve as officers and directors of our controlled affiliate and of PennantPark Floating Rate Capital Ltd., another BDC.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our controlled affiliate, and any other affiliates that the Investment Adviser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2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the License Agreement with PennantPark Investment Advisers, pursuant to which our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or convertible debt securities may be volatile.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materially adversely affect the trading market for, and market value of, our publicly issued debt or convertible debt securities. These factors include the following:</w:t>
      </w:r>
    </w:p>
    <w:p>
      <w:pPr>
        <w:spacing w:after="0" w:line="62"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 Our debt securities may include convertible features that cause them to more closely bear risks associated with an investment in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any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materially adversely affect the return on any debt securities.</w:t>
      </w:r>
    </w:p>
    <w:p>
      <w:pPr>
        <w:spacing w:after="0" w:line="96"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the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if the subscription price or warrant price is less than our net asset value per share of common stock at the time of such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price or net asset value per share will be on the expiration date of such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our Credit Facility will be classified as Level 3 under Accounting Standards Codification (“ASC”) 820, Fair Value Measurements.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18"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 Any changes in fair value are recorded in the Consolidated Statement of Operations as net change in unrealized appreciation or depreciation.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each quarter-end, many of our portfolio assets are recorded at fair value as determined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in light of recent market developments in which investor appetite for illiquid securities was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We are susceptible to the risk of significant loss if we are forced to discount the value of our investments in order to provide liquidity to meet our liability maturities. Our borrowings under our Credit Facility and SBIC LP’s SBA debentures are collateralized by the assets in each entity’s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rely in part on our over-the-counter securities to provide us with adequate liquidity, but even these securities did face liquidity constraints under recent market conditions.</w:t>
      </w:r>
    </w:p>
    <w:p>
      <w:pPr>
        <w:spacing w:after="0" w:line="4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invest primarily in senior secured loans, mezzanine debt and selected equity investments issued by U.S. middle-market companies.</w:t>
      </w:r>
    </w:p>
    <w:p>
      <w:pPr>
        <w:spacing w:after="0" w:line="113" w:lineRule="exact"/>
        <w:rPr>
          <w:sz w:val="20"/>
          <w:szCs w:val="20"/>
          <w:color w:val="auto"/>
        </w:rPr>
      </w:pPr>
    </w:p>
    <w:p>
      <w:pPr>
        <w:ind w:left="900" w:right="60" w:hanging="446"/>
        <w:spacing w:after="0" w:line="288"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Senior Secured Loans: </w:t>
      </w:r>
      <w:r>
        <w:rPr>
          <w:rFonts w:ascii="Arial" w:cs="Arial" w:eastAsia="Arial" w:hAnsi="Arial"/>
          <w:sz w:val="16"/>
          <w:szCs w:val="16"/>
          <w:color w:val="auto"/>
        </w:rPr>
        <w:t>When we extend senior secured loans, which we define to include first lien debt, we will generally take a security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the 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38" w:lineRule="exact"/>
        <w:rPr>
          <w:rFonts w:ascii="Arial" w:cs="Arial" w:eastAsia="Arial" w:hAnsi="Arial"/>
          <w:sz w:val="16"/>
          <w:szCs w:val="16"/>
          <w:color w:val="auto"/>
        </w:rPr>
      </w:pPr>
    </w:p>
    <w:p>
      <w:pPr>
        <w:ind w:left="900" w:right="20" w:hanging="446"/>
        <w:spacing w:after="0" w:line="290"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subordinated to 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cash prior to the maturity of some of our mezzanine debt investments, such investments may be of greater risk than cash paying loans.</w:t>
      </w:r>
    </w:p>
    <w:p>
      <w:pPr>
        <w:spacing w:after="0" w:line="37" w:lineRule="exact"/>
        <w:rPr>
          <w:rFonts w:ascii="Arial" w:cs="Arial" w:eastAsia="Arial" w:hAnsi="Arial"/>
          <w:sz w:val="16"/>
          <w:szCs w:val="16"/>
          <w:color w:val="auto"/>
        </w:rPr>
      </w:pPr>
    </w:p>
    <w:p>
      <w:pPr>
        <w:ind w:left="900" w:right="80" w:hanging="446"/>
        <w:spacing w:after="0" w:line="294"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We have made and expect to continue to make select equity investments. In addition, when we invest in senior secured loans or</w:t>
      </w:r>
      <w:r>
        <w:rPr>
          <w:rFonts w:ascii="Arial" w:cs="Arial" w:eastAsia="Arial" w:hAnsi="Arial"/>
          <w:sz w:val="16"/>
          <w:szCs w:val="16"/>
          <w:i w:val="1"/>
          <w:iCs w:val="1"/>
          <w:color w:val="auto"/>
        </w:rPr>
        <w:t xml:space="preserve"> </w:t>
      </w:r>
      <w:r>
        <w:rPr>
          <w:rFonts w:ascii="Arial" w:cs="Arial" w:eastAsia="Arial" w:hAnsi="Arial"/>
          <w:sz w:val="16"/>
          <w:szCs w:val="16"/>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90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20" w:hanging="446"/>
        <w:spacing w:after="0" w:line="298"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ind w:right="240" w:firstLine="456"/>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market capitalization limit of $250 million. Qualifying assets also include cash, cash equivalents, government securities and high quality debt securities maturing in one year or less from the time of investment.</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believe that most of our senior secured loans and mezzanine debt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19"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materially adverse affect our investment returns as compared to companies investing primarily in the securities of public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The part of our incentive fee payable to PennantPark Investment Advisers that relates to net investment income is computed and paid on income that has been accrued but that may not have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We may make investments that cause our shareholders to bear investment advisory fees and other expenses on such investments in addition to our management fees and expenses.</w:t>
      </w:r>
    </w:p>
    <w:p>
      <w:pPr>
        <w:spacing w:after="0" w:line="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debt securities may involve significant risks in addition to the risks inherent in U.S. investments.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to the extent permitted under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global climate change may impact the operations of our portfolio companies.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b w:val="1"/>
          <w:bCs w:val="1"/>
          <w:color w:val="auto"/>
        </w:rPr>
        <w:t>We may again obtain the approval of our stockholders to issue shares of our common stock at prices below the then current net asset value per share of our common stock. If we receive such approval from the stockholders, in the future we may again issue shares of our common stock at a price below the then current net asset value per share of common stock. Any such issuance could materially dilute your interest in our common stock and reduce our net asset value per share.</w:t>
      </w:r>
    </w:p>
    <w:p>
      <w:pPr>
        <w:spacing w:after="0" w:line="6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again obtain the approval of our stockholders to issue shares of our common stock at prices below the then current net asset value per share of our common stock. Such approval has allowed, and may again allow, us to access the capital markets in a way that we typically are unable to do as a result of restrictions that, absent stockholder approval, apply to BDCs under the 1940 Act.</w:t>
      </w:r>
    </w:p>
    <w:p>
      <w:pPr>
        <w:spacing w:after="0" w:line="14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Any sale or other issuance of shares of our common stock at a price below net asset value per share has resulted and will continue to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 that we make at a price below our then current net asset value in the future in a prospectus supplement issued in connection with any such offering.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test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 offering in ways with which you may not agree.</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Shares of BDCs may trade at a market price that is less than the net asset value that is attributable to those shares. Our shares have traded above and below our net asset value, or NAV. Our shares traded on the NASDAQ Global Select Market at $8.92 and $10.61 as of September 30, 2011 and 2010, respectively. Our NAV was $10.13 and $10.69 as of September 30, 2011 and 2010,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4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loss of BDC, RIC or SBIC status;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also limits an SBIC from investing idle funds in the following types of securities:</w:t>
      </w:r>
    </w:p>
    <w:p>
      <w:pPr>
        <w:spacing w:after="0" w:line="90" w:lineRule="exact"/>
        <w:rPr>
          <w:sz w:val="20"/>
          <w:szCs w:val="20"/>
          <w:color w:val="auto"/>
        </w:rPr>
      </w:pPr>
    </w:p>
    <w:p>
      <w:pPr>
        <w:ind w:left="900" w:right="8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have current tax liabilities on distributions you reinvest in our common stock.</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w:t>
      </w:r>
    </w:p>
    <w:p>
      <w:pPr>
        <w:spacing w:after="0" w:line="21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 in excess of the cash they receive.</w:t>
      </w:r>
    </w:p>
    <w:p>
      <w:pPr>
        <w:spacing w:after="0" w:line="4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we distribute our common stock as a dividend of our taxable income,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significant costs as a result of being a publicly traded company.</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(the “Exchange Act”), as well as additional corporate governance requirements, including requirements under the Sarbanes-Oxley Act of 2002 (the “Sarbanes-Oxley Act”), and other rules implemented by the SEC and the listing standards of the NASDAQ.</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PennantPark Investment Corporation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prospectus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reliance on the forward looking statements as our actual results could differ materially from those projected in the forward-looking statements for any reason, including the factors set forth in our prospectus entitled “Risk Factors” and elsewhere.</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supplemental prospectus that we in the future may file with SEC including annual and quarterly reports on Form 10-K/Q and current reports on Form 8-K.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You should understand that, under Sections 27A(b)(2)(B) of the Securities Act of 1933, as amended (the “Securities Act”), and Section 21E(b)(2)(B) of the Exchange Act the “safe harbor” provisions of the Private Securities Litigation Reform Act of 1995, do not apply to statements made in connection with any offering of securities pursuant to this prospectus or in periodic reports we file under the Exchange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purposes. Any supplements to this prospectus relating to an offering may more fully identify the use of the proceeds from such offering.</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September 30, 2011, we had $74.1 million of unused borrowing capacity, subject to maintenance of the applicable total assets to debt ratio of 200%, and $240.9 million in borrowings outstanding under our $315.0 million Credit Facility. Borrowings under our Credit Facility bear interest at an annual rate equal to LIBOR plus 100 basis points per annum. At September 30, 2011, the interest rate at that time was 1.27%. The Credit Facility is a revolving facility with a stated maturity date of June 25, 2012 and is secured by substantially all of the assets in our investment portfolio, excluding assets of SBIC LP. Amounts repaid under our Credit Facility remain available for future borrowings. See “Management’s Discussion and Analysis of Financial Condition and Results of Operations” for more information.</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our assets.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years ended September 30, 2011, 2010, 2009, 2008 and for the period from January 11, 2007 (inception) through September 30, 2007 are derived from our Consolidated Financial Statements which have been audited by KPMG LLP, our independent registered public accounting firm. This selected financial data should be read in conjunction with our Consolidated Financial Statements and related notes thereto and “Management’s Discussion and Analysis of Financial Condition and Results of Operations”.</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For the period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from</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Year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12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6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100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91,738</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60,140</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45,119</w:t>
            </w: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39,811</w:t>
            </w:r>
          </w:p>
        </w:tc>
        <w:tc>
          <w:tcPr>
            <w:tcW w:w="2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13,107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expenses before base management fee waiver</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39,093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28,065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expenses after base management fee waiver</w:t>
            </w:r>
            <w:r>
              <w:rPr>
                <w:rFonts w:ascii="Arial" w:cs="Arial" w:eastAsia="Arial" w:hAnsi="Arial"/>
                <w:sz w:val="11"/>
                <w:szCs w:val="11"/>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39,093</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28,065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21,255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52,645</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realized and unrealized (loss) gain</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(42,382)</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(15,539)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13,083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(59,259)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(24,004)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period end)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r>
              <w:rPr>
                <w:rFonts w:ascii="Arial" w:cs="Arial" w:eastAsia="Arial" w:hAnsi="Arial"/>
                <w:sz w:val="11"/>
                <w:szCs w:val="11"/>
                <w:color w:val="auto"/>
              </w:rPr>
              <w:t>(2)</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Net increase/(decrease) in net assets resulting from operations</w:t>
            </w:r>
            <w:r>
              <w:rPr>
                <w:rFonts w:ascii="Arial" w:cs="Arial" w:eastAsia="Arial" w:hAnsi="Arial"/>
                <w:sz w:val="11"/>
                <w:szCs w:val="11"/>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(2),(6)</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w w:val="89"/>
              </w:rPr>
              <w:t>Consolidated Statement of Assets and Liabilities data (at period end):</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928,738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711,494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512,381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827,549</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664,724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469,760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372,148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291,017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388,792</w:t>
            </w:r>
            <w:r>
              <w:rPr>
                <w:rFonts w:ascii="Arial" w:cs="Arial" w:eastAsia="Arial" w:hAnsi="Arial"/>
                <w:sz w:val="11"/>
                <w:szCs w:val="11"/>
                <w:color w:val="auto"/>
              </w:rPr>
              <w:t>(5)</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233,641</w:t>
            </w:r>
            <w:r>
              <w:rPr>
                <w:rFonts w:ascii="Arial" w:cs="Arial" w:eastAsia="Arial" w:hAnsi="Arial"/>
                <w:sz w:val="11"/>
                <w:szCs w:val="11"/>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175,475</w:t>
            </w:r>
            <w:r>
              <w:rPr>
                <w:rFonts w:ascii="Arial" w:cs="Arial" w:eastAsia="Arial" w:hAnsi="Arial"/>
                <w:sz w:val="11"/>
                <w:szCs w:val="11"/>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Payable for investments purchased and unfunded investments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55,705</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74,988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273,334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value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462,657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386,575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210,728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270,393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(7.37)%</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(4)</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base management fee waiver was in effect from inception through March 31,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 Total return is not annualized for a period less than one year.</w:t>
      </w: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Unaudited.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fair value in the case of our Credit Facility.</w:t>
      </w:r>
    </w:p>
    <w:p>
      <w:pPr>
        <w:spacing w:after="0" w:line="9" w:lineRule="exact"/>
        <w:rPr>
          <w:rFonts w:ascii="Arial" w:cs="Arial" w:eastAsia="Arial" w:hAnsi="Arial"/>
          <w:sz w:val="18"/>
          <w:szCs w:val="18"/>
          <w:color w:val="auto"/>
        </w:rPr>
      </w:pPr>
    </w:p>
    <w:p>
      <w:pPr>
        <w:ind w:left="460" w:right="66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Determined based on taxable income calculated in accordance with income tax regulations which may differ from amounts determined under U.S. generally accepted accounting principles.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$ 26,139</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22,908</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$ 22,712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$ 19,979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rPr>
              <w:t>$ 15,095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13,220</w:t>
            </w:r>
          </w:p>
        </w:tc>
        <w:tc>
          <w:tcPr>
            <w:tcW w:w="60" w:type="dxa"/>
            <w:vAlign w:val="bottom"/>
          </w:tcPr>
          <w:p>
            <w:pPr>
              <w:spacing w:after="0"/>
              <w:rPr>
                <w:sz w:val="18"/>
                <w:szCs w:val="18"/>
                <w:color w:val="auto"/>
              </w:rPr>
            </w:pPr>
          </w:p>
        </w:tc>
        <w:tc>
          <w:tcPr>
            <w:tcW w:w="1200" w:type="dxa"/>
            <w:vAlign w:val="bottom"/>
            <w:gridSpan w:val="6"/>
          </w:tcPr>
          <w:p>
            <w:pPr>
              <w:jc w:val="right"/>
              <w:ind w:right="120"/>
              <w:spacing w:after="0"/>
              <w:rPr>
                <w:sz w:val="20"/>
                <w:szCs w:val="20"/>
                <w:color w:val="auto"/>
              </w:rPr>
            </w:pPr>
            <w:r>
              <w:rPr>
                <w:rFonts w:ascii="Arial" w:cs="Arial" w:eastAsia="Arial" w:hAnsi="Arial"/>
                <w:sz w:val="18"/>
                <w:szCs w:val="18"/>
                <w:color w:val="auto"/>
              </w:rPr>
              <w:t>$ 13,159</w:t>
            </w:r>
          </w:p>
        </w:tc>
        <w:tc>
          <w:tcPr>
            <w:tcW w:w="12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$ 11,171</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w:t>
            </w:r>
          </w:p>
        </w:tc>
        <w:tc>
          <w:tcPr>
            <w:tcW w:w="176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w w:val="92"/>
              </w:rPr>
              <w:t>$ (46,260)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(10,901)</w:t>
            </w: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$ 14,351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w w:val="92"/>
              </w:rPr>
              <w:t>$ (31,165)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2,319</w:t>
            </w:r>
          </w:p>
        </w:tc>
        <w:tc>
          <w:tcPr>
            <w:tcW w:w="60" w:type="dxa"/>
            <w:vAlign w:val="bottom"/>
          </w:tcPr>
          <w:p>
            <w:pPr>
              <w:spacing w:after="0"/>
              <w:rPr>
                <w:sz w:val="18"/>
                <w:szCs w:val="18"/>
                <w:color w:val="auto"/>
              </w:rPr>
            </w:pPr>
          </w:p>
        </w:tc>
        <w:tc>
          <w:tcPr>
            <w:tcW w:w="1200" w:type="dxa"/>
            <w:vAlign w:val="bottom"/>
            <w:gridSpan w:val="6"/>
          </w:tcPr>
          <w:p>
            <w:pPr>
              <w:jc w:val="right"/>
              <w:ind w:right="120"/>
              <w:spacing w:after="0"/>
              <w:rPr>
                <w:sz w:val="20"/>
                <w:szCs w:val="20"/>
                <w:color w:val="auto"/>
              </w:rPr>
            </w:pPr>
            <w:r>
              <w:rPr>
                <w:rFonts w:ascii="Arial" w:cs="Arial" w:eastAsia="Arial" w:hAnsi="Arial"/>
                <w:sz w:val="18"/>
                <w:szCs w:val="18"/>
                <w:color w:val="auto"/>
              </w:rPr>
              <w:t>$ 13,587</w:t>
            </w:r>
          </w:p>
        </w:tc>
        <w:tc>
          <w:tcPr>
            <w:tcW w:w="12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Arial" w:cs="Arial" w:eastAsia="Arial" w:hAnsi="Arial"/>
                <w:sz w:val="18"/>
                <w:szCs w:val="18"/>
                <w:color w:val="auto"/>
              </w:rPr>
              <w:t>$ 25,522</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(0.68)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11.08</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11.30</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11.14</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11.92</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r>
      <w:tr>
        <w:trPr>
          <w:trHeight w:val="365"/>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$ 16,681</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16,335</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$ 13,525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$ 13,599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8,957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8,821</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7,059</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7,238</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(2,326)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2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(10,090)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6,630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4,260</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(3,031)</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8,676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10.69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10.94</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11.07</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11.86</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10.37</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365"/>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$ 11,847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10,770</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$ 10,425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$ 12,077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6,018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5,666</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5,267</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5,768</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6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rPr>
              <w:t>$ 20,162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2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$ 36,932</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(37,525)</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rPr>
              <w:t>$ 26,180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1200" w:type="dxa"/>
            <w:vAlign w:val="bottom"/>
            <w:gridSpan w:val="6"/>
          </w:tcPr>
          <w:p>
            <w:pPr>
              <w:jc w:val="right"/>
              <w:ind w:right="120"/>
              <w:spacing w:after="0"/>
              <w:rPr>
                <w:sz w:val="20"/>
                <w:szCs w:val="20"/>
                <w:color w:val="auto"/>
              </w:rPr>
            </w:pPr>
            <w:r>
              <w:rPr>
                <w:rFonts w:ascii="Arial" w:cs="Arial" w:eastAsia="Arial" w:hAnsi="Arial"/>
                <w:sz w:val="18"/>
                <w:szCs w:val="18"/>
                <w:color w:val="auto"/>
              </w:rPr>
              <w:t>$ 42,199</w:t>
            </w:r>
          </w:p>
        </w:tc>
        <w:tc>
          <w:tcPr>
            <w:tcW w:w="12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 (31,757)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11.85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11.72</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12.00</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10.24</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365"/>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rPr>
              <w:t>Q4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Q2</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8"/>
              </w:rPr>
              <w:t>$ 11,431</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9,714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5,434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3,941</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4,449</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4,732</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760" w:type="dxa"/>
            <w:vAlign w:val="bottom"/>
            <w:gridSpan w:val="5"/>
            <w:shd w:val="clear" w:color="auto" w:fill="CCEEFF"/>
          </w:tcPr>
          <w:p>
            <w:pPr>
              <w:ind w:left="980"/>
              <w:spacing w:after="0"/>
              <w:rPr>
                <w:sz w:val="20"/>
                <w:szCs w:val="20"/>
                <w:color w:val="auto"/>
              </w:rPr>
            </w:pPr>
            <w:r>
              <w:rPr>
                <w:rFonts w:ascii="Arial" w:cs="Arial" w:eastAsia="Arial" w:hAnsi="Arial"/>
                <w:sz w:val="18"/>
                <w:szCs w:val="18"/>
                <w:color w:val="auto"/>
                <w:w w:val="92"/>
              </w:rPr>
              <w:t>$ (16,475)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11,263</w:t>
            </w:r>
          </w:p>
        </w:tc>
        <w:tc>
          <w:tcPr>
            <w:tcW w:w="60" w:type="dxa"/>
            <w:vAlign w:val="bottom"/>
            <w:shd w:val="clear" w:color="auto" w:fill="CCEEFF"/>
          </w:tcPr>
          <w:p>
            <w:pPr>
              <w:spacing w:after="0"/>
              <w:rPr>
                <w:sz w:val="18"/>
                <w:szCs w:val="18"/>
                <w:color w:val="auto"/>
              </w:rPr>
            </w:pPr>
          </w:p>
        </w:tc>
        <w:tc>
          <w:tcPr>
            <w:tcW w:w="12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(37,778)</w:t>
            </w: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(16,269)</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760" w:type="dxa"/>
            <w:vAlign w:val="bottom"/>
            <w:gridSpan w:val="5"/>
          </w:tcPr>
          <w:p>
            <w:pPr>
              <w:ind w:left="980"/>
              <w:spacing w:after="0"/>
              <w:rPr>
                <w:sz w:val="20"/>
                <w:szCs w:val="20"/>
                <w:color w:val="auto"/>
              </w:rPr>
            </w:pPr>
            <w:r>
              <w:rPr>
                <w:rFonts w:ascii="Arial" w:cs="Arial" w:eastAsia="Arial" w:hAnsi="Arial"/>
                <w:sz w:val="18"/>
                <w:szCs w:val="18"/>
                <w:color w:val="auto"/>
                <w:w w:val="92"/>
              </w:rPr>
              <w:t>$ (11,041)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15,204</w:t>
            </w:r>
          </w:p>
        </w:tc>
        <w:tc>
          <w:tcPr>
            <w:tcW w:w="60" w:type="dxa"/>
            <w:vAlign w:val="bottom"/>
          </w:tcPr>
          <w:p>
            <w:pPr>
              <w:spacing w:after="0"/>
              <w:rPr>
                <w:sz w:val="18"/>
                <w:szCs w:val="18"/>
                <w:color w:val="auto"/>
              </w:rPr>
            </w:pPr>
          </w:p>
        </w:tc>
        <w:tc>
          <w:tcPr>
            <w:tcW w:w="1200" w:type="dxa"/>
            <w:vAlign w:val="bottom"/>
            <w:gridSpan w:val="6"/>
          </w:tcPr>
          <w:p>
            <w:pPr>
              <w:jc w:val="right"/>
              <w:ind w:right="60"/>
              <w:spacing w:after="0"/>
              <w:rPr>
                <w:sz w:val="20"/>
                <w:szCs w:val="20"/>
                <w:color w:val="auto"/>
              </w:rPr>
            </w:pPr>
            <w:r>
              <w:rPr>
                <w:rFonts w:ascii="Arial" w:cs="Arial" w:eastAsia="Arial" w:hAnsi="Arial"/>
                <w:sz w:val="18"/>
                <w:szCs w:val="18"/>
                <w:color w:val="auto"/>
              </w:rPr>
              <w:t>$ (33,329)</w:t>
            </w:r>
          </w:p>
        </w:tc>
        <w:tc>
          <w:tcPr>
            <w:tcW w:w="12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 (11,537)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(0.53)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(0.54)</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1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18"/>
                <w:szCs w:val="18"/>
                <w:color w:val="auto"/>
              </w:rPr>
            </w:pPr>
          </w:p>
        </w:tc>
        <w:tc>
          <w:tcPr>
            <w:tcW w:w="5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10.26</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1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r>
      <w:tr>
        <w:trPr>
          <w:trHeight w:val="351"/>
        </w:trPr>
        <w:tc>
          <w:tcPr>
            <w:tcW w:w="4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Q4</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Q3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99"/>
              </w:rPr>
              <w:t>Q2*</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6,909</w:t>
            </w:r>
          </w:p>
        </w:tc>
        <w:tc>
          <w:tcPr>
            <w:tcW w:w="5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$ 5,425</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4,348</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4"/>
          </w:tcPr>
          <w:p>
            <w:pPr>
              <w:ind w:left="20"/>
              <w:spacing w:after="0"/>
              <w:rPr>
                <w:sz w:val="20"/>
                <w:szCs w:val="20"/>
                <w:color w:val="auto"/>
              </w:rPr>
            </w:pPr>
            <w:r>
              <w:rPr>
                <w:rFonts w:ascii="Arial" w:cs="Arial" w:eastAsia="Arial" w:hAnsi="Arial"/>
                <w:sz w:val="18"/>
                <w:szCs w:val="18"/>
                <w:color w:val="auto"/>
                <w:w w:val="99"/>
              </w:rPr>
              <w:t>$ 3,208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37"/>
              <w:spacing w:after="0"/>
              <w:rPr>
                <w:sz w:val="20"/>
                <w:szCs w:val="20"/>
                <w:color w:val="auto"/>
              </w:rPr>
            </w:pPr>
            <w:r>
              <w:rPr>
                <w:rFonts w:ascii="Arial" w:cs="Arial" w:eastAsia="Arial" w:hAnsi="Arial"/>
                <w:sz w:val="18"/>
                <w:szCs w:val="18"/>
                <w:color w:val="auto"/>
                <w:w w:val="99"/>
              </w:rPr>
              <w:t>(251)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jc w:val="right"/>
              <w:ind w:right="415"/>
              <w:spacing w:after="0"/>
              <w:rPr>
                <w:sz w:val="20"/>
                <w:szCs w:val="20"/>
                <w:color w:val="auto"/>
              </w:rPr>
            </w:pPr>
            <w:r>
              <w:rPr>
                <w:rFonts w:ascii="Arial" w:cs="Arial" w:eastAsia="Arial" w:hAnsi="Arial"/>
                <w:sz w:val="18"/>
                <w:szCs w:val="18"/>
                <w:color w:val="auto"/>
              </w:rPr>
              <w:t>$ (18,870)</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89"/>
              </w:rPr>
              <w:t>$(5,152)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(decrease) in net assets resulting from operations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6"/>
          </w:tcPr>
          <w:p>
            <w:pPr>
              <w:jc w:val="right"/>
              <w:ind w:right="415"/>
              <w:spacing w:after="0"/>
              <w:rPr>
                <w:sz w:val="20"/>
                <w:szCs w:val="20"/>
                <w:color w:val="auto"/>
              </w:rPr>
            </w:pPr>
            <w:r>
              <w:rPr>
                <w:rFonts w:ascii="Arial" w:cs="Arial" w:eastAsia="Arial" w:hAnsi="Arial"/>
                <w:sz w:val="18"/>
                <w:szCs w:val="18"/>
                <w:color w:val="auto"/>
              </w:rPr>
              <w:t>$ (14,522)</w:t>
            </w:r>
          </w:p>
        </w:tc>
        <w:tc>
          <w:tcPr>
            <w:tcW w:w="60" w:type="dxa"/>
            <w:vAlign w:val="bottom"/>
          </w:tcPr>
          <w:p>
            <w:pPr>
              <w:spacing w:after="0"/>
              <w:rPr>
                <w:sz w:val="18"/>
                <w:szCs w:val="18"/>
                <w:color w:val="auto"/>
              </w:rPr>
            </w:pPr>
          </w:p>
        </w:tc>
        <w:tc>
          <w:tcPr>
            <w:tcW w:w="640" w:type="dxa"/>
            <w:vAlign w:val="bottom"/>
            <w:gridSpan w:val="4"/>
          </w:tcPr>
          <w:p>
            <w:pPr>
              <w:ind w:left="20"/>
              <w:spacing w:after="0"/>
              <w:rPr>
                <w:sz w:val="20"/>
                <w:szCs w:val="20"/>
                <w:color w:val="auto"/>
              </w:rPr>
            </w:pPr>
            <w:r>
              <w:rPr>
                <w:rFonts w:ascii="Arial" w:cs="Arial" w:eastAsia="Arial" w:hAnsi="Arial"/>
                <w:sz w:val="18"/>
                <w:szCs w:val="18"/>
                <w:color w:val="auto"/>
                <w:w w:val="89"/>
              </w:rPr>
              <w:t>$(1,944)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ind w:right="37"/>
              <w:spacing w:after="0"/>
              <w:rPr>
                <w:sz w:val="20"/>
                <w:szCs w:val="20"/>
                <w:color w:val="auto"/>
              </w:rPr>
            </w:pPr>
            <w:r>
              <w:rPr>
                <w:rFonts w:ascii="Arial" w:cs="Arial" w:eastAsia="Arial" w:hAnsi="Arial"/>
                <w:sz w:val="18"/>
                <w:szCs w:val="18"/>
                <w:color w:val="auto"/>
                <w:w w:val="99"/>
              </w:rPr>
              <w:t>(234)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15"/>
              <w:spacing w:after="0"/>
              <w:rPr>
                <w:sz w:val="20"/>
                <w:szCs w:val="20"/>
                <w:color w:val="auto"/>
              </w:rPr>
            </w:pPr>
            <w:r>
              <w:rPr>
                <w:rFonts w:ascii="Arial" w:cs="Arial" w:eastAsia="Arial" w:hAnsi="Arial"/>
                <w:sz w:val="18"/>
                <w:szCs w:val="18"/>
                <w:color w:val="auto"/>
              </w:rPr>
              <w:t>(0.70)</w:t>
            </w: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6"/>
              </w:rPr>
              <w:t>$ (0.09)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37"/>
              <w:spacing w:after="0"/>
              <w:rPr>
                <w:sz w:val="20"/>
                <w:szCs w:val="20"/>
                <w:color w:val="auto"/>
              </w:rPr>
            </w:pPr>
            <w:r>
              <w:rPr>
                <w:rFonts w:ascii="Arial" w:cs="Arial" w:eastAsia="Arial" w:hAnsi="Arial"/>
                <w:sz w:val="18"/>
                <w:szCs w:val="18"/>
                <w:color w:val="auto"/>
                <w:w w:val="86"/>
              </w:rPr>
              <w:t>$ (0.01)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12.83</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4"/>
          </w:tcPr>
          <w:p>
            <w:pPr>
              <w:ind w:left="20"/>
              <w:spacing w:after="0"/>
              <w:rPr>
                <w:sz w:val="20"/>
                <w:szCs w:val="20"/>
                <w:color w:val="auto"/>
              </w:rPr>
            </w:pPr>
            <w:r>
              <w:rPr>
                <w:rFonts w:ascii="Arial" w:cs="Arial" w:eastAsia="Arial" w:hAnsi="Arial"/>
                <w:sz w:val="18"/>
                <w:szCs w:val="18"/>
                <w:color w:val="auto"/>
                <w:w w:val="99"/>
              </w:rPr>
              <w:t>$ 13.74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$12.08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13.40</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w w:val="99"/>
              </w:rPr>
              <w:t>$ 14.04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From January 11, 2007 (inception of operations) through March 31, 2007.</w:t>
      </w:r>
    </w:p>
    <w:p>
      <w:pPr>
        <w:spacing w:after="0" w:line="15"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common shares began trading on April 19, 2007.</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240" w:top="459" w:right="6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believe the middle-market offers attractive risk-reward to investors due to the limited amount of capital available for such companies. We seeks to create a diversified portfolio that includes senior secured loans, mezzanine debt and equity investments by investing approximately $10 to $50 million of capital, on average, in the securities of middle-market companies. We use the term “middle-market” to refer to companies with annual revenues between $50 million and $1 billion. We may also invest in public middle-market U.S. companies that are thinly traded or have a small-market capitalization.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45"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 In the future, we may also securitize a portion of our investments to raise investment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tax purposes we intend to continue to be treated as a RIC and qualify annually under the Code.</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wholly-owned subsidiary, PennantPark SBIC LP, was organized as a Delaware limited partnership on May 7, 2010 and received a license from the SBA to operate as an SBIC under Section 301(c) of the 1958 Act in July 2010. SBIC LP’s objective is substantially similar to PennantPark Investment, generally co-investing in SBA eligible businesses that meet the investment criteria of PennantPark Investment.</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our average adjusted gross total assets as well as an incentive fee based on our investment performance. PennantPark Investment, through the Investment Adviser, provides similar services to SBIC LP under its investment management agreement. The SBIC LP investment management agreement does not affect the management and incentive fees on a consolidated basis.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We, through the Administrator, provide similar services to SBIC LP under its administration agreement with us. Our board of directors, a majority of whom are independent of us and PennantPark Investment Advisers, supervises our activities.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The principal amount of the debt securities and any accrued but unpaid interest generally becomes due at the maturity date. In addition, we may generate revenue in the form of commitment, origination, structuring or diligence fees, fees for providing managerial assistance and possibly consulting fees. Loan origination fees, original issue discount and market discount or premium are capitalized, and we accrete or amortize such amounts as income. We record prepayment premiums on loans and debt securities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primary operating expenses include the payment of management fees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we accrue under our Credit Facility and SBA debentures. We bear all other direct or indirect costs and expenses of our operations and transactions, including:</w:t>
      </w:r>
    </w:p>
    <w:p>
      <w:pPr>
        <w:spacing w:after="0" w:line="3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costs associated with our reporting and compliance obligations under the 1940 Act, the 1958 Act and applicable federal and state securities laws; and</w:t>
      </w:r>
    </w:p>
    <w:p>
      <w:pPr>
        <w:spacing w:after="0" w:line="124" w:lineRule="exact"/>
        <w:rPr>
          <w:rFonts w:ascii="Arial" w:cs="Arial" w:eastAsia="Arial" w:hAnsi="Arial"/>
          <w:sz w:val="15"/>
          <w:szCs w:val="15"/>
          <w:color w:val="auto"/>
        </w:rPr>
      </w:pPr>
    </w:p>
    <w:p>
      <w:pPr>
        <w:ind w:left="900" w:hanging="446"/>
        <w:spacing w:after="0" w:line="256"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6 of this prospectus rather than as a percentage of total assets. Total assets include assets that have been funded with borrowed money (leverage). For reference, the chart below illustrates our estimated “Total Annual Expenses” as a percentage of total assets:</w:t>
      </w: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ind w:left="1260"/>
              <w:spacing w:after="0"/>
              <w:rPr>
                <w:sz w:val="20"/>
                <w:szCs w:val="20"/>
                <w:color w:val="auto"/>
              </w:rPr>
            </w:pPr>
            <w:r>
              <w:rPr>
                <w:rFonts w:ascii="Arial" w:cs="Arial" w:eastAsia="Arial" w:hAnsi="Arial"/>
                <w:sz w:val="18"/>
                <w:szCs w:val="18"/>
                <w:b w:val="1"/>
                <w:bCs w:val="1"/>
                <w:color w:val="auto"/>
                <w:w w:val="95"/>
              </w:rPr>
              <w:t>Estimated Annual Expenses (as a Percentage of Average Total Assets)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Incentive fees payable under the Investment Management Agreement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1.92%</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0.90%</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expenses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0.76%</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annual expenses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5.58%</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5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See “Certain Relationships and Transactions —Investment Management Agreement” for more information.</w:t>
      </w:r>
    </w:p>
    <w:p>
      <w:pPr>
        <w:ind w:left="460" w:right="20" w:hanging="452"/>
        <w:spacing w:after="0" w:line="281"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fiscal year ended September 30, 2011.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2011, our unrealized capital gains did not exceed our cumulative realized and unrealized capital losses. As we cannot predict our future net investment income or capital gains, the incentive fee paid in future years, if any, may be substantially different than the fee earned during the fiscal year ended September 30, 2011. For more detailed information about the incentive fee, please see “Certain Relationships and Transactions—Investment Management Agreement” in this prospectus.</w:t>
      </w:r>
    </w:p>
    <w:p>
      <w:pPr>
        <w:spacing w:after="0" w:line="6" w:lineRule="exact"/>
        <w:rPr>
          <w:rFonts w:ascii="Arial" w:cs="Arial" w:eastAsia="Arial" w:hAnsi="Arial"/>
          <w:sz w:val="16"/>
          <w:szCs w:val="16"/>
          <w:color w:val="auto"/>
        </w:rPr>
      </w:pPr>
    </w:p>
    <w:p>
      <w:pPr>
        <w:ind w:left="460" w:right="120" w:hanging="452"/>
        <w:spacing w:after="0" w:line="30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of September 30, 2011, we had $74.1 million of unused borrowing capacity, subject to maintenance of the applicable total assets to debt ratio of 200%, and $240.9 million in borrowings outstanding under our $315.0 million Credit Facility. As of September 30, 2011, SBIC LP had SBA debentures in the amount of $150.0 million outstanding with a weighted average interest rate of 3.70%, exclusive of the 3.43% of</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83" w:lineRule="auto"/>
        <w:rPr>
          <w:sz w:val="20"/>
          <w:szCs w:val="20"/>
          <w:color w:val="auto"/>
        </w:rPr>
      </w:pPr>
      <w:r>
        <w:rPr>
          <w:rFonts w:ascii="Arial" w:cs="Arial" w:eastAsia="Arial" w:hAnsi="Arial"/>
          <w:sz w:val="16"/>
          <w:szCs w:val="16"/>
          <w:color w:val="auto"/>
        </w:rPr>
        <w:t>upfront fees (4.04% inclusive of the the 3.43% of upfront fees). We may use proceeds of an offering of securities under this registration statement to repay outstanding obligations under our Credit Facility. After completing any such offering, we may continue to borrow under our Credit Facility to finance our investment objectives under the terms of our Credit Facility.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1" w:lineRule="exact"/>
        <w:rPr>
          <w:sz w:val="20"/>
          <w:szCs w:val="20"/>
          <w:color w:val="auto"/>
        </w:rPr>
      </w:pPr>
    </w:p>
    <w:p>
      <w:pPr>
        <w:ind w:left="46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fiscal year ended September 30, 2011. See the Consolidated Statement of Operations in our Consolidated Financial Statements.</w:t>
      </w:r>
    </w:p>
    <w:p>
      <w:pPr>
        <w:spacing w:after="0" w:line="1"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as of September 30, 2011.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For the fiscal year ended September 30, 2011, we purchased $479.7 million of investments issued by 17 new and 11 existing portfolio companies with an overall weighted average yield of 13.7% on debt investments. This compares to purchasing $309.5 million of investments issued by 17 new and 12 existing portfolio companies with an overall weighted average yield of 14.9% on debt investments and purchasing $112.7 million of investments issued by 11 new and 8 existing portfolio companies with an overall weighted average yield of 14.5% on debt investments for the fiscal years ended September 30, 2010 and 2009, respectively.</w:t>
      </w:r>
    </w:p>
    <w:p>
      <w:pPr>
        <w:spacing w:after="0" w:line="14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For the fiscal year ended September 30, 2011 sales and repayments generated proceeds of $304.0 million. This compares to sales and repayments that generated proceeds for the fiscal years ended September 30, 2010 and 2009 of $145.2 and $28.0 million, respectively.</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2011, our portfolio totaled $827.5 million and consisted of $296.5 million of senior secured loans, $165.3 million of second lien secured debt, $309.3 million of subordinated debt and $56.4 million of preferred and common equity investments. Our portfolio consisted of 61% fixed-rate, 31% variable-rate with a LIBOR or prime floor and 8% variable-rate investments. Our overall portfolio consisted of 48 companies with an average investment size of $17.2 million, a weighted average yield on debt investments of 13.3%, and was invested 36% in senior secured loans, 20% in second lien secured debt, 37% in subordinated debt and 7% in preferred and common equity investments.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2010, our portfolio totaled $664.7 million and consisted of $234.6 million of senior secured loans, $156.7 million of second lien secured debt, $223.9 million of subordinated debt and $49.5 million of preferred and common equity investments. Our portfolio consisted of 49% fixed-rate, 26% variable-rate with a LIBOR or prime floor and 25% variable-rate investments. Our overall portfolio consisted of 43 companies with an average investment size of $15.5 million, a weighted average yield on debt investments of 12.7%, and was invested 35% in senior secured loans, 24% in second lien secured debt, 34% in subordinated debt and 7% in preferred and common equity investments.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discussion of our financial condition and results of operation is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Changes in the economic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expect that there may not be readily available market values for many of our investments which are or will be in our portfolio. We value such investments at fair value as determined in good faith by or under the direction of our board of directors using a documented valuation policy, described in this prospectus,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0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37" w:lineRule="exact"/>
        <w:rPr>
          <w:sz w:val="20"/>
          <w:szCs w:val="20"/>
          <w:color w:val="auto"/>
        </w:rPr>
      </w:pPr>
    </w:p>
    <w:p>
      <w:pPr>
        <w:ind w:left="90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senior investment professionals of the Investment Adviser responsible for the portfolio investment;</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76"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48"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based on market data obtained from sources independent of us. Unobservable inputs are inputs that reflect the assumptions market participants would use in pricing an asset or liability based on the best information available to us at the reporting period date.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differ from our valuation and those differences may be material.</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inputs into the determination of fair value may require significant management judgment or estimation. Even if observable market data are available, such data may be the result of consensus pricing information or broker quotes which may include a disclaimer that the broker would not be held to such a price in an actual transaction. The non-binding nature of consensus pricing and/or quotes from brokers/dealers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20"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 for an investment. Ongoing reviews by the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its board of directors that is consistent with ASC 820. Consistent with our valuation policy, we evaluate the source of inputs, including any markets in which its investments are trading, in determining fair value.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our selected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of a company’s choice to use fair value on its earnings. ASC 825-10 also requires entities to display the fair value of the selected assets and liabilities on the face of the Consolidated Statement of Assets and Liabilities and changes in fair value of our Credit Facility are recorded in Consolidated Statement of Operations. We elected not to apply ASC 825-10 to any other financial assets or liabilities including the SBA debentures. For the years ended September 30, 2011 and 2010, our Credit Facility had a new change in unrealized appreciation of $11.9 million and $35.7 million, respectively. As of September 30, 2011 and 2010, net unrealized depreciation on our Credit Facility totaled $2.1 million and $14.0 million, respectively. We use nationally recognized independent valuation services to measure the fair value of our Credit Facility in a manner consistent with the valuation process that the board of directors uses to value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original issue discount, market discount or premium and deferred financing costs on our debt are capitalized, and we then amortize such amounts as interest income or expense as applicable. We record prepayment premiums on loans and debt investments as income. Dividend income, if any, is recognized on an accrual basis on the ex-dividend date to the extent that we expect to collect such amounts.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9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operate so as to qualify to maintain our election to be taxed as a RIC under Subchapter M of the Code and intend to continue to do so. To maintain RIC tax benefits, we must, among other requirements, meet certain source-of-income and quarterly asset diversification requirements (as described below). We also must annually distribute dividends of at least 90% the sum of our ordinary income and realized net short-term capital gains, if any, our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w:t>
      </w:r>
    </w:p>
    <w:p>
      <w:pPr>
        <w:spacing w:after="0" w:line="2" w:lineRule="exact"/>
        <w:rPr>
          <w:sz w:val="20"/>
          <w:szCs w:val="20"/>
          <w:color w:val="auto"/>
        </w:rPr>
      </w:pPr>
    </w:p>
    <w:p>
      <w:pPr>
        <w:ind w:right="20" w:firstLine="8"/>
        <w:spacing w:after="0" w:line="254"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4"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fiscal years ended September 30, 2011, 2010 and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growth of our portfolio which was also driven by investment of the proceeds from our equity offering and rotation out of lower yielding assets.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2010 was $60.1 million and was attributable to $19.5 million from senior secured loan investments, $14.1 million from second lien secured debt investments, and $26.5 million from subordinated debt investments. The increase in investment income over the prior year was due to growth in our overall portfolio which was also driven by investment of the proceeds from our equity offering and rotation out of lower yielding assets.</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Investment income for the fiscal year ended September 30, 2009 was $45.1 million and was attributable to $6.0 million from senior secured loan investments, $12.2 million from second lien secured debt investments, and $24.1 million from subordinated debt investments. For the same period remaining investment income was primarily attributed to interest income from net accretion of discount and amortization of premium. The increase in investment income over the prior year was due to growth in our overall portfolio.</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Expenses for the fiscal year ended September 30, 2011 totaled $39.1 million. Base management fee for the same period totaled $14.9 million, performance-based incentive fee totaled $13.2 million, Credit Facility and SBA debentures related expenses totaled $5.3 million, general and administrative expenses totaled $5.5 million, and an excise tax of $0.2 million was incurred. The increase in expenses over the prior year was primarily due to the growth of our portfolio as well as increased borrowing costs.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Expenses for the fiscal year ended September 30, 2010 totaled $28.0 million. Base management fee for the same period totaled $11.6 million, performance-based incentive fee totaled $8.0 million, Credit Facility and SBA debentures related expenses totaled $3.7 million, general and administrative expenses totaled $4.6 million, and an excise tax of $0.1 million was incurred. The increase in expenses over the prior year was primarily due to the growth of our portfolio.</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expenses for the fiscal year ended September 30, 2009 totaled $22.4 million. Base management fee for the same period totaled $7.7 million, performance-based incentive fee totaled $5.7 million, Credit Facility and SBA debentures related expenses totaled $4.6 million, general and administrative expenses totaled $4.4 million. The increase in expenses over the prior year was due to the growth of our portfolio and offset by the reduced borrowing costs under our Credit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Net investment income totaled $52.6 million or $1.25 per share, $32.1 million or $1.09 per share and $22.7 million or $1.08 per share for the fiscal years ended September 30, 2011, 2010 and 2009, respectively. The increase in per share net investment income from 2010 to 2011 was the result of the growth of our portfolio.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Sales and repayments of long-term investments for the fiscal years ended September 30, 2011, 2010 and 2009 totaled $304.0 million, $145.2 million and $28.0 million, respectively, and net realized gains (losses) totaled $16.3 million, $(15.4) million and $(39.2) million, respectively. Net realized gains increased over the prior year due to sales and repayments of our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(Depreciation) on Investments and Credit Facility</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change in unrealized (depreciation) appreciation on investments totaled $(46.8) million, $35.5 million and $44.5 million for the fiscal years ended September 30, 2011, 2010 and 2009, respectively. Net change in unrealized (appreciation) deprecation on our Credit Facility totaled $(11.9) million, $(35.7) million and $7.8 million for the same periods, respectively. Net change in unrealized depreciation on investments increased over the prior year due to the overall deterioration in the leveraged finance markets. Net change in unrealized (appreciation) on our Credit Facility over the prior year is the result of its approaching maturity.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Net increase in net assets resulting from operations totaled $10.3 million or $0.24 per share, $16.5 million or $0.56 per share, and $35.8 million or $1.70 per share for the fiscal years ended September 30, 2011, 2010, and 2009, respectively. The net increase in net assets from operations was lower than the prior year due to the continued growth in net investment income as a result of growing our portfolio and realized gains offset by the appreciation in the value of our credit facility as it approaches maturity and depreciation on our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SBA debentures, proceeds from the rotation of our portfolio and from public and private offerings of securities to finance our investment objectives.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raise additional equity or debt capital through both registered offerings off a shelf registration and private offerings of securities, by securitizing a portion of our investments or borrowing from the SBA through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SBIC LP, among other sources. Any future additional debt capital we incur, to the extent it is available under current credit market conditions, may be issued at a higher cost and on less favorable terms and conditions than our current Credit Facility. We continuously monitor conditions in the credit markets and seek opportunities to enhance our debt structure as our Credit Facility matures in June 2012. We are in discussions with lenders regarding a new credit facility to replace our existing facility, which matures in June 2012. Furthermore, our Credit Facility availability depends on various covenants and restrictions as discussed below. The primary uses of existing funds and any funds raised in the future is expected to be for repayment of indebtedness, investments in portfolio companies, cash distributions to our shareholders and for other general corporate purposes.</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June 25, 2007, PennantPark Investment entered into the Credit Facility, with various lenders and SunTrust Bank, as administrative agent for the lenders. As of September 30, 2011 and 2010, we had outstanding borrowings of $240.9 million and $233.1 million (including a $5.2 million temporary draw) under the Credit Facility, with a weighted average interest rate of 1.27% and 1.34%, exclusive of the fee on undrawn commitment of 0.20%, and $74.1 million and $66.9 million of unused borrowing capacity, respectively.</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our Credit Facility, the lenders agreed to extend us credit in an initial aggregate principal or face amount not exceeding $315.0 million outstanding at any one time. The Credit Facility is a five-year revolving facility (with a stated maturity date of June 25, 2012) and is secured by substantially all of our investment portfolio assets, except for those assets of SBIC LP. Pricing of borrowings under our Credit Facility is set at 100 basis points over LIBOR.</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credit facility contains affirmative and restrictive covenants, including but not limited to maintenance of a minimum shareholders’ equity of the greater of (i) 40% of the total assets of PennantPark Investment and its subsidiaries as of the last day of any fiscal quarter and (ii) the sum of (A) $120,000,000 plus</w:t>
      </w:r>
    </w:p>
    <w:p>
      <w:pPr>
        <w:ind w:right="120" w:firstLine="8"/>
        <w:spacing w:after="0" w:line="252" w:lineRule="auto"/>
        <w:tabs>
          <w:tab w:leader="none" w:pos="278" w:val="left"/>
        </w:tabs>
        <w:numPr>
          <w:ilvl w:val="0"/>
          <w:numId w:val="53"/>
        </w:numPr>
        <w:rPr>
          <w:rFonts w:ascii="Arial" w:cs="Arial" w:eastAsia="Arial" w:hAnsi="Arial"/>
          <w:sz w:val="18"/>
          <w:szCs w:val="18"/>
          <w:color w:val="auto"/>
        </w:rPr>
      </w:pPr>
      <w:r>
        <w:rPr>
          <w:rFonts w:ascii="Arial" w:cs="Arial" w:eastAsia="Arial" w:hAnsi="Arial"/>
          <w:sz w:val="18"/>
          <w:szCs w:val="18"/>
          <w:color w:val="auto"/>
        </w:rPr>
        <w:t>25% of the net proceeds from the sale of equity interests in PennantPark Investment and its subsidiaries after the closing date of the Credit Facility and maintenance of a ratio of total assets (less total liabilities other than indebtedness) to total indebtedness, in each case of PennantPark Investment, of not less than 2.0:1.0 (excluding any exemptive relief granted by the SEC with respect to the indebtedness of any SBIC subsidiary). In addition to the asset coverage ratio described in the preceding sentence, borrowings under our Credit Facility (and the incurrence of certain other permitted debt) are subject to compliance with a borrowing base that will apply different advance rates to different types of assets in PennantPark Investment’s portfolio. As of September 30, 2011, we were in compliance with the terms of our Credit Facility.</w:t>
      </w:r>
    </w:p>
    <w:p>
      <w:pPr>
        <w:spacing w:after="0" w:line="14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accordance with the 1940 Act, with certain limited exceptions, PennantPark Investment is only allowed to borrow amounts such that its asset coverage, as defined in the 1940 Act, is at least 200% after such borrowing. As of September 30, 2011, 2010, 2009, 2008 and 2007 our asset coverage for borrowed amounts was 294%, 266%, 271%, 204% and 2,804%. As of September 30, 2011, we have excluded the SBA debentures from our asset coverage ratio pursuant to SEC exemptive relief.</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fiscal year ended September 30, 2011, we sold 9.2 million shares of our common stock, inclusive of the underwriters’ over-allotment options, resulting in net proceeds of $108.3 million. This compares to selling 10.8 million shares of common stock, inclusive of the underwriters’ over-allotment option, resulting in net proceeds of $101.7 million, for the fiscal year ended September 30, 2010. Any decision to sell shares below the then current net asset value per share of our common stock in one or more offerings is subject to shareholder approval and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paid-in and is subject to customary regulatory requirements including, but not limited to, an examination by the SBA. As of September 30, 2011, we have contributed $75.0 million to SBIC LP and had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SBA debentures outstanding of $150.0 million.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 million, which is up to twice its potential regulatory capital.</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September 30, 2011, $150.0 million in debt commitments were fully drawn with a weighted average interest rate of 3.70% exclusive of the 3.43% in upfront fees (4.04% inclusive of the 3.43% upfront fees). The SBA debenture’s upfront fees of 3.43% consists of a commitment fee of 1% and an issuance at a 2.43% discount to face. Both fees are amortized over the life of the loans.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20" w:type="dxa"/>
            <w:vAlign w:val="bottom"/>
            <w:gridSpan w:val="5"/>
          </w:tcPr>
          <w:p>
            <w:pPr>
              <w:jc w:val="right"/>
              <w:ind w:right="452"/>
              <w:spacing w:after="0"/>
              <w:rPr>
                <w:sz w:val="20"/>
                <w:szCs w:val="20"/>
                <w:color w:val="auto"/>
              </w:rPr>
            </w:pPr>
            <w:r>
              <w:rPr>
                <w:rFonts w:ascii="Arial" w:cs="Arial" w:eastAsia="Arial" w:hAnsi="Arial"/>
                <w:sz w:val="14"/>
                <w:szCs w:val="14"/>
                <w:b w:val="1"/>
                <w:bCs w:val="1"/>
                <w:color w:val="auto"/>
              </w:rPr>
              <w:t>As of September 30, 2011</w:t>
            </w:r>
          </w:p>
        </w:tc>
        <w:tc>
          <w:tcPr>
            <w:tcW w:w="520" w:type="dxa"/>
            <w:vAlign w:val="bottom"/>
          </w:tcPr>
          <w:p>
            <w:pPr>
              <w:spacing w:after="0"/>
              <w:rPr>
                <w:sz w:val="14"/>
                <w:szCs w:val="14"/>
                <w:color w:val="auto"/>
              </w:rPr>
            </w:pPr>
          </w:p>
        </w:tc>
        <w:tc>
          <w:tcPr>
            <w:tcW w:w="2600" w:type="dxa"/>
            <w:vAlign w:val="bottom"/>
            <w:gridSpan w:val="6"/>
          </w:tcPr>
          <w:p>
            <w:pPr>
              <w:ind w:left="520"/>
              <w:spacing w:after="0"/>
              <w:rPr>
                <w:sz w:val="20"/>
                <w:szCs w:val="20"/>
                <w:color w:val="auto"/>
              </w:rPr>
            </w:pPr>
            <w:r>
              <w:rPr>
                <w:rFonts w:ascii="Arial" w:cs="Arial" w:eastAsia="Arial" w:hAnsi="Arial"/>
                <w:sz w:val="14"/>
                <w:szCs w:val="14"/>
                <w:b w:val="1"/>
                <w:bCs w:val="1"/>
                <w:color w:val="auto"/>
              </w:rPr>
              <w:t>As of September 30, 2010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Borders>
              <w:top w:val="single" w:sz="8" w:color="auto"/>
            </w:tcBorders>
            <w:gridSpan w:val="2"/>
          </w:tcPr>
          <w:p>
            <w:pPr>
              <w:jc w:val="right"/>
              <w:ind w:right="400"/>
              <w:spacing w:after="0" w:line="115" w:lineRule="exact"/>
              <w:rPr>
                <w:sz w:val="20"/>
                <w:szCs w:val="20"/>
                <w:color w:val="auto"/>
              </w:rPr>
            </w:pPr>
            <w:r>
              <w:rPr>
                <w:rFonts w:ascii="Arial" w:cs="Arial" w:eastAsia="Arial" w:hAnsi="Arial"/>
                <w:sz w:val="12"/>
                <w:szCs w:val="12"/>
                <w:b w:val="1"/>
                <w:bCs w:val="1"/>
                <w:color w:val="auto"/>
              </w:rPr>
              <w:t>All-in Coupon</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380"/>
              <w:spacing w:after="0" w:line="115" w:lineRule="exact"/>
              <w:rPr>
                <w:sz w:val="20"/>
                <w:szCs w:val="20"/>
                <w:color w:val="auto"/>
              </w:rPr>
            </w:pPr>
            <w:r>
              <w:rPr>
                <w:rFonts w:ascii="Arial" w:cs="Arial" w:eastAsia="Arial" w:hAnsi="Arial"/>
                <w:sz w:val="12"/>
                <w:szCs w:val="12"/>
                <w:b w:val="1"/>
                <w:bCs w:val="1"/>
                <w:color w:val="auto"/>
              </w:rPr>
              <w:t>All-in Coupon</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Pr>
          <w:p>
            <w:pPr>
              <w:ind w:left="1180"/>
              <w:spacing w:after="0"/>
              <w:rPr>
                <w:sz w:val="20"/>
                <w:szCs w:val="20"/>
                <w:color w:val="auto"/>
              </w:rPr>
            </w:pPr>
            <w:r>
              <w:rPr>
                <w:rFonts w:ascii="Arial" w:cs="Arial" w:eastAsia="Arial" w:hAnsi="Arial"/>
                <w:sz w:val="14"/>
                <w:szCs w:val="14"/>
                <w:b w:val="1"/>
                <w:bCs w:val="1"/>
                <w:color w:val="auto"/>
              </w:rPr>
              <w:t>Issuance Dates</w:t>
            </w:r>
          </w:p>
        </w:tc>
        <w:tc>
          <w:tcPr>
            <w:tcW w:w="440" w:type="dxa"/>
            <w:vAlign w:val="bottom"/>
          </w:tcPr>
          <w:p>
            <w:pPr>
              <w:spacing w:after="0"/>
              <w:rPr>
                <w:sz w:val="15"/>
                <w:szCs w:val="15"/>
                <w:color w:val="auto"/>
              </w:rPr>
            </w:pPr>
          </w:p>
        </w:tc>
        <w:tc>
          <w:tcPr>
            <w:tcW w:w="2100" w:type="dxa"/>
            <w:vAlign w:val="bottom"/>
            <w:gridSpan w:val="2"/>
          </w:tcPr>
          <w:p>
            <w:pPr>
              <w:ind w:left="580"/>
              <w:spacing w:after="0"/>
              <w:rPr>
                <w:sz w:val="20"/>
                <w:szCs w:val="20"/>
                <w:color w:val="auto"/>
              </w:rPr>
            </w:pPr>
            <w:r>
              <w:rPr>
                <w:rFonts w:ascii="Arial" w:cs="Arial" w:eastAsia="Arial" w:hAnsi="Arial"/>
                <w:sz w:val="14"/>
                <w:szCs w:val="14"/>
                <w:b w:val="1"/>
                <w:bCs w:val="1"/>
                <w:color w:val="auto"/>
              </w:rPr>
              <w:t>Maturity</w:t>
            </w:r>
          </w:p>
        </w:tc>
        <w:tc>
          <w:tcPr>
            <w:tcW w:w="1260" w:type="dxa"/>
            <w:vAlign w:val="bottom"/>
            <w:gridSpan w:val="2"/>
          </w:tcPr>
          <w:p>
            <w:pPr>
              <w:jc w:val="right"/>
              <w:ind w:right="620"/>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5"/>
              </w:rPr>
              <w:t>Principal Balance</w:t>
            </w:r>
          </w:p>
        </w:tc>
        <w:tc>
          <w:tcPr>
            <w:tcW w:w="520" w:type="dxa"/>
            <w:vAlign w:val="bottom"/>
          </w:tcPr>
          <w:p>
            <w:pPr>
              <w:spacing w:after="0"/>
              <w:rPr>
                <w:sz w:val="15"/>
                <w:szCs w:val="15"/>
                <w:color w:val="auto"/>
              </w:rPr>
            </w:pPr>
          </w:p>
        </w:tc>
        <w:tc>
          <w:tcPr>
            <w:tcW w:w="1240" w:type="dxa"/>
            <w:vAlign w:val="bottom"/>
            <w:gridSpan w:val="2"/>
          </w:tcPr>
          <w:p>
            <w:pPr>
              <w:jc w:val="right"/>
              <w:ind w:right="620"/>
              <w:spacing w:after="0" w:line="176"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0"/>
                <w:szCs w:val="20"/>
                <w:b w:val="1"/>
                <w:bCs w:val="1"/>
                <w:color w:val="auto"/>
                <w:vertAlign w:val="superscript"/>
              </w:rPr>
              <w:t>(1)</w:t>
            </w:r>
          </w:p>
        </w:tc>
        <w:tc>
          <w:tcPr>
            <w:tcW w:w="2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Fixed SBA Debentures</w:t>
            </w:r>
          </w:p>
        </w:tc>
        <w:tc>
          <w:tcPr>
            <w:tcW w:w="44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240" w:type="dxa"/>
            <w:vAlign w:val="bottom"/>
            <w:gridSpan w:val="2"/>
          </w:tcPr>
          <w:p>
            <w:pPr>
              <w:spacing w:after="0"/>
              <w:rPr>
                <w:sz w:val="20"/>
                <w:szCs w:val="20"/>
                <w:color w:val="auto"/>
              </w:rPr>
            </w:pPr>
            <w:r>
              <w:rPr>
                <w:rFonts w:ascii="Arial" w:cs="Arial" w:eastAsia="Arial" w:hAnsi="Arial"/>
                <w:sz w:val="18"/>
                <w:szCs w:val="18"/>
                <w:color w:val="auto"/>
              </w:rPr>
              <w:t>September 22, 2010</w:t>
            </w:r>
          </w:p>
        </w:tc>
        <w:tc>
          <w:tcPr>
            <w:tcW w:w="2540" w:type="dxa"/>
            <w:vAlign w:val="bottom"/>
            <w:gridSpan w:val="3"/>
          </w:tcPr>
          <w:p>
            <w:pPr>
              <w:ind w:left="440"/>
              <w:spacing w:after="0"/>
              <w:rPr>
                <w:sz w:val="20"/>
                <w:szCs w:val="20"/>
                <w:color w:val="auto"/>
              </w:rPr>
            </w:pPr>
            <w:r>
              <w:rPr>
                <w:rFonts w:ascii="Arial" w:cs="Arial" w:eastAsia="Arial" w:hAnsi="Arial"/>
                <w:sz w:val="18"/>
                <w:szCs w:val="18"/>
                <w:color w:val="auto"/>
              </w:rPr>
              <w:t>September 1, 2020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3.50%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w:t>
            </w:r>
          </w:p>
        </w:tc>
        <w:tc>
          <w:tcPr>
            <w:tcW w:w="1760" w:type="dxa"/>
            <w:vAlign w:val="bottom"/>
            <w:gridSpan w:val="3"/>
          </w:tcPr>
          <w:p>
            <w:pPr>
              <w:jc w:val="right"/>
              <w:ind w:right="240"/>
              <w:spacing w:after="0"/>
              <w:rPr>
                <w:sz w:val="20"/>
                <w:szCs w:val="20"/>
                <w:color w:val="auto"/>
              </w:rPr>
            </w:pPr>
            <w:r>
              <w:rPr>
                <w:rFonts w:ascii="Arial" w:cs="Arial" w:eastAsia="Arial" w:hAnsi="Arial"/>
                <w:sz w:val="18"/>
                <w:szCs w:val="18"/>
                <w:color w:val="auto"/>
              </w:rPr>
              <w:t>3.50%</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March 29, 2011</w:t>
            </w:r>
          </w:p>
        </w:tc>
        <w:tc>
          <w:tcPr>
            <w:tcW w:w="2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March 1, 2021</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44,500,000</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September 21, 2011</w:t>
            </w:r>
          </w:p>
        </w:tc>
        <w:tc>
          <w:tcPr>
            <w:tcW w:w="2540" w:type="dxa"/>
            <w:vAlign w:val="bottom"/>
            <w:gridSpan w:val="3"/>
          </w:tcPr>
          <w:p>
            <w:pPr>
              <w:ind w:left="440"/>
              <w:spacing w:after="0"/>
              <w:rPr>
                <w:sz w:val="20"/>
                <w:szCs w:val="20"/>
                <w:color w:val="auto"/>
              </w:rPr>
            </w:pPr>
            <w:r>
              <w:rPr>
                <w:rFonts w:ascii="Arial" w:cs="Arial" w:eastAsia="Arial" w:hAnsi="Arial"/>
                <w:sz w:val="18"/>
                <w:szCs w:val="18"/>
                <w:color w:val="auto"/>
              </w:rPr>
              <w:t>September 1, 2021</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105,000,000</w:t>
            </w:r>
          </w:p>
        </w:tc>
        <w:tc>
          <w:tcPr>
            <w:tcW w:w="5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150,000,000</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Interim SBA Debentures</w:t>
            </w:r>
          </w:p>
        </w:tc>
        <w:tc>
          <w:tcPr>
            <w:tcW w:w="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SBA Debentures</w:t>
            </w: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150,000,000</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0.93%</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color w:val="auto"/>
              </w:rPr>
              <w:t>SBA Commitment</w:t>
            </w: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33,500,000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Available Undrawn SBA Commitment</w:t>
            </w:r>
          </w:p>
        </w:tc>
        <w:tc>
          <w:tcPr>
            <w:tcW w:w="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3.43% of upfront fees.</w:t>
      </w:r>
    </w:p>
    <w:p>
      <w:pPr>
        <w:spacing w:after="0" w:line="171"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SBIC program is designed to stimulate the flow of capital into eligible businesses.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requiring capitalization thresholds that limit distributions to us, and is subject to periodic audits and examinations. As of September 30, 2011, SBIC LP was in compliance with its regulatory requirements.</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At September 30, 2011, we had approximately $49 million of assets bearing a coupon of 9% or lower. We will look to rotate these assets into new higher yielding investments over time.</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operating activities used cash of $137.8 million for the fiscal year ended September 30, 2011, and our financing activities provided net cash proceeds of $207.6 million for the same period. Our operating activities used cash primarily for investing that was provided primarily from proceeds from our follow-on public offering of common stock and draws under our Credit Facility and SBA debentures.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Our operating activities used cash of $127.1 million for the fiscal year ended September 30, 2010, and our financing activities provided net cash proceeds of $95.6 million for the same period, primarily from proceeds from our follow-on public offerings of common stock. Our operating activities used cash primarily for investing, that was provided from proceeds from secondary public offerings and draws under our Credit Facility.</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operating activities used cash of $42.4 million for the fiscal year ended September 30, 2009, and our financing activities provided net cash proceeds of $35.4 million for the same period, primarily from borrowings under our Credit Facility. Our operating activities used cash primarily for investing, that was provided from proceeds from draws under the Credit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including borrowings under our Credit Facility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8"/>
          </w:tcPr>
          <w:p>
            <w:pPr>
              <w:jc w:val="center"/>
              <w:ind w:left="82"/>
              <w:spacing w:after="0"/>
              <w:rPr>
                <w:sz w:val="20"/>
                <w:szCs w:val="20"/>
                <w:color w:val="auto"/>
              </w:rPr>
            </w:pPr>
            <w:r>
              <w:rPr>
                <w:rFonts w:ascii="Arial" w:cs="Arial" w:eastAsia="Arial" w:hAnsi="Arial"/>
                <w:sz w:val="14"/>
                <w:szCs w:val="14"/>
                <w:b w:val="1"/>
                <w:bCs w:val="1"/>
                <w:color w:val="auto"/>
                <w:w w:val="86"/>
              </w:rPr>
              <w:t>Payments due by period (in millions)</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9"/>
              </w:rPr>
              <w:t>Less than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1-3</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3-5</w:t>
            </w:r>
          </w:p>
        </w:tc>
        <w:tc>
          <w:tcPr>
            <w:tcW w:w="500" w:type="dxa"/>
            <w:vAlign w:val="bottom"/>
          </w:tcPr>
          <w:p>
            <w:pPr>
              <w:spacing w:after="0"/>
              <w:rPr>
                <w:sz w:val="11"/>
                <w:szCs w:val="11"/>
                <w:color w:val="auto"/>
              </w:rPr>
            </w:pPr>
          </w:p>
        </w:tc>
        <w:tc>
          <w:tcPr>
            <w:tcW w:w="6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540" w:type="dxa"/>
            <w:vAlign w:val="bottom"/>
          </w:tcPr>
          <w:p>
            <w:pPr>
              <w:jc w:val="right"/>
              <w:ind w:right="2"/>
              <w:spacing w:after="0"/>
              <w:rPr>
                <w:sz w:val="20"/>
                <w:szCs w:val="20"/>
                <w:color w:val="auto"/>
              </w:rPr>
            </w:pPr>
            <w:r>
              <w:rPr>
                <w:rFonts w:ascii="Arial" w:cs="Arial" w:eastAsia="Arial" w:hAnsi="Arial"/>
                <w:sz w:val="14"/>
                <w:szCs w:val="14"/>
                <w:b w:val="1"/>
                <w:bCs w:val="1"/>
                <w:color w:val="auto"/>
              </w:rPr>
              <w:t>1 year</w:t>
            </w:r>
          </w:p>
        </w:tc>
        <w:tc>
          <w:tcPr>
            <w:tcW w:w="50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5 years</w:t>
            </w:r>
          </w:p>
        </w:tc>
      </w:tr>
      <w:tr>
        <w:trPr>
          <w:trHeight w:val="210"/>
        </w:trPr>
        <w:tc>
          <w:tcPr>
            <w:tcW w:w="20" w:type="dxa"/>
            <w:vAlign w:val="bottom"/>
          </w:tcPr>
          <w:p>
            <w:pPr>
              <w:spacing w:after="0"/>
              <w:rPr>
                <w:sz w:val="18"/>
                <w:szCs w:val="18"/>
                <w:color w:val="auto"/>
              </w:rPr>
            </w:pPr>
          </w:p>
        </w:tc>
        <w:tc>
          <w:tcPr>
            <w:tcW w:w="6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Credit Facility</w:t>
            </w:r>
            <w:r>
              <w:rPr>
                <w:rFonts w:ascii="Arial" w:cs="Arial" w:eastAsia="Arial" w:hAnsi="Arial"/>
                <w:sz w:val="11"/>
                <w:szCs w:val="11"/>
                <w:color w:val="auto"/>
              </w:rPr>
              <w:t>(1)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$240.9</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$ 240.9</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 debt outstanding</w:t>
            </w:r>
            <w:r>
              <w:rPr>
                <w:rFonts w:ascii="Arial" w:cs="Arial" w:eastAsia="Arial" w:hAnsi="Arial"/>
                <w:sz w:val="11"/>
                <w:szCs w:val="11"/>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5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5"/>
              </w:rPr>
              <w:t>18.6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18.6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of September 30, 2011, we had $74.1 million of unused borrowing capacity under our Credit Facility, subject to various restrictions and covenants.</w:t>
      </w:r>
    </w:p>
    <w:p>
      <w:pPr>
        <w:spacing w:after="0" w:line="38" w:lineRule="exact"/>
        <w:rPr>
          <w:rFonts w:ascii="Arial" w:cs="Arial" w:eastAsia="Arial" w:hAnsi="Arial"/>
          <w:sz w:val="16"/>
          <w:szCs w:val="16"/>
          <w:color w:val="auto"/>
        </w:rPr>
      </w:pPr>
    </w:p>
    <w:p>
      <w:pPr>
        <w:ind w:left="460" w:right="46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September 30, 2011 was 2.20% exclusive of the fee on undrawn commitment of 0.20% on the Credit Facility and 3.43% of upfront fees on the SBA debentures.</w:t>
      </w:r>
    </w:p>
    <w:p>
      <w:pPr>
        <w:ind w:left="460" w:right="300" w:hanging="452"/>
        <w:spacing w:after="0" w:line="261"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Unfunded debt investments described in the Consolidated Statements of Assets and Liabilities represent unfunded delayed draws on investments in first lien secured debt and subordinated debt investments.</w:t>
      </w:r>
    </w:p>
    <w:p>
      <w:pPr>
        <w:spacing w:after="0" w:line="138"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renewed in February 2011, PennantPark Investment Advisers serves as our investment adviser in accordance with the terms of that Investment Management Agreement. PennantPark Investment, through the Investment Adviser, provides similar services to SBIC LP under its investment management agreement with SBIC LP. SBIC LP’s investment management agreement does not affect the management or incentive fees that we pay to the Investment Adviser on a consolidated basis. Payments under our Investment Management Agreement in each reporting period is equal to (1) a management fee equal to a percentage of the value of our gross assets and (2) an incentive fee based on our performance. See Note 3 to our Consolidated Financial Statements.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our Administration Agreement, which was renewed in February 2011, PennantPark Investment Administration furnishes us with office facilities and administrative services necessary to conduct our day-to-day operations. PennantPark Investment, through the Administrator, provides similar services to SBIC LP under an administration agreement with SBIC LP, which is intended to have no effect on the consolidated administration fee. We, through the Administrator, provide administrative and managerial assistance to our controlled affiliate, SPH. If requested to provide managerial assistance to our portfolio companies, we or PennantPark Investment Administration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See Note 3 to our Consolidated Financial Statements.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ordinary income for the calendar year, (2) 98.2% of our realized net capital gains for the one-year period ending on October 31 of the calendar year and (3) any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 For the fiscal years ended September 30, 2011 and 2010, we have elected to retain a portion of our calendar year income and record an excise tax of $0.2 million and $0.1 million, respectively.</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the fiscal years ended September 30, 2011, 2010 and 2009, we declared to stockholders distributions of $1.07, $1.03 and $0.96 per share, respectively, for total distributions of $46.3 million, $32.3 million and $20.2 million, respectively. We monitor available net investment income to determine if a tax return of capital may occur for the fiscal year. The specific tax characteristics of the distributions will be reported to stockholders on Form 1099-DIV after the end of the calendar year and in a periodic report filed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are determined by our board of directors.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w:t>
      </w:r>
    </w:p>
    <w:p>
      <w:pPr>
        <w:spacing w:after="0" w:line="140"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In January 2010, the Internal Revenue Service issued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40" w:firstLine="8"/>
        <w:spacing w:after="0" w:line="253" w:lineRule="auto"/>
        <w:tabs>
          <w:tab w:leader="none" w:pos="249"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2011, our portfolio consisted of 61% fixed-rate, 31% variable-rate with a LIBOR or prime floor and 8% variable-rate investments. The variable rate loans are usually based on a floating LIBOR rate and typically have durations of three months after which they reset to current market interest rates. Variable rate investments subject to a floor generally reset by reference to the current market index after one to six months only if the index exceeds the floor. In regards to variable rate instruments with a floor, we do not benefit from increases in interest rates until such rates exceed the floor and thereafter benefits from market rates above a floor.</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Assuming that the balance sheet as of September 30, 2011 were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balance sheet and other business developments that could affect the net change in net assets resulting from operations, or net income. Accordingly, no assurances can be given that actual results would not differ materially from the statement above.</w:t>
      </w:r>
    </w:p>
    <w:p>
      <w:pPr>
        <w:spacing w:after="0" w:line="1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Because we borrow money to make investments, our net investment income is dependent upon the difference between the rate at which we borrow funds and the rate at which we invest these funds. In periods of increasing interest rates, our cost of funds would increase, which may reduce our net investment income. As a result,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Information about our senior securities is shown in the following table as of September 30, 2011, 2010, 2009, 2008 and 2007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78"/>
              </w:rPr>
              <w:t>Asset</w:t>
            </w:r>
          </w:p>
        </w:tc>
        <w:tc>
          <w:tcPr>
            <w:tcW w:w="16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Involuntary</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Average</w:t>
            </w:r>
          </w:p>
        </w:tc>
      </w:tr>
      <w:tr>
        <w:trPr>
          <w:trHeight w:val="134"/>
        </w:trPr>
        <w:tc>
          <w:tcPr>
            <w:tcW w:w="94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tcPr>
          <w:p>
            <w:pPr>
              <w:jc w:val="center"/>
              <w:ind w:right="980"/>
              <w:spacing w:after="0" w:line="135" w:lineRule="exact"/>
              <w:rPr>
                <w:sz w:val="20"/>
                <w:szCs w:val="20"/>
                <w:color w:val="auto"/>
              </w:rPr>
            </w:pPr>
            <w:r>
              <w:rPr>
                <w:rFonts w:ascii="Arial" w:cs="Arial" w:eastAsia="Arial" w:hAnsi="Arial"/>
                <w:sz w:val="14"/>
                <w:szCs w:val="14"/>
                <w:b w:val="1"/>
                <w:bCs w:val="1"/>
                <w:color w:val="auto"/>
                <w:w w:val="84"/>
              </w:rPr>
              <w:t>Coverage</w:t>
            </w:r>
          </w:p>
        </w:tc>
        <w:tc>
          <w:tcPr>
            <w:tcW w:w="166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90"/>
              </w:rPr>
              <w:t>Liquidating</w:t>
            </w: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Market</w:t>
            </w:r>
          </w:p>
        </w:tc>
      </w:tr>
      <w:tr>
        <w:trPr>
          <w:trHeight w:val="149"/>
        </w:trPr>
        <w:tc>
          <w:tcPr>
            <w:tcW w:w="9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Total Amount</w:t>
            </w:r>
          </w:p>
        </w:tc>
        <w:tc>
          <w:tcPr>
            <w:tcW w:w="80" w:type="dxa"/>
            <w:vAlign w:val="bottom"/>
          </w:tcPr>
          <w:p>
            <w:pPr>
              <w:spacing w:after="0"/>
              <w:rPr>
                <w:sz w:val="12"/>
                <w:szCs w:val="12"/>
                <w:color w:val="auto"/>
              </w:rPr>
            </w:pPr>
          </w:p>
        </w:tc>
        <w:tc>
          <w:tcPr>
            <w:tcW w:w="1640" w:type="dxa"/>
            <w:vAlign w:val="bottom"/>
            <w:gridSpan w:val="2"/>
          </w:tcPr>
          <w:p>
            <w:pPr>
              <w:jc w:val="center"/>
              <w:ind w:right="980"/>
              <w:spacing w:after="0" w:line="149" w:lineRule="exact"/>
              <w:rPr>
                <w:sz w:val="20"/>
                <w:szCs w:val="20"/>
                <w:color w:val="auto"/>
              </w:rPr>
            </w:pPr>
            <w:r>
              <w:rPr>
                <w:rFonts w:ascii="Arial" w:cs="Arial" w:eastAsia="Arial" w:hAnsi="Arial"/>
                <w:sz w:val="11"/>
                <w:szCs w:val="11"/>
                <w:b w:val="1"/>
                <w:bCs w:val="1"/>
                <w:color w:val="auto"/>
              </w:rPr>
              <w:t>per Unit</w:t>
            </w:r>
            <w:r>
              <w:rPr>
                <w:rFonts w:ascii="Arial" w:cs="Arial" w:eastAsia="Arial" w:hAnsi="Arial"/>
                <w:sz w:val="17"/>
                <w:szCs w:val="17"/>
                <w:b w:val="1"/>
                <w:bCs w:val="1"/>
                <w:color w:val="auto"/>
                <w:vertAlign w:val="superscript"/>
              </w:rPr>
              <w:t>(2)</w:t>
            </w:r>
          </w:p>
        </w:tc>
        <w:tc>
          <w:tcPr>
            <w:tcW w:w="16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Preference</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Value Per</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3640" w:type="dxa"/>
            <w:vAlign w:val="bottom"/>
          </w:tcPr>
          <w:p>
            <w:pPr>
              <w:spacing w:after="0"/>
              <w:rPr>
                <w:sz w:val="15"/>
                <w:szCs w:val="15"/>
                <w:color w:val="auto"/>
              </w:rPr>
            </w:pPr>
          </w:p>
        </w:tc>
        <w:tc>
          <w:tcPr>
            <w:tcW w:w="1820" w:type="dxa"/>
            <w:vAlign w:val="bottom"/>
            <w:gridSpan w:val="3"/>
          </w:tcPr>
          <w:p>
            <w:pPr>
              <w:ind w:left="20"/>
              <w:spacing w:after="0" w:line="162" w:lineRule="exact"/>
              <w:rPr>
                <w:sz w:val="20"/>
                <w:szCs w:val="20"/>
                <w:color w:val="auto"/>
              </w:rPr>
            </w:pPr>
            <w:r>
              <w:rPr>
                <w:rFonts w:ascii="Arial" w:cs="Arial" w:eastAsia="Arial" w:hAnsi="Arial"/>
                <w:sz w:val="12"/>
                <w:szCs w:val="12"/>
                <w:b w:val="1"/>
                <w:bCs w:val="1"/>
                <w:color w:val="auto"/>
              </w:rPr>
              <w:t xml:space="preserve">Outstanding </w:t>
            </w:r>
            <w:r>
              <w:rPr>
                <w:rFonts w:ascii="Arial" w:cs="Arial" w:eastAsia="Arial" w:hAnsi="Arial"/>
                <w:sz w:val="18"/>
                <w:szCs w:val="18"/>
                <w:b w:val="1"/>
                <w:bCs w:val="1"/>
                <w:color w:val="auto"/>
                <w:vertAlign w:val="superscript"/>
              </w:rPr>
              <w:t>(1)</w:t>
            </w:r>
          </w:p>
        </w:tc>
        <w:tc>
          <w:tcPr>
            <w:tcW w:w="17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89"/>
              </w:rPr>
              <w:t>(unaudited)</w:t>
            </w:r>
          </w:p>
        </w:tc>
        <w:tc>
          <w:tcPr>
            <w:tcW w:w="1660" w:type="dxa"/>
            <w:vAlign w:val="bottom"/>
            <w:gridSpan w:val="2"/>
          </w:tcPr>
          <w:p>
            <w:pPr>
              <w:jc w:val="center"/>
              <w:ind w:right="920"/>
              <w:spacing w:after="0" w:line="162" w:lineRule="exact"/>
              <w:rPr>
                <w:sz w:val="20"/>
                <w:szCs w:val="20"/>
                <w:color w:val="auto"/>
              </w:rPr>
            </w:pPr>
            <w:r>
              <w:rPr>
                <w:rFonts w:ascii="Arial" w:cs="Arial" w:eastAsia="Arial" w:hAnsi="Arial"/>
                <w:sz w:val="12"/>
                <w:szCs w:val="12"/>
                <w:b w:val="1"/>
                <w:bCs w:val="1"/>
                <w:color w:val="auto"/>
              </w:rPr>
              <w:t>Per Unit</w:t>
            </w:r>
            <w:r>
              <w:rPr>
                <w:rFonts w:ascii="Arial" w:cs="Arial" w:eastAsia="Arial" w:hAnsi="Arial"/>
                <w:sz w:val="18"/>
                <w:szCs w:val="18"/>
                <w:b w:val="1"/>
                <w:bCs w:val="1"/>
                <w:color w:val="auto"/>
                <w:vertAlign w:val="superscript"/>
              </w:rPr>
              <w:t>(3)</w:t>
            </w:r>
          </w:p>
        </w:tc>
        <w:tc>
          <w:tcPr>
            <w:tcW w:w="72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9"/>
              </w:rPr>
              <w:t>Unit</w:t>
            </w:r>
            <w:r>
              <w:rPr>
                <w:rFonts w:ascii="Arial" w:cs="Arial" w:eastAsia="Arial" w:hAnsi="Arial"/>
                <w:sz w:val="18"/>
                <w:szCs w:val="18"/>
                <w:b w:val="1"/>
                <w:bCs w:val="1"/>
                <w:color w:val="auto"/>
                <w:w w:val="99"/>
                <w:vertAlign w:val="superscript"/>
              </w:rPr>
              <w:t>(4)</w:t>
            </w:r>
          </w:p>
        </w:tc>
      </w:tr>
      <w:tr>
        <w:trPr>
          <w:trHeight w:val="190"/>
        </w:trPr>
        <w:tc>
          <w:tcPr>
            <w:tcW w:w="4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and SBA debentures</w:t>
            </w: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Fiscal 2011</w:t>
            </w:r>
            <w:r>
              <w:rPr>
                <w:rFonts w:ascii="Arial" w:cs="Arial" w:eastAsia="Arial" w:hAnsi="Arial"/>
                <w:sz w:val="11"/>
                <w:szCs w:val="11"/>
                <w:color w:val="auto"/>
              </w:rPr>
              <w:t>(5)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240,900</w:t>
            </w:r>
          </w:p>
        </w:tc>
        <w:tc>
          <w:tcPr>
            <w:tcW w:w="9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2,912</w:t>
            </w:r>
          </w:p>
        </w:tc>
        <w:tc>
          <w:tcPr>
            <w:tcW w:w="900" w:type="dxa"/>
            <w:vAlign w:val="bottom"/>
          </w:tcPr>
          <w:p>
            <w:pPr>
              <w:spacing w:after="0"/>
              <w:rPr>
                <w:sz w:val="18"/>
                <w:szCs w:val="18"/>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247,600</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225,100</w:t>
            </w:r>
          </w:p>
        </w:tc>
        <w:tc>
          <w:tcPr>
            <w:tcW w:w="9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2,115</w:t>
            </w:r>
          </w:p>
        </w:tc>
        <w:tc>
          <w:tcPr>
            <w:tcW w:w="900" w:type="dxa"/>
            <w:vAlign w:val="bottom"/>
          </w:tcPr>
          <w:p>
            <w:pPr>
              <w:spacing w:after="0"/>
              <w:rPr>
                <w:sz w:val="18"/>
                <w:szCs w:val="18"/>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Fiscal 2007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9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28,039</w:t>
            </w:r>
          </w:p>
        </w:tc>
        <w:tc>
          <w:tcPr>
            <w:tcW w:w="90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involuntary liquidation of the issuer in preference to any security junior to it.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9" w:lineRule="exact"/>
        <w:rPr>
          <w:rFonts w:ascii="Arial" w:cs="Arial" w:eastAsia="Arial" w:hAnsi="Arial"/>
          <w:sz w:val="18"/>
          <w:szCs w:val="18"/>
          <w:color w:val="auto"/>
        </w:rPr>
      </w:pPr>
    </w:p>
    <w:p>
      <w:pPr>
        <w:ind w:left="460" w:right="220" w:hanging="452"/>
        <w:spacing w:after="0" w:line="261"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asset coverage per unit computation pursuant to an exemptive relief letter provided by the SEC on June 1, 2011.</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459"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percentage of net asset value, or NAV, and quarterly dividends per share since shares of our common stock began being regularly quoted on the NASDAQ Global Select Market. On December 16, 2011, the last reported closing price of our common stock was $10.16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Closing Sales Price</w:t>
            </w: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3"/>
              </w:rPr>
              <w:t>High Sales</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Low Sales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940" w:type="dxa"/>
            <w:vAlign w:val="bottom"/>
            <w:gridSpan w:val="4"/>
            <w:vMerge w:val="continue"/>
          </w:tcPr>
          <w:p>
            <w:pPr>
              <w:spacing w:after="0"/>
              <w:rPr>
                <w:sz w:val="5"/>
                <w:szCs w:val="5"/>
                <w:color w:val="auto"/>
              </w:rPr>
            </w:pPr>
          </w:p>
        </w:tc>
        <w:tc>
          <w:tcPr>
            <w:tcW w:w="1200" w:type="dxa"/>
            <w:vAlign w:val="bottom"/>
            <w:gridSpan w:val="2"/>
            <w:vMerge w:val="restart"/>
          </w:tcPr>
          <w:p>
            <w:pPr>
              <w:jc w:val="center"/>
              <w:ind w:right="560"/>
              <w:spacing w:after="0" w:line="135" w:lineRule="exact"/>
              <w:rPr>
                <w:sz w:val="20"/>
                <w:szCs w:val="20"/>
                <w:color w:val="auto"/>
              </w:rPr>
            </w:pPr>
            <w:r>
              <w:rPr>
                <w:rFonts w:ascii="Arial" w:cs="Arial" w:eastAsia="Arial" w:hAnsi="Arial"/>
                <w:sz w:val="14"/>
                <w:szCs w:val="14"/>
                <w:b w:val="1"/>
                <w:bCs w:val="1"/>
                <w:color w:val="auto"/>
                <w:w w:val="85"/>
              </w:rPr>
              <w:t>Price to</w:t>
            </w:r>
          </w:p>
        </w:tc>
        <w:tc>
          <w:tcPr>
            <w:tcW w:w="960" w:type="dxa"/>
            <w:vAlign w:val="bottom"/>
            <w:gridSpan w:val="2"/>
            <w:vMerge w:val="restart"/>
          </w:tcPr>
          <w:p>
            <w:pPr>
              <w:jc w:val="center"/>
              <w:ind w:right="340"/>
              <w:spacing w:after="0" w:line="135" w:lineRule="exact"/>
              <w:rPr>
                <w:sz w:val="20"/>
                <w:szCs w:val="20"/>
                <w:color w:val="auto"/>
              </w:rPr>
            </w:pPr>
            <w:r>
              <w:rPr>
                <w:rFonts w:ascii="Arial" w:cs="Arial" w:eastAsia="Arial" w:hAnsi="Arial"/>
                <w:sz w:val="14"/>
                <w:szCs w:val="14"/>
                <w:b w:val="1"/>
                <w:bCs w:val="1"/>
                <w:color w:val="auto"/>
                <w:w w:val="89"/>
              </w:rPr>
              <w:t>Price to</w:t>
            </w:r>
          </w:p>
        </w:tc>
        <w:tc>
          <w:tcPr>
            <w:tcW w:w="220" w:type="dxa"/>
            <w:vAlign w:val="bottom"/>
          </w:tcPr>
          <w:p>
            <w:pPr>
              <w:spacing w:after="0"/>
              <w:rPr>
                <w:sz w:val="5"/>
                <w:szCs w:val="5"/>
                <w:color w:val="auto"/>
              </w:rPr>
            </w:pPr>
          </w:p>
        </w:tc>
        <w:tc>
          <w:tcPr>
            <w:tcW w:w="68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48"/>
        </w:trPr>
        <w:tc>
          <w:tcPr>
            <w:tcW w:w="4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720" w:type="dxa"/>
            <w:vAlign w:val="bottom"/>
            <w:gridSpan w:val="2"/>
            <w:vMerge w:val="restart"/>
          </w:tcPr>
          <w:p>
            <w:pPr>
              <w:ind w:left="40"/>
              <w:spacing w:after="0" w:line="209"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2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3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High</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200" w:type="dxa"/>
            <w:vAlign w:val="bottom"/>
            <w:gridSpan w:val="2"/>
          </w:tcPr>
          <w:p>
            <w:pPr>
              <w:jc w:val="center"/>
              <w:ind w:right="560"/>
              <w:spacing w:after="0" w:line="162"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960" w:type="dxa"/>
            <w:vAlign w:val="bottom"/>
            <w:gridSpan w:val="2"/>
          </w:tcPr>
          <w:p>
            <w:pPr>
              <w:jc w:val="center"/>
              <w:ind w:right="340"/>
              <w:spacing w:after="0" w:line="162"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(2)</w:t>
            </w:r>
          </w:p>
        </w:tc>
        <w:tc>
          <w:tcPr>
            <w:tcW w:w="2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90"/>
        </w:trPr>
        <w:tc>
          <w:tcPr>
            <w:tcW w:w="4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2012</w:t>
            </w:r>
          </w:p>
        </w:tc>
        <w:tc>
          <w:tcPr>
            <w:tcW w:w="1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quarter (as of December 16, 2011)</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 N/A</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$ 11.02</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$ 8.57</w:t>
            </w:r>
          </w:p>
        </w:tc>
        <w:tc>
          <w:tcPr>
            <w:tcW w:w="460" w:type="dxa"/>
            <w:vAlign w:val="bottom"/>
          </w:tcPr>
          <w:p>
            <w:pPr>
              <w:spacing w:after="0"/>
              <w:rPr>
                <w:sz w:val="18"/>
                <w:szCs w:val="18"/>
                <w:color w:val="auto"/>
              </w:rPr>
            </w:pPr>
          </w:p>
        </w:tc>
        <w:tc>
          <w:tcPr>
            <w:tcW w:w="12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10.13</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11.52</w:t>
            </w:r>
          </w:p>
        </w:tc>
        <w:tc>
          <w:tcPr>
            <w:tcW w:w="500" w:type="dxa"/>
            <w:vAlign w:val="bottom"/>
          </w:tcPr>
          <w:p>
            <w:pPr>
              <w:jc w:val="right"/>
              <w:spacing w:after="0"/>
              <w:rPr>
                <w:sz w:val="20"/>
                <w:szCs w:val="20"/>
                <w:color w:val="auto"/>
              </w:rPr>
            </w:pPr>
            <w:r>
              <w:rPr>
                <w:rFonts w:ascii="Arial" w:cs="Arial" w:eastAsia="Arial" w:hAnsi="Arial"/>
                <w:sz w:val="18"/>
                <w:szCs w:val="18"/>
                <w:color w:val="auto"/>
              </w:rPr>
              <w:t>8.89</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114</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11.08</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12.43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11.30</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13.05</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11.21</w:t>
            </w: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10.69</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10.69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10.94</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11.84</w:t>
            </w:r>
          </w:p>
        </w:tc>
        <w:tc>
          <w:tcPr>
            <w:tcW w:w="500" w:type="dxa"/>
            <w:vAlign w:val="bottom"/>
          </w:tcPr>
          <w:p>
            <w:pPr>
              <w:jc w:val="right"/>
              <w:spacing w:after="0"/>
              <w:rPr>
                <w:sz w:val="20"/>
                <w:szCs w:val="20"/>
                <w:color w:val="auto"/>
              </w:rPr>
            </w:pPr>
            <w:r>
              <w:rPr>
                <w:rFonts w:ascii="Arial" w:cs="Arial" w:eastAsia="Arial" w:hAnsi="Arial"/>
                <w:sz w:val="18"/>
                <w:szCs w:val="18"/>
                <w:color w:val="auto"/>
              </w:rPr>
              <w:t>9.02</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11.07</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11.86</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9.15</w:t>
            </w:r>
          </w:p>
        </w:tc>
        <w:tc>
          <w:tcPr>
            <w:tcW w:w="500" w:type="dxa"/>
            <w:vAlign w:val="bottom"/>
          </w:tcPr>
          <w:p>
            <w:pPr>
              <w:jc w:val="right"/>
              <w:spacing w:after="0"/>
              <w:rPr>
                <w:sz w:val="20"/>
                <w:szCs w:val="20"/>
                <w:color w:val="auto"/>
              </w:rPr>
            </w:pPr>
            <w:r>
              <w:rPr>
                <w:rFonts w:ascii="Arial" w:cs="Arial" w:eastAsia="Arial" w:hAnsi="Arial"/>
                <w:sz w:val="18"/>
                <w:szCs w:val="18"/>
                <w:color w:val="auto"/>
              </w:rPr>
              <w:t>7.63</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11.85</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9.06</w:t>
            </w:r>
          </w:p>
        </w:tc>
        <w:tc>
          <w:tcPr>
            <w:tcW w:w="500" w:type="dxa"/>
            <w:vAlign w:val="bottom"/>
          </w:tcPr>
          <w:p>
            <w:pPr>
              <w:jc w:val="right"/>
              <w:spacing w:after="0"/>
              <w:rPr>
                <w:sz w:val="20"/>
                <w:szCs w:val="20"/>
                <w:color w:val="auto"/>
              </w:rPr>
            </w:pPr>
            <w:r>
              <w:rPr>
                <w:rFonts w:ascii="Arial" w:cs="Arial" w:eastAsia="Arial" w:hAnsi="Arial"/>
                <w:sz w:val="18"/>
                <w:szCs w:val="18"/>
                <w:color w:val="auto"/>
              </w:rPr>
              <w:t>6.28</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11.72</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12.00</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4.05</w:t>
            </w: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7.81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10.77</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8.60</w:t>
            </w: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10.26</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11.31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12.07</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14.49</w:t>
            </w:r>
          </w:p>
        </w:tc>
        <w:tc>
          <w:tcPr>
            <w:tcW w:w="500" w:type="dxa"/>
            <w:vAlign w:val="bottom"/>
          </w:tcPr>
          <w:p>
            <w:pPr>
              <w:jc w:val="right"/>
              <w:spacing w:after="0"/>
              <w:rPr>
                <w:sz w:val="20"/>
                <w:szCs w:val="20"/>
                <w:color w:val="auto"/>
              </w:rPr>
            </w:pPr>
            <w:r>
              <w:rPr>
                <w:rFonts w:ascii="Arial" w:cs="Arial" w:eastAsia="Arial" w:hAnsi="Arial"/>
                <w:sz w:val="18"/>
                <w:szCs w:val="18"/>
                <w:color w:val="auto"/>
              </w:rPr>
              <w:t>9.08</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2007</w:t>
            </w:r>
          </w:p>
        </w:tc>
        <w:tc>
          <w:tcPr>
            <w:tcW w:w="1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20" w:type="dxa"/>
            <w:vAlign w:val="bottom"/>
            <w:gridSpan w:val="3"/>
          </w:tcPr>
          <w:p>
            <w:pPr>
              <w:jc w:val="right"/>
              <w:ind w:right="220"/>
              <w:spacing w:after="0"/>
              <w:rPr>
                <w:sz w:val="20"/>
                <w:szCs w:val="20"/>
                <w:color w:val="auto"/>
              </w:rPr>
            </w:pPr>
            <w:r>
              <w:rPr>
                <w:rFonts w:ascii="Arial" w:cs="Arial" w:eastAsia="Arial" w:hAnsi="Arial"/>
                <w:sz w:val="18"/>
                <w:szCs w:val="18"/>
                <w:color w:val="auto"/>
              </w:rPr>
              <w:t>12.83</w:t>
            </w: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14.76</w:t>
            </w:r>
          </w:p>
        </w:tc>
        <w:tc>
          <w:tcPr>
            <w:tcW w:w="500" w:type="dxa"/>
            <w:vAlign w:val="bottom"/>
          </w:tcPr>
          <w:p>
            <w:pPr>
              <w:jc w:val="right"/>
              <w:spacing w:after="0"/>
              <w:rPr>
                <w:sz w:val="20"/>
                <w:szCs w:val="20"/>
                <w:color w:val="auto"/>
              </w:rPr>
            </w:pPr>
            <w:r>
              <w:rPr>
                <w:rFonts w:ascii="Arial" w:cs="Arial" w:eastAsia="Arial" w:hAnsi="Arial"/>
                <w:sz w:val="18"/>
                <w:szCs w:val="18"/>
                <w:color w:val="auto"/>
              </w:rPr>
              <w:t>12.61</w:t>
            </w: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13.74</w:t>
            </w: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this prospectus for more information.</w:t>
      </w: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 end NAV.</w:t>
      </w:r>
    </w:p>
    <w:p>
      <w:pPr>
        <w:spacing w:after="0" w:line="9"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From April 24, 2007 (initial public offering) to June 30, 2007.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Shares of BDCs may trade at a market price that is less than the NAV that is attributable to those shares. Our shares have traded above and below our NAV.</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Our shares traded on the NASDAQ Global Select Market at $8.92 and $10.61 as of September 30, 2011 and September 30, 2010, respectively. Our NAV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$10.13 and $10.69, as of September 30, 2011 and September 30, 2010, respectively. The possibility that our shares of common stock will trade at a discount from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net asset value or at a premium that is unsustainable over the long term is separate and distinct from the risk that our net asset value will decrease. It is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possible to predict whether our shares will trade at, above or below net asset value in the future.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62" w:lineRule="exact"/>
        <w:rPr>
          <w:sz w:val="20"/>
          <w:szCs w:val="20"/>
          <w:color w:val="auto"/>
        </w:rPr>
      </w:pPr>
    </w:p>
    <w:p>
      <w:pPr>
        <w:ind w:left="90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2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leverage available to us and SBIC LP,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left="361"/>
              <w:spacing w:after="0"/>
              <w:rPr>
                <w:sz w:val="20"/>
                <w:szCs w:val="20"/>
                <w:color w:val="auto"/>
              </w:rPr>
            </w:pPr>
            <w:r>
              <w:rPr>
                <w:rFonts w:ascii="Arial" w:cs="Arial" w:eastAsia="Arial" w:hAnsi="Arial"/>
                <w:sz w:val="14"/>
                <w:szCs w:val="14"/>
                <w:b w:val="1"/>
                <w:bCs w:val="1"/>
                <w:color w:val="auto"/>
                <w:w w:val="89"/>
              </w:rPr>
              <w:t>Example 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89"/>
              </w:rPr>
              <w:t>Example 2</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w w:val="89"/>
              </w:rPr>
              <w:t>Example 3</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5% Offering</w:t>
            </w:r>
          </w:p>
        </w:tc>
        <w:tc>
          <w:tcPr>
            <w:tcW w:w="80" w:type="dxa"/>
            <w:vAlign w:val="bottom"/>
          </w:tcPr>
          <w:p>
            <w:pPr>
              <w:spacing w:after="0"/>
              <w:rPr>
                <w:sz w:val="12"/>
                <w:szCs w:val="12"/>
                <w:color w:val="auto"/>
              </w:rPr>
            </w:pPr>
          </w:p>
        </w:tc>
        <w:tc>
          <w:tcPr>
            <w:tcW w:w="206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left="301"/>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06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8"/>
              </w:rPr>
              <w:t>at 10% Discount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88"/>
              </w:rPr>
              <w:t>at 20% Discount</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8"/>
              </w:rPr>
              <w:t>Following</w:t>
            </w:r>
          </w:p>
        </w:tc>
        <w:tc>
          <w:tcPr>
            <w:tcW w:w="520" w:type="dxa"/>
            <w:vAlign w:val="bottom"/>
            <w:tcBorders>
              <w:top w:val="single" w:sz="8" w:color="auto"/>
            </w:tcBorders>
            <w:gridSpan w:val="2"/>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jc w:val="center"/>
              <w:ind w:right="740"/>
              <w:spacing w:after="0" w:line="129" w:lineRule="exact"/>
              <w:rPr>
                <w:sz w:val="20"/>
                <w:szCs w:val="20"/>
                <w:color w:val="auto"/>
              </w:rPr>
            </w:pPr>
            <w:r>
              <w:rPr>
                <w:rFonts w:ascii="Arial" w:cs="Arial" w:eastAsia="Arial" w:hAnsi="Arial"/>
                <w:sz w:val="14"/>
                <w:szCs w:val="14"/>
                <w:b w:val="1"/>
                <w:bCs w:val="1"/>
                <w:color w:val="auto"/>
                <w:w w:val="85"/>
              </w:rPr>
              <w:t>Following</w:t>
            </w:r>
          </w:p>
        </w:tc>
        <w:tc>
          <w:tcPr>
            <w:tcW w:w="48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Below NAV</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w:t>
            </w:r>
          </w:p>
        </w:tc>
        <w:tc>
          <w:tcPr>
            <w:tcW w:w="80" w:type="dxa"/>
            <w:vAlign w:val="bottom"/>
          </w:tcPr>
          <w:p>
            <w:pPr>
              <w:spacing w:after="0"/>
              <w:rPr>
                <w:sz w:val="14"/>
                <w:szCs w:val="14"/>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1"/>
              </w:rPr>
              <w:t>Change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3"/>
              </w:rPr>
              <w:t>Sale</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1"/>
              </w:rPr>
              <w:t>Change</w:t>
            </w:r>
          </w:p>
        </w:tc>
        <w:tc>
          <w:tcPr>
            <w:tcW w:w="0" w:type="dxa"/>
            <w:vAlign w:val="bottom"/>
          </w:tcPr>
          <w:p>
            <w:pPr>
              <w:spacing w:after="0"/>
              <w:rPr>
                <w:sz w:val="1"/>
                <w:szCs w:val="1"/>
                <w:color w:val="auto"/>
              </w:rPr>
            </w:pPr>
          </w:p>
        </w:tc>
      </w:tr>
      <w:tr>
        <w:trPr>
          <w:trHeight w:val="196"/>
        </w:trPr>
        <w:tc>
          <w:tcPr>
            <w:tcW w:w="2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9.52</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offering proceeds per share to</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issuer</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9.00</w:t>
            </w:r>
          </w:p>
        </w:tc>
        <w:tc>
          <w:tcPr>
            <w:tcW w:w="9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1,050,000</w:t>
            </w:r>
          </w:p>
        </w:tc>
        <w:tc>
          <w:tcPr>
            <w:tcW w:w="3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1,100,000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20.00%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NAV per share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w:t>
            </w:r>
          </w:p>
        </w:tc>
        <w:tc>
          <w:tcPr>
            <w:tcW w:w="340" w:type="dxa"/>
            <w:vAlign w:val="bottom"/>
          </w:tcPr>
          <w:p>
            <w:pPr>
              <w:spacing w:after="0"/>
              <w:rPr>
                <w:sz w:val="18"/>
                <w:szCs w:val="18"/>
                <w:color w:val="auto"/>
              </w:rPr>
            </w:pPr>
          </w:p>
        </w:tc>
        <w:tc>
          <w:tcPr>
            <w:tcW w:w="1240" w:type="dxa"/>
            <w:vAlign w:val="bottom"/>
            <w:gridSpan w:val="3"/>
          </w:tcPr>
          <w:p>
            <w:pPr>
              <w:jc w:val="right"/>
              <w:ind w:right="52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9.91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10,000</w:t>
            </w:r>
          </w:p>
        </w:tc>
        <w:tc>
          <w:tcPr>
            <w:tcW w:w="9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0.95%</w:t>
            </w:r>
          </w:p>
        </w:tc>
        <w:tc>
          <w:tcPr>
            <w:tcW w:w="12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0.83%</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(17.00)%</w:t>
            </w:r>
          </w:p>
        </w:tc>
        <w:tc>
          <w:tcPr>
            <w:tcW w:w="0" w:type="dxa"/>
            <w:vAlign w:val="bottom"/>
          </w:tcPr>
          <w:p>
            <w:pPr>
              <w:spacing w:after="0"/>
              <w:rPr>
                <w:sz w:val="1"/>
                <w:szCs w:val="1"/>
                <w:color w:val="auto"/>
              </w:rPr>
            </w:pPr>
          </w:p>
        </w:tc>
      </w:tr>
      <w:tr>
        <w:trPr>
          <w:trHeight w:val="363"/>
        </w:trPr>
        <w:tc>
          <w:tcPr>
            <w:tcW w:w="2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gridSpan w:val="2"/>
          </w:tcPr>
          <w:p>
            <w:pPr>
              <w:jc w:val="right"/>
              <w:ind w:right="257"/>
              <w:spacing w:after="0"/>
              <w:rPr>
                <w:sz w:val="20"/>
                <w:szCs w:val="20"/>
                <w:color w:val="auto"/>
              </w:rPr>
            </w:pPr>
            <w:r>
              <w:rPr>
                <w:rFonts w:ascii="Arial" w:cs="Arial" w:eastAsia="Arial" w:hAnsi="Arial"/>
                <w:sz w:val="18"/>
                <w:szCs w:val="18"/>
                <w:color w:val="auto"/>
                <w:w w:val="79"/>
              </w:rPr>
              <w:t>53</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6"/>
              </w:rPr>
              <w:t>Example 1</w:t>
            </w:r>
          </w:p>
        </w:tc>
        <w:tc>
          <w:tcPr>
            <w:tcW w:w="100" w:type="dxa"/>
            <w:vAlign w:val="bottom"/>
          </w:tcPr>
          <w:p>
            <w:pPr>
              <w:spacing w:after="0"/>
              <w:rPr>
                <w:sz w:val="14"/>
                <w:szCs w:val="14"/>
                <w:color w:val="auto"/>
              </w:rPr>
            </w:pPr>
          </w:p>
        </w:tc>
        <w:tc>
          <w:tcPr>
            <w:tcW w:w="180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Example 2</w:t>
            </w:r>
          </w:p>
        </w:tc>
        <w:tc>
          <w:tcPr>
            <w:tcW w:w="100" w:type="dxa"/>
            <w:vAlign w:val="bottom"/>
          </w:tcPr>
          <w:p>
            <w:pPr>
              <w:spacing w:after="0"/>
              <w:rPr>
                <w:sz w:val="14"/>
                <w:szCs w:val="14"/>
                <w:color w:val="auto"/>
              </w:rPr>
            </w:pPr>
          </w:p>
        </w:tc>
        <w:tc>
          <w:tcPr>
            <w:tcW w:w="1000" w:type="dxa"/>
            <w:vAlign w:val="bottom"/>
            <w:gridSpan w:val="2"/>
          </w:tcPr>
          <w:p>
            <w:pPr>
              <w:jc w:val="center"/>
              <w:ind w:left="260"/>
              <w:spacing w:after="0"/>
              <w:rPr>
                <w:sz w:val="20"/>
                <w:szCs w:val="20"/>
                <w:color w:val="auto"/>
              </w:rPr>
            </w:pPr>
            <w:r>
              <w:rPr>
                <w:rFonts w:ascii="Arial" w:cs="Arial" w:eastAsia="Arial" w:hAnsi="Arial"/>
                <w:sz w:val="14"/>
                <w:szCs w:val="14"/>
                <w:b w:val="1"/>
                <w:bCs w:val="1"/>
                <w:color w:val="auto"/>
                <w:w w:val="89"/>
              </w:rPr>
              <w:t>Example 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180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7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180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7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4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1"/>
              </w:rPr>
              <w:t>Following</w:t>
            </w:r>
          </w:p>
        </w:tc>
        <w:tc>
          <w:tcPr>
            <w:tcW w:w="46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1100" w:type="dxa"/>
            <w:vAlign w:val="bottom"/>
            <w:tcBorders>
              <w:top w:val="single" w:sz="8" w:color="auto"/>
            </w:tcBorders>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Sale</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 Values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Total NAV held by stockholder A</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99,800</w:t>
            </w:r>
          </w:p>
        </w:tc>
        <w:tc>
          <w:tcPr>
            <w:tcW w:w="1020" w:type="dxa"/>
            <w:vAlign w:val="bottom"/>
            <w:gridSpan w:val="2"/>
          </w:tcPr>
          <w:p>
            <w:pPr>
              <w:ind w:left="8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99,100</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(0.90)%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96,700</w:t>
            </w:r>
          </w:p>
        </w:tc>
        <w:tc>
          <w:tcPr>
            <w:tcW w:w="420" w:type="dxa"/>
            <w:vAlign w:val="bottom"/>
          </w:tcPr>
          <w:p>
            <w:pPr>
              <w:spacing w:after="0"/>
              <w:rPr>
                <w:sz w:val="18"/>
                <w:szCs w:val="18"/>
                <w:color w:val="auto"/>
              </w:rPr>
            </w:pPr>
          </w:p>
        </w:tc>
        <w:tc>
          <w:tcPr>
            <w:tcW w:w="700" w:type="dxa"/>
            <w:vAlign w:val="bottom"/>
            <w:gridSpan w:val="2"/>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investment by stockholder A (assumed to be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$10.00 per share)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100,000</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100,000</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20" w:type="dxa"/>
            <w:vAlign w:val="bottom"/>
          </w:tcPr>
          <w:p>
            <w:pPr>
              <w:ind w:left="440"/>
              <w:spacing w:after="0"/>
              <w:rPr>
                <w:sz w:val="20"/>
                <w:szCs w:val="20"/>
                <w:color w:val="auto"/>
              </w:rPr>
            </w:pPr>
            <w:r>
              <w:rPr>
                <w:rFonts w:ascii="Arial" w:cs="Arial" w:eastAsia="Arial" w:hAnsi="Arial"/>
                <w:sz w:val="18"/>
                <w:szCs w:val="18"/>
                <w:color w:val="auto"/>
              </w:rPr>
              <w:t>Total dilution to stockholder A (total NAV less total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660"/>
              <w:spacing w:after="0"/>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(3,300)</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9.98</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9.67</w:t>
            </w:r>
          </w:p>
        </w:tc>
        <w:tc>
          <w:tcPr>
            <w:tcW w:w="42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Investment per share held by stockholder A (assumed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to be $10.00 per share on shares held prior to sale)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20" w:type="dxa"/>
            <w:vAlign w:val="bottom"/>
          </w:tcPr>
          <w:p>
            <w:pPr>
              <w:ind w:left="440"/>
              <w:spacing w:after="0"/>
              <w:rPr>
                <w:sz w:val="20"/>
                <w:szCs w:val="20"/>
                <w:color w:val="auto"/>
              </w:rPr>
            </w:pPr>
            <w:r>
              <w:rPr>
                <w:rFonts w:ascii="Arial" w:cs="Arial" w:eastAsia="Arial" w:hAnsi="Arial"/>
                <w:sz w:val="18"/>
                <w:szCs w:val="18"/>
                <w:color w:val="auto"/>
              </w:rPr>
              <w:t>Dilution per share held by stockholder A (NAV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(0.33)</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Percentage dilution to stockholder A (dilution per share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divided by investment per share)</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 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89"/>
              </w:rPr>
              <w:t>Prior to Sale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4"/>
          </w:tcPr>
          <w:p>
            <w:pPr>
              <w:jc w:val="right"/>
              <w:ind w:right="1040"/>
              <w:spacing w:after="0"/>
              <w:rPr>
                <w:sz w:val="20"/>
                <w:szCs w:val="20"/>
                <w:color w:val="auto"/>
              </w:rPr>
            </w:pPr>
            <w:r>
              <w:rPr>
                <w:rFonts w:ascii="Arial" w:cs="Arial" w:eastAsia="Arial" w:hAnsi="Arial"/>
                <w:sz w:val="14"/>
                <w:szCs w:val="14"/>
                <w:b w:val="1"/>
                <w:bCs w:val="1"/>
                <w:color w:val="auto"/>
              </w:rPr>
              <w:t>50% Participation</w:t>
            </w:r>
          </w:p>
        </w:tc>
        <w:tc>
          <w:tcPr>
            <w:tcW w:w="80" w:type="dxa"/>
            <w:vAlign w:val="bottom"/>
          </w:tcPr>
          <w:p>
            <w:pPr>
              <w:spacing w:after="0"/>
              <w:rPr>
                <w:sz w:val="14"/>
                <w:szCs w:val="14"/>
                <w:color w:val="auto"/>
              </w:rPr>
            </w:pPr>
          </w:p>
        </w:tc>
        <w:tc>
          <w:tcPr>
            <w:tcW w:w="20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Below NAV</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3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580" w:type="dxa"/>
            <w:vAlign w:val="bottom"/>
          </w:tcPr>
          <w:p>
            <w:pPr>
              <w:spacing w:after="0"/>
              <w:rPr>
                <w:sz w:val="18"/>
                <w:szCs w:val="18"/>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1,200,000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20.00%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NAV per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5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11,000</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10.00%</w:t>
            </w: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13,000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30.00%</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Total Asset Values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NAV held by stockholder 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106,370</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125,710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25.71%</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w w:val="94"/>
              </w:rPr>
              <w:t>Total investment by stockholder A (assumed to be $10.00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color w:val="auto"/>
              </w:rPr>
              <w:t>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108,470</w:t>
            </w:r>
          </w:p>
        </w:tc>
        <w:tc>
          <w:tcPr>
            <w:tcW w:w="58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125,410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25.41%</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Total (dilution)/accretion to stockholder A (total NAV less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investment)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(2,100)</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Per Share Amounts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NAV per share held by stockholder 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9.67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w w:val="95"/>
              </w:rPr>
              <w:t>Investment per share held by stockholder A (assumed to</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ind w:left="1080"/>
              <w:spacing w:after="0"/>
              <w:rPr>
                <w:sz w:val="20"/>
                <w:szCs w:val="20"/>
                <w:color w:val="auto"/>
              </w:rPr>
            </w:pPr>
            <w:r>
              <w:rPr>
                <w:rFonts w:ascii="Arial" w:cs="Arial" w:eastAsia="Arial" w:hAnsi="Arial"/>
                <w:sz w:val="18"/>
                <w:szCs w:val="18"/>
                <w:color w:val="auto"/>
              </w:rPr>
              <w:t>be $10.00 per share on shares held prior to sale)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9.86</w:t>
            </w:r>
          </w:p>
        </w:tc>
        <w:tc>
          <w:tcPr>
            <w:tcW w:w="58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9.65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4"/>
              </w:rPr>
              <w:t>(Dilution)/accretion per share held by stockholder A (NAV</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per share less investment per share)</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(0.19)</w:t>
            </w:r>
          </w:p>
        </w:tc>
        <w:tc>
          <w:tcPr>
            <w:tcW w:w="11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220" w:type="dxa"/>
            <w:vAlign w:val="bottom"/>
          </w:tcPr>
          <w:p>
            <w:pPr>
              <w:ind w:left="880"/>
              <w:spacing w:after="0"/>
              <w:rPr>
                <w:sz w:val="20"/>
                <w:szCs w:val="20"/>
                <w:color w:val="auto"/>
              </w:rPr>
            </w:pPr>
            <w:r>
              <w:rPr>
                <w:rFonts w:ascii="Arial" w:cs="Arial" w:eastAsia="Arial" w:hAnsi="Arial"/>
                <w:sz w:val="18"/>
                <w:szCs w:val="18"/>
                <w:color w:val="auto"/>
              </w:rPr>
              <w:t>Percentage (dilution)/accretion to stockholder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1080"/>
              <w:spacing w:after="0"/>
              <w:rPr>
                <w:sz w:val="20"/>
                <w:szCs w:val="20"/>
                <w:color w:val="auto"/>
              </w:rPr>
            </w:pPr>
            <w:r>
              <w:rPr>
                <w:rFonts w:ascii="Arial" w:cs="Arial" w:eastAsia="Arial" w:hAnsi="Arial"/>
                <w:sz w:val="18"/>
                <w:szCs w:val="18"/>
                <w:color w:val="auto"/>
                <w:w w:val="95"/>
              </w:rPr>
              <w:t>(dilution/accretion per share divided by investment per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ind w:left="108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NAV per share due to selling compensation and expenses paid by us will experience an immediate decrease, albeit small, in the NAV of their shares and their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NAV per share compared to the price they pay for their shares. Investors who are not currently stockholders and who participate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05"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260" w:firstLine="8"/>
        <w:spacing w:after="0" w:line="302" w:lineRule="auto"/>
        <w:tabs>
          <w:tab w:leader="none" w:pos="249"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9"/>
              </w:rPr>
              <w:t>Example 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89"/>
              </w:rPr>
              <w:t>Example 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49"/>
        </w:trPr>
        <w:tc>
          <w:tcPr>
            <w:tcW w:w="3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left="279"/>
              <w:spacing w:after="0" w:line="149" w:lineRule="exact"/>
              <w:rPr>
                <w:sz w:val="20"/>
                <w:szCs w:val="20"/>
                <w:color w:val="auto"/>
              </w:rPr>
            </w:pPr>
            <w:r>
              <w:rPr>
                <w:rFonts w:ascii="Arial" w:cs="Arial" w:eastAsia="Arial" w:hAnsi="Arial"/>
                <w:sz w:val="14"/>
                <w:szCs w:val="14"/>
                <w:b w:val="1"/>
                <w:bCs w:val="1"/>
                <w:color w:val="auto"/>
                <w:w w:val="94"/>
              </w:rPr>
              <w:t>5% Offering</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5"/>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260" w:type="dxa"/>
            <w:vAlign w:val="bottom"/>
            <w:gridSpan w:val="2"/>
          </w:tcPr>
          <w:p>
            <w:pPr>
              <w:jc w:val="center"/>
              <w:ind w:left="299"/>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1"/>
        </w:trPr>
        <w:tc>
          <w:tcPr>
            <w:tcW w:w="3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at 5% Discount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r>
      <w:tr>
        <w:trPr>
          <w:trHeight w:val="224"/>
        </w:trPr>
        <w:tc>
          <w:tcPr>
            <w:tcW w:w="358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88"/>
              </w:rPr>
              <w:t>Following</w:t>
            </w:r>
          </w:p>
        </w:tc>
        <w:tc>
          <w:tcPr>
            <w:tcW w:w="44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center"/>
              <w:ind w:right="660"/>
              <w:spacing w:after="0"/>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r>
      <w:tr>
        <w:trPr>
          <w:trHeight w:val="161"/>
        </w:trPr>
        <w:tc>
          <w:tcPr>
            <w:tcW w:w="358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Change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Sale</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3"/>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7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10.05</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20" w:type="dxa"/>
            <w:vAlign w:val="bottom"/>
          </w:tcPr>
          <w:p>
            <w:pPr>
              <w:spacing w:after="0"/>
              <w:rPr>
                <w:sz w:val="18"/>
                <w:szCs w:val="18"/>
                <w:color w:val="auto"/>
              </w:rPr>
            </w:pPr>
          </w:p>
        </w:tc>
        <w:tc>
          <w:tcPr>
            <w:tcW w:w="10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1,050,000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4"/>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NAV per share</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(0.20)%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(0.90)%</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10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2,000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4,990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4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19,340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ind w:left="440"/>
              <w:spacing w:after="0"/>
              <w:rPr>
                <w:sz w:val="20"/>
                <w:szCs w:val="20"/>
                <w:color w:val="auto"/>
              </w:rPr>
            </w:pPr>
            <w:r>
              <w:rPr>
                <w:rFonts w:ascii="Arial" w:cs="Arial" w:eastAsia="Arial" w:hAnsi="Arial"/>
                <w:sz w:val="18"/>
                <w:szCs w:val="18"/>
                <w:color w:val="auto"/>
              </w:rPr>
              <w:t>Total investment by stockholder A</w:t>
            </w:r>
          </w:p>
        </w:tc>
        <w:tc>
          <w:tcPr>
            <w:tcW w:w="12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5,025</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9,952</w:t>
            </w:r>
          </w:p>
        </w:tc>
        <w:tc>
          <w:tcPr>
            <w:tcW w:w="420" w:type="dxa"/>
            <w:vAlign w:val="bottom"/>
          </w:tcPr>
          <w:p>
            <w:pPr>
              <w:spacing w:after="0"/>
              <w:rPr>
                <w:sz w:val="18"/>
                <w:szCs w:val="18"/>
                <w:color w:val="auto"/>
              </w:rPr>
            </w:pPr>
          </w:p>
        </w:tc>
        <w:tc>
          <w:tcPr>
            <w:tcW w:w="10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16,940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08"/>
        </w:trPr>
        <w:tc>
          <w:tcPr>
            <w:tcW w:w="3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dilution to stockholder A (total</w:t>
            </w: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24"/>
        </w:trPr>
        <w:tc>
          <w:tcPr>
            <w:tcW w:w="3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less total investment)</w:t>
            </w:r>
          </w:p>
        </w:tc>
        <w:tc>
          <w:tcPr>
            <w:tcW w:w="12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363"/>
        </w:trPr>
        <w:tc>
          <w:tcPr>
            <w:tcW w:w="3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9"/>
              </w:rPr>
              <w:t>Example 1</w:t>
            </w:r>
          </w:p>
        </w:tc>
        <w:tc>
          <w:tcPr>
            <w:tcW w:w="12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Example 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Example 3</w:t>
            </w:r>
          </w:p>
        </w:tc>
      </w:tr>
      <w:tr>
        <w:trPr>
          <w:trHeight w:val="149"/>
        </w:trPr>
        <w:tc>
          <w:tcPr>
            <w:tcW w:w="4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5"/>
          </w:tcPr>
          <w:p>
            <w:pPr>
              <w:jc w:val="center"/>
              <w:ind w:right="76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20" w:type="dxa"/>
            <w:vAlign w:val="bottom"/>
          </w:tcPr>
          <w:p>
            <w:pPr>
              <w:spacing w:after="0"/>
              <w:rPr>
                <w:sz w:val="12"/>
                <w:szCs w:val="12"/>
                <w:color w:val="auto"/>
              </w:rPr>
            </w:pPr>
          </w:p>
        </w:tc>
        <w:tc>
          <w:tcPr>
            <w:tcW w:w="15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10% Offering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20% Offering</w:t>
            </w:r>
          </w:p>
        </w:tc>
      </w:tr>
      <w:tr>
        <w:trPr>
          <w:trHeight w:val="161"/>
        </w:trPr>
        <w:tc>
          <w:tcPr>
            <w:tcW w:w="4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9"/>
              </w:rPr>
              <w:t>at 5% Discount</w:t>
            </w:r>
          </w:p>
        </w:tc>
        <w:tc>
          <w:tcPr>
            <w:tcW w:w="120" w:type="dxa"/>
            <w:vAlign w:val="bottom"/>
          </w:tcPr>
          <w:p>
            <w:pPr>
              <w:spacing w:after="0"/>
              <w:rPr>
                <w:sz w:val="14"/>
                <w:szCs w:val="14"/>
                <w:color w:val="auto"/>
              </w:rPr>
            </w:pPr>
          </w:p>
        </w:tc>
        <w:tc>
          <w:tcPr>
            <w:tcW w:w="1560" w:type="dxa"/>
            <w:vAlign w:val="bottom"/>
            <w:gridSpan w:val="4"/>
          </w:tcPr>
          <w:p>
            <w:pPr>
              <w:ind w:left="140"/>
              <w:spacing w:after="0"/>
              <w:rPr>
                <w:sz w:val="20"/>
                <w:szCs w:val="20"/>
                <w:color w:val="auto"/>
              </w:rPr>
            </w:pPr>
            <w:r>
              <w:rPr>
                <w:rFonts w:ascii="Arial" w:cs="Arial" w:eastAsia="Arial" w:hAnsi="Arial"/>
                <w:sz w:val="14"/>
                <w:szCs w:val="14"/>
                <w:b w:val="1"/>
                <w:bCs w:val="1"/>
                <w:color w:val="auto"/>
              </w:rPr>
              <w:t>at 10% Discount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ind w:left="140"/>
              <w:spacing w:after="0"/>
              <w:rPr>
                <w:sz w:val="20"/>
                <w:szCs w:val="20"/>
                <w:color w:val="auto"/>
              </w:rPr>
            </w:pPr>
            <w:r>
              <w:rPr>
                <w:rFonts w:ascii="Arial" w:cs="Arial" w:eastAsia="Arial" w:hAnsi="Arial"/>
                <w:sz w:val="14"/>
                <w:szCs w:val="14"/>
                <w:b w:val="1"/>
                <w:bCs w:val="1"/>
                <w:color w:val="auto"/>
              </w:rPr>
              <w:t>at 20% Discount</w:t>
            </w:r>
          </w:p>
        </w:tc>
      </w:tr>
      <w:tr>
        <w:trPr>
          <w:trHeight w:val="224"/>
        </w:trPr>
        <w:tc>
          <w:tcPr>
            <w:tcW w:w="44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84"/>
              </w:rPr>
              <w:t>Prior to Sale</w:t>
            </w:r>
          </w:p>
        </w:tc>
        <w:tc>
          <w:tcPr>
            <w:tcW w:w="46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Following</w:t>
            </w: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Following</w:t>
            </w:r>
          </w:p>
        </w:tc>
        <w:tc>
          <w:tcPr>
            <w:tcW w:w="460" w:type="dxa"/>
            <w:vAlign w:val="bottom"/>
            <w:tcBorders>
              <w:top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9"/>
                <w:szCs w:val="19"/>
                <w:color w:val="auto"/>
              </w:rPr>
            </w:pPr>
          </w:p>
        </w:tc>
      </w:tr>
      <w:tr>
        <w:trPr>
          <w:trHeight w:val="161"/>
        </w:trPr>
        <w:tc>
          <w:tcPr>
            <w:tcW w:w="448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88"/>
              </w:rPr>
              <w:t>Below NAV</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76"/>
              </w:rPr>
              <w:t>Sale</w:t>
            </w:r>
          </w:p>
        </w:tc>
        <w:tc>
          <w:tcPr>
            <w:tcW w:w="10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Sale</w:t>
            </w: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Change</w:t>
            </w: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Amounts</w:t>
            </w:r>
          </w:p>
        </w:tc>
        <w:tc>
          <w:tcPr>
            <w:tcW w:w="7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9.98</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60"/>
              <w:spacing w:after="0"/>
              <w:rPr>
                <w:sz w:val="20"/>
                <w:szCs w:val="20"/>
                <w:color w:val="auto"/>
              </w:rPr>
            </w:pPr>
            <w:r>
              <w:rPr>
                <w:rFonts w:ascii="Arial" w:cs="Arial" w:eastAsia="Arial" w:hAnsi="Arial"/>
                <w:sz w:val="18"/>
                <w:szCs w:val="18"/>
                <w:color w:val="auto"/>
                <w:w w:val="79"/>
              </w:rPr>
              <w:t>9.91</w:t>
            </w:r>
          </w:p>
        </w:tc>
        <w:tc>
          <w:tcPr>
            <w:tcW w:w="44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9.67</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10.05</w:t>
            </w:r>
          </w:p>
        </w:tc>
        <w:tc>
          <w:tcPr>
            <w:tcW w:w="1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9.52</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8.47</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08"/>
        </w:trPr>
        <w:tc>
          <w:tcPr>
            <w:tcW w:w="4480" w:type="dxa"/>
            <w:vAlign w:val="bottom"/>
          </w:tcPr>
          <w:p>
            <w:pPr>
              <w:ind w:left="440"/>
              <w:spacing w:after="0"/>
              <w:rPr>
                <w:sz w:val="20"/>
                <w:szCs w:val="20"/>
                <w:color w:val="auto"/>
              </w:rPr>
            </w:pPr>
            <w:r>
              <w:rPr>
                <w:rFonts w:ascii="Arial" w:cs="Arial" w:eastAsia="Arial" w:hAnsi="Arial"/>
                <w:sz w:val="18"/>
                <w:szCs w:val="18"/>
                <w:color w:val="auto"/>
              </w:rPr>
              <w:t>Dilution per share held by stockholder A (NAV per</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448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(0.07)</w:t>
            </w:r>
          </w:p>
        </w:tc>
        <w:tc>
          <w:tcPr>
            <w:tcW w:w="10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60"/>
              <w:spacing w:after="0"/>
              <w:rPr>
                <w:sz w:val="20"/>
                <w:szCs w:val="20"/>
                <w:color w:val="auto"/>
              </w:rPr>
            </w:pPr>
            <w:r>
              <w:rPr>
                <w:rFonts w:ascii="Arial" w:cs="Arial" w:eastAsia="Arial" w:hAnsi="Arial"/>
                <w:sz w:val="18"/>
                <w:szCs w:val="18"/>
                <w:color w:val="auto"/>
                <w:w w:val="79"/>
              </w:rPr>
              <w:t>0.39</w:t>
            </w:r>
          </w:p>
        </w:tc>
        <w:tc>
          <w:tcPr>
            <w:tcW w:w="44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1.20</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09"/>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Percentage dilution to stockholder A (dilution per</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44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divided by investment per share)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4.10%</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14.17%</w:t>
            </w:r>
          </w:p>
        </w:tc>
      </w:tr>
      <w:tr>
        <w:trPr>
          <w:trHeight w:val="363"/>
        </w:trPr>
        <w:tc>
          <w:tcPr>
            <w:tcW w:w="4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8"/>
              </w:rPr>
              <w:t>Record Dates</w:t>
            </w:r>
          </w:p>
        </w:tc>
        <w:tc>
          <w:tcPr>
            <w:tcW w:w="350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Dividends</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ind w:left="360"/>
              <w:spacing w:after="0" w:line="148" w:lineRule="exact"/>
              <w:rPr>
                <w:sz w:val="20"/>
                <w:szCs w:val="20"/>
                <w:color w:val="auto"/>
              </w:rPr>
            </w:pPr>
            <w:r>
              <w:rPr>
                <w:rFonts w:ascii="Arial" w:cs="Arial" w:eastAsia="Arial" w:hAnsi="Arial"/>
                <w:sz w:val="14"/>
                <w:szCs w:val="14"/>
                <w:b w:val="1"/>
                <w:bCs w:val="1"/>
                <w:color w:val="auto"/>
              </w:rPr>
              <w:t>Payment Dates</w:t>
            </w:r>
          </w:p>
        </w:tc>
        <w:tc>
          <w:tcPr>
            <w:tcW w:w="600" w:type="dxa"/>
            <w:vAlign w:val="bottom"/>
          </w:tcPr>
          <w:p>
            <w:pPr>
              <w:spacing w:after="0"/>
              <w:rPr>
                <w:sz w:val="14"/>
                <w:szCs w:val="14"/>
                <w:color w:val="auto"/>
              </w:rPr>
            </w:pPr>
          </w:p>
        </w:tc>
        <w:tc>
          <w:tcPr>
            <w:tcW w:w="780" w:type="dxa"/>
            <w:vAlign w:val="bottom"/>
            <w:gridSpan w:val="3"/>
          </w:tcPr>
          <w:p>
            <w:pPr>
              <w:jc w:val="center"/>
              <w:ind w:right="140"/>
              <w:spacing w:after="0" w:line="148"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90"/>
        </w:trPr>
        <w:tc>
          <w:tcPr>
            <w:tcW w:w="4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2012</w:t>
            </w:r>
          </w:p>
        </w:tc>
        <w:tc>
          <w:tcPr>
            <w:tcW w:w="13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December 23, 2011</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January 3, 2011</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2011</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23, 2011</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3, 2011</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20, 2011</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July 1, 2011</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15, 2011</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April 1, 2011</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17, 2010</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January 3, 2011</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2010*</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14, 2010</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1, 2010</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2010</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July 1, 2010</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25, 2010</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April 1, 2010</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2009</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January 4, 2010</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8, 2009</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1, 2009</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2009</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July 1, 2009</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25, 2009</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April 1, 2009</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23, 2008</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January 4, 2009</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2008</w:t>
            </w:r>
          </w:p>
        </w:tc>
        <w:tc>
          <w:tcPr>
            <w:tcW w:w="1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September 24, 2008</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October 1, 2008</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23, 2008</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June 30, 2008</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440"/>
              <w:spacing w:after="0"/>
              <w:rPr>
                <w:sz w:val="20"/>
                <w:szCs w:val="20"/>
                <w:color w:val="auto"/>
              </w:rPr>
            </w:pPr>
            <w:r>
              <w:rPr>
                <w:rFonts w:ascii="Arial" w:cs="Arial" w:eastAsia="Arial" w:hAnsi="Arial"/>
                <w:sz w:val="18"/>
                <w:szCs w:val="18"/>
                <w:color w:val="auto"/>
              </w:rPr>
              <w:t>March 24, 2008</w:t>
            </w:r>
          </w:p>
        </w:tc>
        <w:tc>
          <w:tcPr>
            <w:tcW w:w="2980" w:type="dxa"/>
            <w:vAlign w:val="bottom"/>
            <w:gridSpan w:val="2"/>
          </w:tcPr>
          <w:p>
            <w:pPr>
              <w:ind w:left="1380"/>
              <w:spacing w:after="0"/>
              <w:rPr>
                <w:sz w:val="20"/>
                <w:szCs w:val="20"/>
                <w:color w:val="auto"/>
              </w:rPr>
            </w:pPr>
            <w:r>
              <w:rPr>
                <w:rFonts w:ascii="Arial" w:cs="Arial" w:eastAsia="Arial" w:hAnsi="Arial"/>
                <w:sz w:val="18"/>
                <w:szCs w:val="18"/>
                <w:color w:val="auto"/>
              </w:rPr>
              <w:t>March 31, 2008</w:t>
            </w: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2007</w:t>
            </w:r>
          </w:p>
        </w:tc>
        <w:tc>
          <w:tcPr>
            <w:tcW w:w="29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w w:val="99"/>
              </w:rPr>
              <w:t>December 31, 2007</w:t>
            </w:r>
          </w:p>
        </w:tc>
        <w:tc>
          <w:tcPr>
            <w:tcW w:w="8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1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20" w:type="dxa"/>
            <w:vAlign w:val="bottom"/>
            <w:gridSpan w:val="2"/>
            <w:vMerge w:val="continue"/>
          </w:tcPr>
          <w:p>
            <w:pPr>
              <w:spacing w:after="0"/>
              <w:rPr>
                <w:sz w:val="19"/>
                <w:szCs w:val="19"/>
                <w:color w:val="auto"/>
              </w:rPr>
            </w:pPr>
          </w:p>
        </w:tc>
        <w:tc>
          <w:tcPr>
            <w:tcW w:w="1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See note 8 to our Consolidated Financial Statements as of September 30,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distribute quarterly dividends to our stockholders. Our quarterly dividends, if any, will be determined by our board of directors.</w:t>
      </w:r>
    </w:p>
    <w:p>
      <w:pPr>
        <w:spacing w:after="0" w:line="19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8"/>
        <w:spacing w:after="0" w:line="323" w:lineRule="auto"/>
        <w:tabs>
          <w:tab w:leader="none" w:pos="249" w:val="left"/>
        </w:tabs>
        <w:numPr>
          <w:ilvl w:val="0"/>
          <w:numId w:val="62"/>
        </w:numPr>
        <w:rPr>
          <w:rFonts w:ascii="Arial" w:cs="Arial" w:eastAsia="Arial" w:hAnsi="Arial"/>
          <w:sz w:val="15"/>
          <w:szCs w:val="15"/>
          <w:color w:val="auto"/>
        </w:rPr>
      </w:pPr>
      <w:r>
        <w:rPr>
          <w:rFonts w:ascii="Arial" w:cs="Arial" w:eastAsia="Arial" w:hAnsi="Arial"/>
          <w:sz w:val="15"/>
          <w:szCs w:val="15"/>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may decide to retain such net capital gains or ordinary income to provide us with additional liquidity.</w:t>
      </w:r>
    </w:p>
    <w:p>
      <w:pPr>
        <w:spacing w:after="0" w:line="98"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may distribute our common stock as a dividend of our taxable income and a shareholder could receive a portion of the dividends declared and distributed by us in shares of our common stock with the remaining amount in cash. A shareholder will be considered to have recognized dividend income equal to the fair market value of the stock paid by us plus cash received with respect to such dividend. We have not elected to distribute stock as a dividend but reserve the right to do so. See “Material U.S. Federal Income Tax Considerations” for more information.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business development company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PennantPark Investment Corporation is a business development company whose objectives are to generate both current income and capital appreciation through debt and equity investments primarily in U.S. middle-market companies in the form of senior secured loans, mezzanine debt and equity investments.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use the term “middle-market” to refer to companies with annual revenues between $50 million and $1 billion.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generally range in maturity from three to ten years.</w:t>
      </w:r>
    </w:p>
    <w:p>
      <w:pPr>
        <w:spacing w:after="0" w:line="11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Turmoil in the credit markets over the last five years has adversely affected each of these factors and has resulted in a broad-based reduction in the demand for, and valuation of, middle-market debt instruments. These conditions have presented us with and may continue to offer attractive investment opportunities, as we believe that there are many middle-market companies that need senior secured and mezzanine debt financing. We have used, and expect to continue to use, our credit facility, the SBA debentures, proceeds from the rotation of our portfolio and proceeds from public and private offerings of securities to finance our investment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PennantPark Investment Corporation, a Maryland corporation organized on January 11, 2007, is a closed-end, externally managed, non-diversified investment company that has elected to be treated as a BDC under the 1940 Act. In addition, for tax purposes we have elected to be treated as a RIC, under the Code.</w:t>
      </w:r>
    </w:p>
    <w:p>
      <w:pPr>
        <w:spacing w:after="0" w:line="140"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Our wholly-owned subsidiary, PennantPark SBIC LP, was organized as a Delaware limited partnership on May 7, 2010 and received a license from the SBA to operate as an SBIC under Section 301(c) of the 1958 Act on July 30, 2010. SBIC LP’s objective is to generate both current income and capital appreciation through debt and equity investments. SBIC LP, generally, co-invests in SBA eligible businesses that meet the investment criteria used by PennantPark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utilize the investing experience and contacts of PennantPark Investment Advisers to develop what we believe to be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capital preservation, diversification and active management. Since our Investment Adviser’s inception in 2007, it has raised about $1.2 billion in debt and equity capital and has invested over $1.5 billion in more than 150 companies with more than 70 different financial sponsors through its managed funds.</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oversees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 for more information.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PennantPark Investment.</w:t>
      </w:r>
    </w:p>
    <w:p>
      <w:pPr>
        <w:spacing w:after="0" w:line="45" w:lineRule="exact"/>
        <w:rPr>
          <w:sz w:val="20"/>
          <w:szCs w:val="20"/>
          <w:color w:val="auto"/>
        </w:rPr>
      </w:pPr>
    </w:p>
    <w:p>
      <w:pPr>
        <w:ind w:left="900" w:hanging="446"/>
        <w:spacing w:after="0" w:line="25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900" w:right="160" w:hanging="446"/>
        <w:spacing w:after="0" w:line="334"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 CLO</w:t>
      </w:r>
      <w:r>
        <w:rPr>
          <w:rFonts w:ascii="Arial" w:cs="Arial" w:eastAsia="Arial" w:hAnsi="Arial"/>
          <w:sz w:val="16"/>
          <w:szCs w:val="16"/>
          <w:b w:val="1"/>
          <w:bCs w:val="1"/>
          <w:color w:val="auto"/>
        </w:rPr>
        <w:t xml:space="preserve"> </w:t>
      </w:r>
      <w:r>
        <w:rPr>
          <w:rFonts w:ascii="Arial" w:cs="Arial" w:eastAsia="Arial" w:hAnsi="Arial"/>
          <w:sz w:val="16"/>
          <w:szCs w:val="16"/>
          <w:color w:val="auto"/>
        </w:rPr>
        <w:t>funds have withdrawn capital from the middle-market resulting in opportunities for alternative funding sources.</w:t>
      </w:r>
    </w:p>
    <w:p>
      <w:pPr>
        <w:spacing w:after="0" w:line="1" w:lineRule="exact"/>
        <w:rPr>
          <w:rFonts w:ascii="Arial" w:cs="Arial" w:eastAsia="Arial" w:hAnsi="Arial"/>
          <w:sz w:val="16"/>
          <w:szCs w:val="16"/>
          <w:color w:val="auto"/>
        </w:rPr>
      </w:pPr>
    </w:p>
    <w:p>
      <w:pPr>
        <w:ind w:left="900" w:hanging="446"/>
        <w:spacing w:after="0" w:line="310"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446"/>
        <w:spacing w:after="0" w:line="296"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260" w:hanging="446"/>
        <w:spacing w:after="0" w:line="262"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refinancing. </w:t>
      </w:r>
      <w:r>
        <w:rPr>
          <w:rFonts w:ascii="Arial" w:cs="Arial" w:eastAsia="Arial" w:hAnsi="Arial"/>
          <w:sz w:val="18"/>
          <w:szCs w:val="18"/>
          <w:color w:val="auto"/>
        </w:rPr>
        <w:t>A high volume of financings were completed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years 2004 and 2007, which will mature in the next few years. This supply of opportunities coupled with a lack of demand offers attractive risk-adjusted returns to investors.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senior professionals of the Investment Adviser have worked together for many years and average over 20 years of experience in mezzanine lending, leveraged finance, distressed debt and private equity businesses.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70" w:lineRule="auto"/>
        <w:rPr>
          <w:sz w:val="20"/>
          <w:szCs w:val="20"/>
          <w:color w:val="auto"/>
        </w:rPr>
      </w:pPr>
      <w:r>
        <w:rPr>
          <w:rFonts w:ascii="Arial" w:cs="Arial" w:eastAsia="Arial" w:hAnsi="Arial"/>
          <w:sz w:val="15"/>
          <w:szCs w:val="15"/>
          <w:color w:val="auto"/>
        </w:rPr>
        <w:t>The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hanging="184"/>
        <w:spacing w:after="0"/>
        <w:tabs>
          <w:tab w:leader="none" w:pos="42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Longer Investment Horizon with Attractive Publicly-Traded Model</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Unlike private equity and venture capital funds, we are not subject to standard periodic capital return requirements. Such requirements typically stipulate that funds raised by a private equity or venture capital fund, together with any capital gains on such invested funds, can only be invested once and must be returned to investors after a pre-agreed time period. We believe that our flexibility to make investments with a long-term view and without the capital return requirements of traditional private investment vehicles enables us to generate attractive returns on invested capital and to be a better long-term partner for our portfolio companies.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maintain a multi-currency $315.0 million senior secured Credit Facility which matures on June 25, 2012 and is secured by substantially all of our investment portfolio assets (excluding the assets of SBIC LP). As of September 30, 2011, we had $240.9 million outstanding on the Credit Facility with a weighted average interest rate at the time of 1.27% and had $74.1 million of unused borrowing capacity. Pricing of borrowings under our Credit Facility is set at 100 basis points over LIBOR. We believe that our capital resources will provide us with the flexibility to take advantage of market opportunities when they arise. In addition, any future additional debt capital we incur, including refinancing the debt outstanding under our Credit Facility, to the extent it is available under current credit market conditions, may be issued at a higher cost and on less favorable terms and conditions than our current Credit Facility. See “Management’s Discussion and Analysis of Financial Condition and Results of Operations—Liquidity and Capital Resources” for more information.</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of September 30, 2011, SBIC LP had drawn $150.0 million, with a weighted average interest rate of 3.70%, exclusive of 3.43% of upfront fees.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superior claim over such assets. See “Regulation” for more information.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seek to create a diversified portfolio that includes senior secured loans, mezzanine debt and equity by targeting an investment size of $10 million to $50 million in securities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senior secured loans, mezzanine debt and, to a lesser extent, equity investments in qualifying assets such as private or thinly traded or small market-capitalization, public U.S. companies. In addition, we may invest up to 30% of our portfolio in non-qualifying assets. See “Regulation—Qualifying Assets”. These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Structurally, mezzanine debt, which we define to include second lien secured debt and subordinated debt, usually ranks subordinate in priority of payment to senior secured loans and will generally be unsecured. Our second lien secured debt is subordinated debt that benefits from a collateral interest in the borrower. As such, other creditors may rank senior to us in the event of insolvency. However, mezzanine debt ranks senior to common and preferred equity in a borrower’s capital structure. Due to its higher risk profile and often less restrictive covenants as compared to senior secured loans, mezzanine debt generally earns a higher return than senior secured loans. In many cases mezzanine investors receive opportunities to invest directly in the equity investments of borrowers and from time to time may also receive warrants to purchase equity investments. We evaluate these investment opportunities on a case-by-case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investment professionals who manage our portfolio and seek to minimize the risk of capital loss without foregoing potential for capital appreciation.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orientation and positive cash flow</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investment philosophy places a premium on fundamental analysis and has a distinct value orientation. We focus on companies in which we can invest at relatively low multiples of operating cash flow and that are profitable at the time of investment on an operating cash flow basis. Typically, we do not expect to invest in start-up companies or companies having speculative business plans.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and established financial sponsor relationship</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generally require that our portfolio companies have an experienced management team. We also require the portfolio companies to have proper incentives in place to induce management to succeed and to act in concert with our interests as investors, including having equity interests. In addition, we focus our investments in companies backed by strong financial sponsors that have a history of creating value and with whom members of our Investment Adviser have an established relationship.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and defensible competitive market position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seek to invest in target companies that have developed leading market positions within their respective markets and are well positioned to capitalize on growth opportunities. We also seek companies that demonstrate significant competitive advantages versus their competitors, which should help to protect their market position and profitability.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seek to invest in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exit from our investments over time. In addition, we also seek to invest in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459" w:right="3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and periodically with a goal toward identifying early and, when able and appropriate, selling,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Investment Adviser seeks to achieve our investment objective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Mezzanine debt may have interest-only payments in the early years, payable in cash or PIK payments with amortization of principal deferred to the later years of the mezzanine debt. In some cases, we may enter into mezzanine debt that, by its terms, converts into equity or additional debt securities or defers payments of interest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first few years after our investment. Also, in some cases our mezzanine debt may be collateralized by a subordinated lien on some or all of the assets of the borrower. Typically, our mezzanine debt investments have maturities of three to ten years.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case of our senior secured loan and mezzanine debt investments,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446"/>
        <w:spacing w:after="0" w:line="306"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60"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Consolidated Portfolio</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We may invest in other industries if we are presented with attractive opportunities. The following is a list of the industries in which we have invested:</w:t>
      </w:r>
    </w:p>
    <w:p>
      <w:pPr>
        <w:sectPr>
          <w:pgSz w:w="11900" w:h="16838" w:orient="portrait"/>
          <w:cols w:equalWidth="0" w:num="1">
            <w:col w:w="11380"/>
          </w:cols>
          <w:pgMar w:left="240" w:top="460" w:right="279" w:bottom="1440" w:gutter="0" w:footer="0" w:header="0"/>
        </w:sectPr>
      </w:pPr>
    </w:p>
    <w:p>
      <w:pPr>
        <w:spacing w:after="0" w:line="147" w:lineRule="exact"/>
        <w:rPr>
          <w:sz w:val="20"/>
          <w:szCs w:val="20"/>
          <w:color w:val="auto"/>
        </w:rPr>
      </w:pPr>
    </w:p>
    <w:p>
      <w:pPr>
        <w:ind w:left="720" w:hanging="280"/>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Aerospace and Defense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Auto Sector</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Cable Television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Cargo Transportation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Chemicals, Plastics and Rubber</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Consumer Products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Containers Packaging &amp; Glass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Diversified/Conglomerate Manufacturing</w:t>
      </w:r>
    </w:p>
    <w:p>
      <w:pPr>
        <w:spacing w:after="0" w:line="113" w:lineRule="exact"/>
        <w:rPr>
          <w:rFonts w:ascii="Arial" w:cs="Arial" w:eastAsia="Arial" w:hAnsi="Arial"/>
          <w:sz w:val="16"/>
          <w:szCs w:val="16"/>
          <w:color w:val="auto"/>
        </w:rPr>
      </w:pPr>
    </w:p>
    <w:p>
      <w:pPr>
        <w:ind w:left="720" w:hanging="280"/>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Diversified/Conglomerate Services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Energy / Utilities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1160" w:hanging="28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Grocery</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Healthcare, Education and Childcare</w:t>
      </w:r>
    </w:p>
    <w:p>
      <w:pPr>
        <w:spacing w:after="0" w:line="90" w:lineRule="exact"/>
        <w:rPr>
          <w:rFonts w:ascii="Arial" w:cs="Arial" w:eastAsia="Arial" w:hAnsi="Arial"/>
          <w:sz w:val="18"/>
          <w:szCs w:val="18"/>
          <w:color w:val="auto"/>
        </w:rPr>
      </w:pPr>
    </w:p>
    <w:p>
      <w:pPr>
        <w:ind w:left="1300" w:right="140" w:hanging="429"/>
        <w:spacing w:after="0" w:line="268" w:lineRule="auto"/>
        <w:tabs>
          <w:tab w:leader="none" w:pos="11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50" w:lineRule="exact"/>
        <w:rPr>
          <w:rFonts w:ascii="Arial" w:cs="Arial" w:eastAsia="Arial" w:hAnsi="Arial"/>
          <w:sz w:val="18"/>
          <w:szCs w:val="18"/>
          <w:color w:val="auto"/>
        </w:rPr>
      </w:pPr>
    </w:p>
    <w:p>
      <w:pPr>
        <w:ind w:left="1160" w:hanging="28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Hotels, Motels, Inns and Gaming</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Leisure, Amusement, Motion Picture, Entertainment</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Logistics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Manufacturing / Basic Industries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Media</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Personal, Food and Miscellaneous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Printing and Publishing</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Retail Store</w:t>
      </w:r>
    </w:p>
    <w:p>
      <w:pPr>
        <w:spacing w:after="0" w:line="90" w:lineRule="exact"/>
        <w:rPr>
          <w:rFonts w:ascii="Arial" w:cs="Arial" w:eastAsia="Arial" w:hAnsi="Arial"/>
          <w:sz w:val="18"/>
          <w:szCs w:val="18"/>
          <w:color w:val="auto"/>
        </w:rPr>
      </w:pPr>
    </w:p>
    <w:p>
      <w:pPr>
        <w:ind w:left="1140" w:hanging="269"/>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Telecommunications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4900" w:space="720"/>
            <w:col w:w="5760"/>
          </w:cols>
          <w:pgMar w:left="240" w:top="460" w:right="27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400" w:type="dxa"/>
            <w:vAlign w:val="bottom"/>
            <w:vMerge w:val="restart"/>
          </w:tcPr>
          <w:p>
            <w:pPr>
              <w:spacing w:after="0"/>
              <w:rPr>
                <w:sz w:val="14"/>
                <w:szCs w:val="14"/>
                <w:color w:val="auto"/>
              </w:rPr>
            </w:pPr>
          </w:p>
        </w:tc>
        <w:tc>
          <w:tcPr>
            <w:tcW w:w="15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83"/>
              </w:rPr>
              <w:t>September 30,</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Portfolio Company</w:t>
            </w:r>
          </w:p>
        </w:tc>
        <w:tc>
          <w:tcPr>
            <w:tcW w:w="3240" w:type="dxa"/>
            <w:vAlign w:val="bottom"/>
            <w:vMerge w:val="restart"/>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8"/>
        </w:trPr>
        <w:tc>
          <w:tcPr>
            <w:tcW w:w="1180" w:type="dxa"/>
            <w:vAlign w:val="bottom"/>
            <w:tcBorders>
              <w:bottom w:val="single" w:sz="8" w:color="auto"/>
            </w:tcBorders>
            <w:gridSpan w:val="2"/>
            <w:vMerge w:val="continue"/>
          </w:tcPr>
          <w:p>
            <w:pPr>
              <w:spacing w:after="0"/>
              <w:rPr>
                <w:sz w:val="14"/>
                <w:szCs w:val="14"/>
                <w:color w:val="auto"/>
              </w:rPr>
            </w:pPr>
          </w:p>
        </w:tc>
        <w:tc>
          <w:tcPr>
            <w:tcW w:w="3400" w:type="dxa"/>
            <w:vAlign w:val="bottom"/>
            <w:vMerge w:val="continue"/>
          </w:tcPr>
          <w:p>
            <w:pPr>
              <w:spacing w:after="0"/>
              <w:rPr>
                <w:sz w:val="14"/>
                <w:szCs w:val="14"/>
                <w:color w:val="auto"/>
              </w:rPr>
            </w:pPr>
          </w:p>
        </w:tc>
        <w:tc>
          <w:tcPr>
            <w:tcW w:w="840" w:type="dxa"/>
            <w:vAlign w:val="bottom"/>
            <w:gridSpan w:val="2"/>
          </w:tcPr>
          <w:p>
            <w:pPr>
              <w:jc w:val="right"/>
              <w:ind w:right="222"/>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tcBorders>
              <w:bottom w:val="single" w:sz="8" w:color="auto"/>
            </w:tcBorders>
            <w:gridSpan w:val="3"/>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8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Eureka Hunter Pipeline, LLC (Magnum Hunter</w:t>
            </w: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3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Resources Corporation)</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9"/>
                <w:szCs w:val="19"/>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Last Mile Funding Corp. (3PD, Inc.)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Veritext Corporation</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Legal Services, Inc.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CT Technologies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gridSpan w:val="3"/>
          </w:tcPr>
          <w:p>
            <w:pPr>
              <w:spacing w:after="0"/>
              <w:rPr>
                <w:sz w:val="20"/>
                <w:szCs w:val="20"/>
                <w:color w:val="auto"/>
              </w:rPr>
            </w:pPr>
            <w:r>
              <w:rPr>
                <w:rFonts w:ascii="Arial" w:cs="Arial" w:eastAsia="Arial" w:hAnsi="Arial"/>
                <w:sz w:val="18"/>
                <w:szCs w:val="18"/>
                <w:color w:val="auto"/>
              </w:rPr>
              <w:t>Kadmon Pharmaceuticals LLC (f/k/a Three River</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ind w:left="220"/>
              <w:spacing w:after="0"/>
              <w:rPr>
                <w:sz w:val="20"/>
                <w:szCs w:val="20"/>
                <w:color w:val="auto"/>
              </w:rPr>
            </w:pPr>
            <w:r>
              <w:rPr>
                <w:rFonts w:ascii="Arial" w:cs="Arial" w:eastAsia="Arial" w:hAnsi="Arial"/>
                <w:sz w:val="18"/>
                <w:szCs w:val="18"/>
                <w:color w:val="auto"/>
              </w:rPr>
              <w:t>Pharmaceuticals LLC)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Da-Lite Screen Company,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Learning Care Group, Inc.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i2 Holdings, Ltd.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LTI Flexible Products, Inc.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Instant Web,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Veritext Corporation</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Saint Acquisition Corp.</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Instant Web, Inc.</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8"/>
                <w:szCs w:val="18"/>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Sugarhouse HSP Gaming Properties</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44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Three Rivers Pharmaceutical, L.L.C.</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spacing w:after="0"/>
              <w:rPr>
                <w:sz w:val="20"/>
                <w:szCs w:val="20"/>
                <w:color w:val="auto"/>
              </w:rPr>
            </w:pPr>
            <w:r>
              <w:rPr>
                <w:rFonts w:ascii="Arial" w:cs="Arial" w:eastAsia="Arial" w:hAnsi="Arial"/>
                <w:sz w:val="18"/>
                <w:szCs w:val="18"/>
                <w:color w:val="auto"/>
              </w:rPr>
              <w:t>Prince Mineral Holdings Corp.</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4420" w:type="dxa"/>
            <w:vAlign w:val="bottom"/>
            <w:gridSpan w:val="4"/>
          </w:tcPr>
          <w:p>
            <w:pPr>
              <w:spacing w:after="0"/>
              <w:rPr>
                <w:sz w:val="20"/>
                <w:szCs w:val="20"/>
                <w:color w:val="auto"/>
              </w:rPr>
            </w:pPr>
            <w:r>
              <w:rPr>
                <w:rFonts w:ascii="Arial" w:cs="Arial" w:eastAsia="Arial" w:hAnsi="Arial"/>
                <w:sz w:val="18"/>
                <w:szCs w:val="18"/>
                <w:color w:val="auto"/>
              </w:rPr>
              <w:t>Trizetto Group, Inc.</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Industry</w:t>
            </w:r>
          </w:p>
        </w:tc>
        <w:tc>
          <w:tcPr>
            <w:tcW w:w="4040" w:type="dxa"/>
            <w:vAlign w:val="bottom"/>
            <w:gridSpan w:val="2"/>
            <w:vMerge w:val="restart"/>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Industry</w:t>
            </w:r>
          </w:p>
        </w:tc>
        <w:tc>
          <w:tcPr>
            <w:tcW w:w="3840" w:type="dxa"/>
            <w:vAlign w:val="bottom"/>
            <w:gridSpan w:val="2"/>
            <w:vMerge w:val="restart"/>
          </w:tcPr>
          <w:p>
            <w:pPr>
              <w:spacing w:after="0"/>
              <w:rPr>
                <w:sz w:val="24"/>
                <w:szCs w:val="2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4040" w:type="dxa"/>
            <w:vAlign w:val="bottom"/>
            <w:gridSpan w:val="2"/>
            <w:vMerge w:val="continue"/>
          </w:tcPr>
          <w:p>
            <w:pPr>
              <w:spacing w:after="0"/>
              <w:rPr>
                <w:sz w:val="14"/>
                <w:szCs w:val="14"/>
                <w:color w:val="auto"/>
              </w:rPr>
            </w:pPr>
          </w:p>
        </w:tc>
        <w:tc>
          <w:tcPr>
            <w:tcW w:w="840" w:type="dxa"/>
            <w:vAlign w:val="bottom"/>
            <w:gridSpan w:val="2"/>
          </w:tcPr>
          <w:p>
            <w:pPr>
              <w:jc w:val="right"/>
              <w:ind w:right="102"/>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3840" w:type="dxa"/>
            <w:vAlign w:val="bottom"/>
            <w:gridSpan w:val="2"/>
            <w:vMerge w:val="continue"/>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Business Services</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Business Services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Healthcare, Education &amp; Childcare</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Healthcare, Education and Childcare</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Cargo Transport</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gridSpan w:val="3"/>
          </w:tcPr>
          <w:p>
            <w:pPr>
              <w:spacing w:after="0"/>
              <w:rPr>
                <w:sz w:val="20"/>
                <w:szCs w:val="20"/>
                <w:color w:val="auto"/>
              </w:rPr>
            </w:pPr>
            <w:r>
              <w:rPr>
                <w:rFonts w:ascii="Arial" w:cs="Arial" w:eastAsia="Arial" w:hAnsi="Arial"/>
                <w:sz w:val="18"/>
                <w:szCs w:val="18"/>
                <w:color w:val="auto"/>
              </w:rPr>
              <w:t>Consumer Products</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Home and Office Furnishings, Housewares and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380" w:type="dxa"/>
            <w:vAlign w:val="bottom"/>
            <w:gridSpan w:val="3"/>
          </w:tcPr>
          <w:p>
            <w:pPr>
              <w:ind w:left="220"/>
              <w:spacing w:after="0"/>
              <w:rPr>
                <w:sz w:val="20"/>
                <w:szCs w:val="20"/>
                <w:color w:val="auto"/>
              </w:rPr>
            </w:pPr>
            <w:r>
              <w:rPr>
                <w:rFonts w:ascii="Arial" w:cs="Arial" w:eastAsia="Arial" w:hAnsi="Arial"/>
                <w:sz w:val="18"/>
                <w:szCs w:val="18"/>
                <w:color w:val="auto"/>
              </w:rPr>
              <w:t>Durable Consumer Products</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Oil and Gas</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Education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tcPr>
          <w:p>
            <w:pPr>
              <w:spacing w:after="0"/>
              <w:rPr>
                <w:sz w:val="20"/>
                <w:szCs w:val="20"/>
                <w:color w:val="auto"/>
              </w:rPr>
            </w:pPr>
            <w:r>
              <w:rPr>
                <w:rFonts w:ascii="Arial" w:cs="Arial" w:eastAsia="Arial" w:hAnsi="Arial"/>
                <w:sz w:val="18"/>
                <w:szCs w:val="18"/>
                <w:color w:val="auto"/>
              </w:rPr>
              <w:t>Personal, Food and Miscellaneous Services</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Transportation</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15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3"/>
          </w:tcPr>
          <w:p>
            <w:pPr>
              <w:spacing w:after="0"/>
              <w:rPr>
                <w:sz w:val="20"/>
                <w:szCs w:val="20"/>
                <w:color w:val="auto"/>
              </w:rPr>
            </w:pPr>
            <w:r>
              <w:rPr>
                <w:rFonts w:ascii="Arial" w:cs="Arial" w:eastAsia="Arial" w:hAnsi="Arial"/>
                <w:sz w:val="18"/>
                <w:szCs w:val="18"/>
                <w:color w:val="auto"/>
              </w:rPr>
              <w:t>Aerospace and Defense</w:t>
            </w:r>
          </w:p>
        </w:tc>
        <w:tc>
          <w:tcPr>
            <w:tcW w:w="1500" w:type="dxa"/>
            <w:vAlign w:val="bottom"/>
            <w:gridSpan w:val="4"/>
          </w:tcPr>
          <w:p>
            <w:pPr>
              <w:jc w:val="right"/>
              <w:ind w:right="5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Oil and Gas</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Accordingly, they may have obligations to investors in PennantPark Floating Rate Capital Ltd.,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PennantPark Investment, subject to compliance with applicable regulations and our trade allocation procedures. Some types of negotiated co-investments may be made only if we receive an order from the SEC permitting us to do so. We have not sought, and there can be no assurance that we would obtain, any such order.</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September 30, 2011, our portfolio consisted of 48 companies and was invested 36% in senior secured loans, 20% in second lien secured debt, 37% in subordinated debt and 7% in preferred and common equity investments.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00"/>
          </w:cols>
          <w:pgMar w:left="240" w:top="459" w:right="3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2011.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2011 Consolidated Financial Statements included elsewhere in this prospectus.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5% or less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SBIC LP) are pledged as collateral under our credit facility. Unless otherwise noted, we held no voting board membership on any of our portfolio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Nature of Business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Companies 5% or Less Owned</w:t>
            </w:r>
          </w:p>
        </w:tc>
        <w:tc>
          <w:tcPr>
            <w:tcW w:w="200" w:type="dxa"/>
            <w:vAlign w:val="bottom"/>
            <w:tcBorders>
              <w:top w:val="single" w:sz="8" w:color="CCEEFF"/>
            </w:tcBorders>
            <w:shd w:val="clear" w:color="auto" w:fill="CCEEFF"/>
          </w:tcPr>
          <w:p>
            <w:pPr>
              <w:spacing w:after="0"/>
              <w:rPr>
                <w:sz w:val="12"/>
                <w:szCs w:val="12"/>
                <w:color w:val="auto"/>
              </w:rPr>
            </w:pPr>
          </w:p>
        </w:tc>
        <w:tc>
          <w:tcPr>
            <w:tcW w:w="37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Affinion Group Holdings, Inc.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Consumer Products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100 Connecticut Avenue</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Norwalk, CT 06850</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AHC Mezzanine, LLC (Advanstar Inc.)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Other Media</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Preferred Equity</w:t>
            </w:r>
          </w:p>
        </w:tc>
        <w:tc>
          <w:tcPr>
            <w:tcW w:w="7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 Park Avenue</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American Surgical Holdings, Inc. (AH Holdings, Inc.)</w:t>
            </w: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10039 Bissonnet Street, Suite 250</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7"/>
              </w:rPr>
              <w:t>Healthcare, Education and Childcare</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vMerge w:val="restart"/>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4280" w:type="dxa"/>
            <w:vAlign w:val="bottom"/>
            <w:gridSpan w:val="3"/>
            <w:vMerge w:val="restart"/>
          </w:tcPr>
          <w:p>
            <w:pPr>
              <w:spacing w:after="0"/>
              <w:rPr>
                <w:sz w:val="20"/>
                <w:szCs w:val="20"/>
                <w:color w:val="auto"/>
              </w:rPr>
            </w:pPr>
            <w:r>
              <w:rPr>
                <w:rFonts w:ascii="Arial" w:cs="Arial" w:eastAsia="Arial" w:hAnsi="Arial"/>
                <w:sz w:val="14"/>
                <w:szCs w:val="14"/>
                <w:color w:val="auto"/>
              </w:rPr>
              <w:t>Houston, TX 77036-7852</w:t>
            </w:r>
          </w:p>
        </w:tc>
        <w:tc>
          <w:tcPr>
            <w:tcW w:w="3920" w:type="dxa"/>
            <w:vAlign w:val="bottom"/>
            <w:gridSpan w:val="2"/>
            <w:vMerge w:val="continue"/>
          </w:tcPr>
          <w:p>
            <w:pPr>
              <w:spacing w:after="0"/>
              <w:rPr>
                <w:sz w:val="4"/>
                <w:szCs w:val="4"/>
                <w:color w:val="auto"/>
              </w:rPr>
            </w:pPr>
          </w:p>
        </w:tc>
        <w:tc>
          <w:tcPr>
            <w:tcW w:w="246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280" w:type="dxa"/>
            <w:vAlign w:val="bottom"/>
            <w:gridSpan w:val="3"/>
            <w:vMerge w:val="continue"/>
          </w:tcPr>
          <w:p>
            <w:pPr>
              <w:spacing w:after="0"/>
              <w:rPr>
                <w:sz w:val="10"/>
                <w:szCs w:val="10"/>
                <w:color w:val="auto"/>
              </w:rPr>
            </w:pPr>
          </w:p>
        </w:tc>
        <w:tc>
          <w:tcPr>
            <w:tcW w:w="3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color w:val="auto"/>
                <w:w w:val="86"/>
              </w:rPr>
              <w:t>Preferred Equity</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6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4"/>
              </w:rPr>
              <w:t>Warrants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Aquilex Holdings, LLC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Diversified / Conglomerate Services</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5"/>
              </w:rPr>
              <w:t>Subordinated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3344 Peachtree Roads NE, Suite 2100</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30326</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Brand Energy and Infrastructure</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Energy / Utilities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Services, Inc.</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2502 South Main Street</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Kennesaw, GA 30144</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CEA Autumn Management, LLC</w:t>
            </w:r>
          </w:p>
        </w:tc>
        <w:tc>
          <w:tcPr>
            <w:tcW w:w="392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6"/>
              </w:rPr>
              <w:t>Broadcasting and Entertainment</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8"/>
              </w:rPr>
              <w:t>Common Equity</w:t>
            </w:r>
          </w:p>
        </w:tc>
        <w:tc>
          <w:tcPr>
            <w:tcW w:w="7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 Thompson St.</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CEVA Group PLC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Logistics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25 St. George Street</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London W1S 1FS</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United Kingdom</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280" w:type="dxa"/>
            <w:vAlign w:val="bottom"/>
            <w:gridSpan w:val="3"/>
          </w:tcPr>
          <w:p>
            <w:pPr>
              <w:spacing w:after="0"/>
              <w:rPr>
                <w:sz w:val="20"/>
                <w:szCs w:val="20"/>
                <w:color w:val="auto"/>
              </w:rPr>
            </w:pPr>
            <w:r>
              <w:rPr>
                <w:rFonts w:ascii="Arial" w:cs="Arial" w:eastAsia="Arial" w:hAnsi="Arial"/>
                <w:sz w:val="14"/>
                <w:szCs w:val="14"/>
                <w:color w:val="auto"/>
              </w:rPr>
              <w:t>Chester Downs and Marina, LLC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Hotels, Motels, Inns and Gaming</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777 Harrah’s Blvd</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Chester, PA 19103</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Nature of Business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0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Columbus International, Inc.</w:t>
            </w:r>
          </w:p>
        </w:tc>
        <w:tc>
          <w:tcPr>
            <w:tcW w:w="200" w:type="dxa"/>
            <w:vAlign w:val="bottom"/>
            <w:tcBorders>
              <w:top w:val="single" w:sz="8" w:color="CCEEFF"/>
            </w:tcBorders>
            <w:shd w:val="clear" w:color="auto" w:fill="CCEEFF"/>
          </w:tcPr>
          <w:p>
            <w:pPr>
              <w:spacing w:after="0"/>
              <w:rPr>
                <w:sz w:val="11"/>
                <w:szCs w:val="11"/>
                <w:color w:val="auto"/>
              </w:rPr>
            </w:pPr>
          </w:p>
        </w:tc>
        <w:tc>
          <w:tcPr>
            <w:tcW w:w="37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Communications</w:t>
            </w:r>
          </w:p>
        </w:tc>
        <w:tc>
          <w:tcPr>
            <w:tcW w:w="200" w:type="dxa"/>
            <w:vAlign w:val="bottom"/>
            <w:tcBorders>
              <w:top w:val="single" w:sz="8" w:color="CCEEFF"/>
            </w:tcBorders>
            <w:shd w:val="clear" w:color="auto" w:fill="CCEEFF"/>
          </w:tcPr>
          <w:p>
            <w:pPr>
              <w:spacing w:after="0"/>
              <w:rPr>
                <w:sz w:val="11"/>
                <w:szCs w:val="11"/>
                <w:color w:val="auto"/>
              </w:rPr>
            </w:pPr>
          </w:p>
        </w:tc>
        <w:tc>
          <w:tcPr>
            <w:tcW w:w="224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First Lien Secured Debt</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293"/>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Suite 205-207 Dowell House Cr.</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Roebuck &amp; Palmetto Sts.</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Bridgetown, Barbados, West Indies</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Consolidated Foundries, Inc. (CFHC Holdings, Inc.)</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5"/>
              </w:rPr>
              <w:t>Aerospace and Defense</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8"/>
              </w:rPr>
              <w:t>Subordinated Debt Preferred Equity</w:t>
            </w: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2"/>
        </w:trPr>
        <w:tc>
          <w:tcPr>
            <w:tcW w:w="4280" w:type="dxa"/>
            <w:vAlign w:val="bottom"/>
            <w:gridSpan w:val="3"/>
          </w:tcPr>
          <w:p>
            <w:pPr>
              <w:spacing w:after="0" w:line="133" w:lineRule="exact"/>
              <w:rPr>
                <w:sz w:val="20"/>
                <w:szCs w:val="20"/>
                <w:color w:val="auto"/>
              </w:rPr>
            </w:pPr>
            <w:r>
              <w:rPr>
                <w:rFonts w:ascii="Arial" w:cs="Arial" w:eastAsia="Arial" w:hAnsi="Arial"/>
                <w:sz w:val="14"/>
                <w:szCs w:val="14"/>
                <w:color w:val="auto"/>
              </w:rPr>
              <w:t>4200 Valley Blvd.</w:t>
            </w:r>
          </w:p>
        </w:tc>
        <w:tc>
          <w:tcPr>
            <w:tcW w:w="3920" w:type="dxa"/>
            <w:vAlign w:val="bottom"/>
            <w:gridSpan w:val="2"/>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280" w:type="dxa"/>
            <w:vAlign w:val="bottom"/>
            <w:gridSpan w:val="3"/>
          </w:tcPr>
          <w:p>
            <w:pPr>
              <w:spacing w:after="0"/>
              <w:rPr>
                <w:sz w:val="20"/>
                <w:szCs w:val="20"/>
                <w:color w:val="auto"/>
              </w:rPr>
            </w:pPr>
            <w:r>
              <w:rPr>
                <w:rFonts w:ascii="Arial" w:cs="Arial" w:eastAsia="Arial" w:hAnsi="Arial"/>
                <w:sz w:val="14"/>
                <w:szCs w:val="14"/>
                <w:color w:val="auto"/>
              </w:rPr>
              <w:t>Pomona, CA 91766</w:t>
            </w: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Common Equity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Covad Communications Group, Inc.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Telecommunications</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2220 O’Toole Avenue</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Jose, CA 95131</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CT Technologies Intermediate Holdings,</w:t>
            </w: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LLC (CT Technologies Intermediate Holdings, Inc.)</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3"/>
              </w:rPr>
              <w:t>Business Services</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8"/>
              </w:rPr>
              <w:t>Common Equity</w:t>
            </w: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875 North Michigan Avenue</w:t>
            </w:r>
          </w:p>
        </w:tc>
        <w:tc>
          <w:tcPr>
            <w:tcW w:w="392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Chicago, IL 60601</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DirectBuy Holdings, Inc. (DirectBuy Investors, L.P.)</w:t>
            </w:r>
          </w:p>
        </w:tc>
        <w:tc>
          <w:tcPr>
            <w:tcW w:w="39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87"/>
              </w:rPr>
              <w:t>Consumer Products</w:t>
            </w:r>
          </w:p>
        </w:tc>
        <w:tc>
          <w:tcPr>
            <w:tcW w:w="24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8450 Broadway</w:t>
            </w:r>
          </w:p>
        </w:tc>
        <w:tc>
          <w:tcPr>
            <w:tcW w:w="3920" w:type="dxa"/>
            <w:vAlign w:val="bottom"/>
            <w:gridSpan w:val="2"/>
            <w:vMerge w:val="continue"/>
            <w:shd w:val="clear" w:color="auto" w:fill="CCEEFF"/>
          </w:tcPr>
          <w:p>
            <w:pPr>
              <w:spacing w:after="0"/>
              <w:rPr>
                <w:sz w:val="11"/>
                <w:szCs w:val="11"/>
                <w:color w:val="auto"/>
              </w:rPr>
            </w:pPr>
          </w:p>
        </w:tc>
        <w:tc>
          <w:tcPr>
            <w:tcW w:w="246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Merrillville, IN 46410</w:t>
            </w:r>
          </w:p>
        </w:tc>
        <w:tc>
          <w:tcPr>
            <w:tcW w:w="3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7"/>
              </w:rPr>
              <w:t>Common Stock</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Diversitech Corporation</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Manufacturing/Basic Industry</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6650 Sugarloaf Parkway, Suite 100,</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Duluth, GA 30097</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6"/>
              </w:rPr>
              <w:t>Eureka Hunter Pipeline, LLC (Magnum Hunter Resources Corporation)</w:t>
            </w:r>
          </w:p>
        </w:tc>
        <w:tc>
          <w:tcPr>
            <w:tcW w:w="392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9"/>
              </w:rPr>
              <w:t>Energy/Utilities Oil and Gas</w:t>
            </w:r>
          </w:p>
        </w:tc>
        <w:tc>
          <w:tcPr>
            <w:tcW w:w="24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777 Post Oak Blvd., Suite 650</w:t>
            </w:r>
          </w:p>
        </w:tc>
        <w:tc>
          <w:tcPr>
            <w:tcW w:w="3920" w:type="dxa"/>
            <w:vAlign w:val="bottom"/>
            <w:gridSpan w:val="2"/>
            <w:vMerge w:val="continue"/>
            <w:shd w:val="clear" w:color="auto" w:fill="CCEEFF"/>
          </w:tcPr>
          <w:p>
            <w:pPr>
              <w:spacing w:after="0"/>
              <w:rPr>
                <w:sz w:val="11"/>
                <w:szCs w:val="11"/>
                <w:color w:val="auto"/>
              </w:rPr>
            </w:pPr>
          </w:p>
        </w:tc>
        <w:tc>
          <w:tcPr>
            <w:tcW w:w="2460" w:type="dxa"/>
            <w:vAlign w:val="bottom"/>
            <w:gridSpan w:val="2"/>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3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7"/>
              </w:rPr>
              <w:t>Common Equity Warrants</w:t>
            </w: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Escort, Inc.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Electronics</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5440 West Chester Road</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West Chester, OH 45069-2950</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Good Sam Enterprises, LLC (f/k/a Affinity Group Holdings Inc.)</w:t>
            </w:r>
          </w:p>
        </w:tc>
        <w:tc>
          <w:tcPr>
            <w:tcW w:w="3920" w:type="dxa"/>
            <w:vAlign w:val="bottom"/>
            <w:gridSpan w:val="2"/>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87"/>
              </w:rPr>
              <w:t>Consumer Products</w:t>
            </w:r>
          </w:p>
        </w:tc>
        <w:tc>
          <w:tcPr>
            <w:tcW w:w="246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vMerge w:val="restart"/>
            <w:shd w:val="clear" w:color="auto" w:fill="CCEEFF"/>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2575 Vista Del Mar Drive</w:t>
            </w:r>
          </w:p>
        </w:tc>
        <w:tc>
          <w:tcPr>
            <w:tcW w:w="3920" w:type="dxa"/>
            <w:vAlign w:val="bottom"/>
            <w:gridSpan w:val="2"/>
            <w:vMerge w:val="continue"/>
            <w:shd w:val="clear" w:color="auto" w:fill="CCEEFF"/>
          </w:tcPr>
          <w:p>
            <w:pPr>
              <w:spacing w:after="0"/>
              <w:rPr>
                <w:sz w:val="12"/>
                <w:szCs w:val="12"/>
                <w:color w:val="auto"/>
              </w:rPr>
            </w:pPr>
          </w:p>
        </w:tc>
        <w:tc>
          <w:tcPr>
            <w:tcW w:w="2460" w:type="dxa"/>
            <w:vAlign w:val="bottom"/>
            <w:gridSpan w:val="2"/>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Ventura, CA 93001</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w w:val="96"/>
              </w:rPr>
              <w:t>Greatwide Logistics Services, L.L.C. (Transportation 100 HoldCo, LLC)</w:t>
            </w:r>
          </w:p>
        </w:tc>
        <w:tc>
          <w:tcPr>
            <w:tcW w:w="392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86"/>
              </w:rPr>
              <w:t>Cargo Transport</w:t>
            </w:r>
          </w:p>
        </w:tc>
        <w:tc>
          <w:tcPr>
            <w:tcW w:w="24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tcPr>
          <w:p>
            <w:pPr>
              <w:jc w:val="right"/>
              <w:ind w:right="173"/>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2"/>
        </w:trPr>
        <w:tc>
          <w:tcPr>
            <w:tcW w:w="4280" w:type="dxa"/>
            <w:vAlign w:val="bottom"/>
            <w:gridSpan w:val="3"/>
          </w:tcPr>
          <w:p>
            <w:pPr>
              <w:spacing w:after="0" w:line="133" w:lineRule="exact"/>
              <w:rPr>
                <w:sz w:val="20"/>
                <w:szCs w:val="20"/>
                <w:color w:val="auto"/>
              </w:rPr>
            </w:pPr>
            <w:r>
              <w:rPr>
                <w:rFonts w:ascii="Arial" w:cs="Arial" w:eastAsia="Arial" w:hAnsi="Arial"/>
                <w:sz w:val="14"/>
                <w:szCs w:val="14"/>
                <w:color w:val="auto"/>
              </w:rPr>
              <w:t>12404 Park Central Dr., Ste. 300s</w:t>
            </w:r>
          </w:p>
        </w:tc>
        <w:tc>
          <w:tcPr>
            <w:tcW w:w="3920" w:type="dxa"/>
            <w:vAlign w:val="bottom"/>
            <w:gridSpan w:val="2"/>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280" w:type="dxa"/>
            <w:vAlign w:val="bottom"/>
            <w:gridSpan w:val="3"/>
          </w:tcPr>
          <w:p>
            <w:pPr>
              <w:spacing w:after="0"/>
              <w:rPr>
                <w:sz w:val="20"/>
                <w:szCs w:val="20"/>
                <w:color w:val="auto"/>
              </w:rPr>
            </w:pPr>
            <w:r>
              <w:rPr>
                <w:rFonts w:ascii="Arial" w:cs="Arial" w:eastAsia="Arial" w:hAnsi="Arial"/>
                <w:sz w:val="14"/>
                <w:szCs w:val="14"/>
                <w:color w:val="auto"/>
              </w:rPr>
              <w:t>Dallas, TX 75251</w:t>
            </w:r>
          </w:p>
        </w:tc>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Common Equity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Hanley-Wood, L.L.C.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8"/>
              </w:rPr>
              <w:t>Other Media</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St 600</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Instant Web, Inc.</w:t>
            </w:r>
          </w:p>
        </w:tc>
        <w:tc>
          <w:tcPr>
            <w:tcW w:w="392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Printing and Publishing</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7951 Powers Boulevard</w:t>
            </w:r>
          </w:p>
        </w:tc>
        <w:tc>
          <w:tcPr>
            <w:tcW w:w="3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Chanhassen, MN 55317</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Interactive Health Solutions, Inc.</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Healthcare, Education and Childcare</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3800 North Wilke Road, Suite 155,</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Heights, IL 60004</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Jacuzzi Brands Corp.</w:t>
            </w:r>
          </w:p>
        </w:tc>
        <w:tc>
          <w:tcPr>
            <w:tcW w:w="392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Home and Office Furnishings, Housewares and Durable Consumer</w:t>
            </w:r>
          </w:p>
        </w:tc>
        <w:tc>
          <w:tcPr>
            <w:tcW w:w="246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777 S. Flagler Drive, Suite 1100</w:t>
            </w:r>
          </w:p>
        </w:tc>
        <w:tc>
          <w:tcPr>
            <w:tcW w:w="3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Products</w:t>
            </w: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West Palm Beach, FL 33401</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K2 Pure Solutions NoCal, L.P.</w:t>
            </w:r>
          </w:p>
        </w:tc>
        <w:tc>
          <w:tcPr>
            <w:tcW w:w="392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6"/>
              </w:rPr>
              <w:t>Chemicals, Plastics and Rubber</w:t>
            </w:r>
          </w:p>
        </w:tc>
        <w:tc>
          <w:tcPr>
            <w:tcW w:w="246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Suite 290</w:t>
            </w:r>
          </w:p>
        </w:tc>
        <w:tc>
          <w:tcPr>
            <w:tcW w:w="3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3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Address of Portfolio Company</w:t>
      </w:r>
    </w:p>
    <w:p>
      <w:pPr>
        <w:spacing w:after="0" w:line="17" w:lineRule="exact"/>
        <w:rPr>
          <w:sz w:val="20"/>
          <w:szCs w:val="20"/>
          <w:color w:val="auto"/>
        </w:rPr>
      </w:pPr>
    </w:p>
    <w:p>
      <w:pPr>
        <w:ind w:left="220" w:right="580" w:hanging="215"/>
        <w:spacing w:after="0" w:line="230" w:lineRule="auto"/>
        <w:rPr>
          <w:sz w:val="20"/>
          <w:szCs w:val="20"/>
          <w:color w:val="auto"/>
        </w:rPr>
      </w:pPr>
      <w:r>
        <w:rPr>
          <w:rFonts w:ascii="Arial" w:cs="Arial" w:eastAsia="Arial" w:hAnsi="Arial"/>
          <w:sz w:val="14"/>
          <w:szCs w:val="14"/>
          <w:color w:val="auto"/>
        </w:rPr>
        <w:t>Kadmon Pharmaceuticals, L.L.C. (f/k/a Three Rivers Pharmaceuticals, L.L.C.)</w:t>
      </w:r>
    </w:p>
    <w:p>
      <w:pPr>
        <w:spacing w:after="0" w:line="222" w:lineRule="auto"/>
        <w:rPr>
          <w:sz w:val="20"/>
          <w:szCs w:val="20"/>
          <w:color w:val="auto"/>
        </w:rPr>
      </w:pPr>
      <w:r>
        <w:rPr>
          <w:rFonts w:ascii="Arial" w:cs="Arial" w:eastAsia="Arial" w:hAnsi="Arial"/>
          <w:sz w:val="14"/>
          <w:szCs w:val="14"/>
          <w:color w:val="auto"/>
        </w:rPr>
        <w:t>Alexandria Center for Life Sciences</w:t>
      </w:r>
    </w:p>
    <w:p>
      <w:pPr>
        <w:spacing w:after="0" w:line="182" w:lineRule="auto"/>
        <w:rPr>
          <w:sz w:val="20"/>
          <w:szCs w:val="20"/>
          <w:color w:val="auto"/>
        </w:rPr>
      </w:pPr>
      <w:r>
        <w:rPr>
          <w:rFonts w:ascii="Arial" w:cs="Arial" w:eastAsia="Arial" w:hAnsi="Arial"/>
          <w:sz w:val="11"/>
          <w:szCs w:val="11"/>
          <w:color w:val="auto"/>
        </w:rPr>
        <w:t>450 East 29</w:t>
      </w:r>
      <w:r>
        <w:rPr>
          <w:rFonts w:ascii="Arial" w:cs="Arial" w:eastAsia="Arial" w:hAnsi="Arial"/>
          <w:sz w:val="17"/>
          <w:szCs w:val="17"/>
          <w:color w:val="auto"/>
          <w:vertAlign w:val="superscript"/>
        </w:rPr>
        <w:t>th</w:t>
      </w:r>
      <w:r>
        <w:rPr>
          <w:rFonts w:ascii="Arial" w:cs="Arial" w:eastAsia="Arial" w:hAnsi="Arial"/>
          <w:sz w:val="11"/>
          <w:szCs w:val="11"/>
          <w:color w:val="auto"/>
        </w:rPr>
        <w:t xml:space="preserve"> Street, 5</w:t>
      </w:r>
      <w:r>
        <w:rPr>
          <w:rFonts w:ascii="Arial" w:cs="Arial" w:eastAsia="Arial" w:hAnsi="Arial"/>
          <w:sz w:val="17"/>
          <w:szCs w:val="17"/>
          <w:color w:val="auto"/>
          <w:vertAlign w:val="superscript"/>
        </w:rPr>
        <w:t>th</w:t>
      </w:r>
      <w:r>
        <w:rPr>
          <w:rFonts w:ascii="Arial" w:cs="Arial" w:eastAsia="Arial" w:hAnsi="Arial"/>
          <w:sz w:val="11"/>
          <w:szCs w:val="11"/>
          <w:color w:val="auto"/>
        </w:rPr>
        <w:t xml:space="preserve"> Floor</w:t>
      </w:r>
    </w:p>
    <w:p>
      <w:pPr>
        <w:spacing w:after="0"/>
        <w:rPr>
          <w:sz w:val="20"/>
          <w:szCs w:val="20"/>
          <w:color w:val="auto"/>
        </w:rPr>
      </w:pPr>
      <w:r>
        <w:rPr>
          <w:rFonts w:ascii="Arial" w:cs="Arial" w:eastAsia="Arial" w:hAnsi="Arial"/>
          <w:sz w:val="14"/>
          <w:szCs w:val="14"/>
          <w:color w:val="auto"/>
        </w:rPr>
        <w:t>New York, NY 10016</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r>
      <w:tr>
        <w:trPr>
          <w:trHeight w:val="134"/>
        </w:trPr>
        <w:tc>
          <w:tcPr>
            <w:tcW w:w="3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r>
      <w:tr>
        <w:trPr>
          <w:trHeight w:val="176"/>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Nature of Business</w:t>
            </w:r>
          </w:p>
        </w:tc>
        <w:tc>
          <w:tcPr>
            <w:tcW w:w="42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Type of Investment</w:t>
            </w:r>
          </w:p>
        </w:tc>
        <w:tc>
          <w:tcPr>
            <w:tcW w:w="420" w:type="dxa"/>
            <w:vAlign w:val="bottom"/>
          </w:tcPr>
          <w:p>
            <w:pPr>
              <w:spacing w:after="0"/>
              <w:rPr>
                <w:sz w:val="15"/>
                <w:szCs w:val="15"/>
                <w:color w:val="auto"/>
              </w:rPr>
            </w:pPr>
          </w:p>
        </w:tc>
        <w:tc>
          <w:tcPr>
            <w:tcW w:w="7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r>
      <w:tr>
        <w:trPr>
          <w:trHeight w:val="334"/>
        </w:trPr>
        <w:tc>
          <w:tcPr>
            <w:tcW w:w="4040" w:type="dxa"/>
            <w:vAlign w:val="bottom"/>
            <w:gridSpan w:val="2"/>
          </w:tcPr>
          <w:p>
            <w:pPr>
              <w:jc w:val="center"/>
              <w:ind w:right="420"/>
              <w:spacing w:after="0"/>
              <w:rPr>
                <w:sz w:val="20"/>
                <w:szCs w:val="20"/>
                <w:color w:val="auto"/>
              </w:rPr>
            </w:pPr>
            <w:r>
              <w:rPr>
                <w:rFonts w:ascii="Arial" w:cs="Arial" w:eastAsia="Arial" w:hAnsi="Arial"/>
                <w:sz w:val="14"/>
                <w:szCs w:val="14"/>
                <w:color w:val="auto"/>
                <w:w w:val="86"/>
              </w:rPr>
              <w:t>Healthcare, Education and Childcare</w:t>
            </w:r>
          </w:p>
        </w:tc>
        <w:tc>
          <w:tcPr>
            <w:tcW w:w="244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center"/>
              <w:spacing w:after="0"/>
              <w:rPr>
                <w:sz w:val="20"/>
                <w:szCs w:val="20"/>
                <w:color w:val="auto"/>
              </w:rPr>
            </w:pPr>
            <w:r>
              <w:rPr>
                <w:rFonts w:ascii="Arial" w:cs="Arial" w:eastAsia="Arial" w:hAnsi="Arial"/>
                <w:sz w:val="14"/>
                <w:szCs w:val="14"/>
                <w:color w:val="auto"/>
                <w:w w:val="87"/>
              </w:rPr>
              <w:t>2.5%</w:t>
            </w:r>
          </w:p>
        </w:tc>
      </w:tr>
      <w:tr>
        <w:trPr>
          <w:trHeight w:val="172"/>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4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-333375</wp:posOffset>
            </wp:positionV>
            <wp:extent cx="7246620" cy="4889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48895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3460" w:space="720"/>
            <w:col w:w="7240"/>
          </w:cols>
          <w:pgMar w:left="240" w:top="460"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Arial" w:cs="Arial" w:eastAsia="Arial" w:hAnsi="Arial"/>
                <w:sz w:val="14"/>
                <w:szCs w:val="14"/>
                <w:color w:val="auto"/>
              </w:rPr>
              <w:t>Last Mile Funding, Corp. (3PD, Inc.)</w:t>
            </w:r>
          </w:p>
        </w:tc>
        <w:tc>
          <w:tcPr>
            <w:tcW w:w="3800" w:type="dxa"/>
            <w:vAlign w:val="bottom"/>
          </w:tcPr>
          <w:p>
            <w:pPr>
              <w:jc w:val="center"/>
              <w:ind w:left="12"/>
              <w:spacing w:after="0"/>
              <w:rPr>
                <w:sz w:val="20"/>
                <w:szCs w:val="20"/>
                <w:color w:val="auto"/>
              </w:rPr>
            </w:pPr>
            <w:r>
              <w:rPr>
                <w:rFonts w:ascii="Arial" w:cs="Arial" w:eastAsia="Arial" w:hAnsi="Arial"/>
                <w:sz w:val="14"/>
                <w:szCs w:val="14"/>
                <w:color w:val="auto"/>
                <w:w w:val="86"/>
              </w:rPr>
              <w:t>Cargo Transport</w:t>
            </w: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68 South Service Road, Suite 120</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Melville, NY 11747</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Learning Care Group (US), Inc.</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Education</w:t>
            </w:r>
          </w:p>
        </w:tc>
        <w:tc>
          <w:tcPr>
            <w:tcW w:w="256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88"/>
              </w:rPr>
              <w:t>First Lien Secured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21333 Haggerty Road, Suite 300</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Novi, MI 48375</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jc w:val="center"/>
              <w:ind w:left="92"/>
              <w:spacing w:after="0"/>
              <w:rPr>
                <w:sz w:val="20"/>
                <w:szCs w:val="20"/>
                <w:color w:val="auto"/>
              </w:rPr>
            </w:pPr>
            <w:r>
              <w:rPr>
                <w:rFonts w:ascii="Arial" w:cs="Arial" w:eastAsia="Arial" w:hAnsi="Arial"/>
                <w:sz w:val="14"/>
                <w:szCs w:val="14"/>
                <w:color w:val="auto"/>
                <w:w w:val="84"/>
              </w:rPr>
              <w:t>Warrants</w:t>
            </w: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LTI Flexible Products, Inc.</w:t>
            </w:r>
          </w:p>
        </w:tc>
        <w:tc>
          <w:tcPr>
            <w:tcW w:w="3800" w:type="dxa"/>
            <w:vAlign w:val="bottom"/>
          </w:tcPr>
          <w:p>
            <w:pPr>
              <w:jc w:val="center"/>
              <w:spacing w:after="0"/>
              <w:rPr>
                <w:sz w:val="20"/>
                <w:szCs w:val="20"/>
                <w:color w:val="auto"/>
              </w:rPr>
            </w:pPr>
            <w:r>
              <w:rPr>
                <w:rFonts w:ascii="Arial" w:cs="Arial" w:eastAsia="Arial" w:hAnsi="Arial"/>
                <w:sz w:val="14"/>
                <w:szCs w:val="14"/>
                <w:color w:val="auto"/>
                <w:w w:val="87"/>
              </w:rPr>
              <w:t>Chemical, Plastic and Rubber</w:t>
            </w: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600 S. McClure Road,</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Stanislaus County, CA 95357</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MailSouth, Inc.</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Printing and Publishing</w:t>
            </w:r>
          </w:p>
        </w:tc>
        <w:tc>
          <w:tcPr>
            <w:tcW w:w="256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MedQuist, Inc.</w:t>
            </w:r>
          </w:p>
        </w:tc>
        <w:tc>
          <w:tcPr>
            <w:tcW w:w="3800" w:type="dxa"/>
            <w:vAlign w:val="bottom"/>
          </w:tcPr>
          <w:p>
            <w:pPr>
              <w:jc w:val="center"/>
              <w:spacing w:after="0"/>
              <w:rPr>
                <w:sz w:val="20"/>
                <w:szCs w:val="20"/>
                <w:color w:val="auto"/>
              </w:rPr>
            </w:pPr>
            <w:r>
              <w:rPr>
                <w:rFonts w:ascii="Arial" w:cs="Arial" w:eastAsia="Arial" w:hAnsi="Arial"/>
                <w:sz w:val="14"/>
                <w:szCs w:val="14"/>
                <w:color w:val="auto"/>
                <w:w w:val="85"/>
              </w:rPr>
              <w:t>Business Services</w:t>
            </w: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1000 Bishops Gate Blvd., Suite 300</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Mt. Laurel, NJ 08054</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Arial" w:cs="Arial" w:eastAsia="Arial" w:hAnsi="Arial"/>
                <w:sz w:val="14"/>
                <w:szCs w:val="14"/>
                <w:color w:val="auto"/>
              </w:rPr>
              <w:t>PAS Technologies, Inc. (PAS Tech Holdings, Inc.)</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1234 Atlantic Street</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83"/>
              </w:rPr>
              <w:t>Aerospace and Defense</w:t>
            </w: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87"/>
              </w:rPr>
              <w:t>Subordinated Debt</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54"/>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North Kansas City, MO 64116</w:t>
            </w:r>
          </w:p>
        </w:tc>
        <w:tc>
          <w:tcPr>
            <w:tcW w:w="380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60" w:type="dxa"/>
            <w:vAlign w:val="bottom"/>
            <w:gridSpan w:val="2"/>
            <w:vMerge w:val="continue"/>
          </w:tcPr>
          <w:p>
            <w:pPr>
              <w:spacing w:after="0"/>
              <w:rPr>
                <w:sz w:val="10"/>
                <w:szCs w:val="10"/>
                <w:color w:val="auto"/>
              </w:rPr>
            </w:pPr>
          </w:p>
        </w:tc>
        <w:tc>
          <w:tcPr>
            <w:tcW w:w="3800" w:type="dxa"/>
            <w:vAlign w:val="bottom"/>
          </w:tcPr>
          <w:p>
            <w:pPr>
              <w:spacing w:after="0"/>
              <w:rPr>
                <w:sz w:val="10"/>
                <w:szCs w:val="10"/>
                <w:color w:val="auto"/>
              </w:rPr>
            </w:pPr>
          </w:p>
        </w:tc>
        <w:tc>
          <w:tcPr>
            <w:tcW w:w="2560" w:type="dxa"/>
            <w:vAlign w:val="bottom"/>
            <w:vMerge w:val="restart"/>
          </w:tcPr>
          <w:p>
            <w:pPr>
              <w:jc w:val="center"/>
              <w:ind w:left="112"/>
              <w:spacing w:after="0" w:line="149" w:lineRule="exact"/>
              <w:rPr>
                <w:sz w:val="20"/>
                <w:szCs w:val="20"/>
                <w:color w:val="auto"/>
              </w:rPr>
            </w:pPr>
            <w:r>
              <w:rPr>
                <w:rFonts w:ascii="Arial" w:cs="Arial" w:eastAsia="Arial" w:hAnsi="Arial"/>
                <w:sz w:val="14"/>
                <w:szCs w:val="14"/>
                <w:color w:val="auto"/>
                <w:w w:val="88"/>
              </w:rPr>
              <w:t>Preferred Equity</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5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90"/>
              </w:rPr>
              <w:t>Common Equity</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04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Penton Media, Inc.</w:t>
            </w:r>
          </w:p>
        </w:tc>
        <w:tc>
          <w:tcPr>
            <w:tcW w:w="3800" w:type="dxa"/>
            <w:vAlign w:val="bottom"/>
            <w:shd w:val="clear" w:color="auto" w:fill="CCEEFF"/>
          </w:tcPr>
          <w:p>
            <w:pPr>
              <w:jc w:val="center"/>
              <w:spacing w:after="0" w:line="122" w:lineRule="exact"/>
              <w:rPr>
                <w:sz w:val="20"/>
                <w:szCs w:val="20"/>
                <w:color w:val="auto"/>
              </w:rPr>
            </w:pPr>
            <w:r>
              <w:rPr>
                <w:rFonts w:ascii="Arial" w:cs="Arial" w:eastAsia="Arial" w:hAnsi="Arial"/>
                <w:sz w:val="14"/>
                <w:szCs w:val="14"/>
                <w:color w:val="auto"/>
                <w:w w:val="90"/>
              </w:rPr>
              <w:t>Other Media</w:t>
            </w:r>
          </w:p>
        </w:tc>
        <w:tc>
          <w:tcPr>
            <w:tcW w:w="2560" w:type="dxa"/>
            <w:vAlign w:val="bottom"/>
            <w:shd w:val="clear" w:color="auto" w:fill="CCEEFF"/>
          </w:tcPr>
          <w:p>
            <w:pPr>
              <w:jc w:val="center"/>
              <w:ind w:left="112"/>
              <w:spacing w:after="0" w:line="122" w:lineRule="exact"/>
              <w:rPr>
                <w:sz w:val="20"/>
                <w:szCs w:val="20"/>
                <w:color w:val="auto"/>
              </w:rPr>
            </w:pPr>
            <w:r>
              <w:rPr>
                <w:rFonts w:ascii="Arial" w:cs="Arial" w:eastAsia="Arial" w:hAnsi="Arial"/>
                <w:sz w:val="14"/>
                <w:szCs w:val="14"/>
                <w:color w:val="auto"/>
                <w:w w:val="88"/>
              </w:rPr>
              <w:t>First Lien Secured Debt</w:t>
            </w:r>
          </w:p>
        </w:tc>
        <w:tc>
          <w:tcPr>
            <w:tcW w:w="1000" w:type="dxa"/>
            <w:vAlign w:val="bottom"/>
            <w:shd w:val="clear" w:color="auto" w:fill="CCEEFF"/>
          </w:tcPr>
          <w:p>
            <w:pPr>
              <w:jc w:val="right"/>
              <w:ind w:right="292"/>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40" w:type="dxa"/>
            <w:vAlign w:val="bottom"/>
            <w:shd w:val="clear" w:color="auto" w:fill="CCEEFF"/>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80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10011</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Pre-Paid Legal Services, Inc. (MidOcean PPL Holdings, Inc.)</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One Pre-Paid Way</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85"/>
              </w:rPr>
              <w:t>Personal, Food and Miscellaneous Services</w:t>
            </w: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88"/>
              </w:rPr>
              <w:t>First Lien Secured Debt</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54"/>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Ada, OK 74820</w:t>
            </w:r>
          </w:p>
        </w:tc>
        <w:tc>
          <w:tcPr>
            <w:tcW w:w="380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60" w:type="dxa"/>
            <w:vAlign w:val="bottom"/>
            <w:gridSpan w:val="2"/>
            <w:vMerge w:val="continue"/>
          </w:tcPr>
          <w:p>
            <w:pPr>
              <w:spacing w:after="0"/>
              <w:rPr>
                <w:sz w:val="10"/>
                <w:szCs w:val="10"/>
                <w:color w:val="auto"/>
              </w:rPr>
            </w:pPr>
          </w:p>
        </w:tc>
        <w:tc>
          <w:tcPr>
            <w:tcW w:w="3800" w:type="dxa"/>
            <w:vAlign w:val="bottom"/>
          </w:tcPr>
          <w:p>
            <w:pPr>
              <w:spacing w:after="0"/>
              <w:rPr>
                <w:sz w:val="10"/>
                <w:szCs w:val="10"/>
                <w:color w:val="auto"/>
              </w:rPr>
            </w:pP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90"/>
              </w:rPr>
              <w:t>Common Equity</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3800" w:type="dxa"/>
            <w:vAlign w:val="bottom"/>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Prince Mineral Holdings Corp.</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Mining, Steel, Iron and Non-Precious Metals</w:t>
            </w:r>
          </w:p>
        </w:tc>
        <w:tc>
          <w:tcPr>
            <w:tcW w:w="2560" w:type="dxa"/>
            <w:vAlign w:val="bottom"/>
            <w:shd w:val="clear" w:color="auto" w:fill="CCEEFF"/>
          </w:tcPr>
          <w:p>
            <w:pPr>
              <w:jc w:val="center"/>
              <w:ind w:left="112"/>
              <w:spacing w:after="0" w:line="138"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14 East 44th Street</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New York, NY 10020</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Questex Media Group LLC (QMG HoldCo, LLC)</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3800" w:type="dxa"/>
            <w:vAlign w:val="bottom"/>
            <w:vMerge w:val="restart"/>
          </w:tcPr>
          <w:p>
            <w:pPr>
              <w:jc w:val="center"/>
              <w:spacing w:after="0"/>
              <w:rPr>
                <w:sz w:val="20"/>
                <w:szCs w:val="20"/>
                <w:color w:val="auto"/>
              </w:rPr>
            </w:pPr>
            <w:r>
              <w:rPr>
                <w:rFonts w:ascii="Arial" w:cs="Arial" w:eastAsia="Arial" w:hAnsi="Arial"/>
                <w:sz w:val="14"/>
                <w:szCs w:val="14"/>
                <w:color w:val="auto"/>
                <w:w w:val="90"/>
              </w:rPr>
              <w:t>Other Media</w:t>
            </w:r>
          </w:p>
        </w:tc>
        <w:tc>
          <w:tcPr>
            <w:tcW w:w="2560" w:type="dxa"/>
            <w:vAlign w:val="bottom"/>
            <w:vMerge w:val="restart"/>
          </w:tcPr>
          <w:p>
            <w:pPr>
              <w:jc w:val="center"/>
              <w:ind w:left="112"/>
              <w:spacing w:after="0"/>
              <w:rPr>
                <w:sz w:val="20"/>
                <w:szCs w:val="20"/>
                <w:color w:val="auto"/>
              </w:rPr>
            </w:pPr>
            <w:r>
              <w:rPr>
                <w:rFonts w:ascii="Arial" w:cs="Arial" w:eastAsia="Arial" w:hAnsi="Arial"/>
                <w:sz w:val="14"/>
                <w:szCs w:val="14"/>
                <w:color w:val="auto"/>
                <w:w w:val="88"/>
              </w:rPr>
              <w:t>First Lien Secured Debt</w:t>
            </w:r>
          </w:p>
        </w:tc>
        <w:tc>
          <w:tcPr>
            <w:tcW w:w="1000" w:type="dxa"/>
            <w:vAlign w:val="bottom"/>
            <w:vMerge w:val="restart"/>
          </w:tcPr>
          <w:p>
            <w:pPr>
              <w:jc w:val="right"/>
              <w:ind w:right="172"/>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54"/>
        </w:trPr>
        <w:tc>
          <w:tcPr>
            <w:tcW w:w="4060" w:type="dxa"/>
            <w:vAlign w:val="bottom"/>
            <w:gridSpan w:val="2"/>
            <w:vMerge w:val="restart"/>
          </w:tcPr>
          <w:p>
            <w:pPr>
              <w:spacing w:after="0"/>
              <w:rPr>
                <w:sz w:val="20"/>
                <w:szCs w:val="20"/>
                <w:color w:val="auto"/>
              </w:rPr>
            </w:pPr>
            <w:r>
              <w:rPr>
                <w:rFonts w:ascii="Arial" w:cs="Arial" w:eastAsia="Arial" w:hAnsi="Arial"/>
                <w:sz w:val="14"/>
                <w:szCs w:val="14"/>
                <w:color w:val="auto"/>
              </w:rPr>
              <w:t>Newton, MA 02466</w:t>
            </w:r>
          </w:p>
        </w:tc>
        <w:tc>
          <w:tcPr>
            <w:tcW w:w="3800" w:type="dxa"/>
            <w:vAlign w:val="bottom"/>
            <w:vMerge w:val="continue"/>
          </w:tcPr>
          <w:p>
            <w:pPr>
              <w:spacing w:after="0"/>
              <w:rPr>
                <w:sz w:val="4"/>
                <w:szCs w:val="4"/>
                <w:color w:val="auto"/>
              </w:rPr>
            </w:pPr>
          </w:p>
        </w:tc>
        <w:tc>
          <w:tcPr>
            <w:tcW w:w="25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060" w:type="dxa"/>
            <w:vAlign w:val="bottom"/>
            <w:gridSpan w:val="2"/>
            <w:vMerge w:val="continue"/>
          </w:tcPr>
          <w:p>
            <w:pPr>
              <w:spacing w:after="0"/>
              <w:rPr>
                <w:sz w:val="10"/>
                <w:szCs w:val="10"/>
                <w:color w:val="auto"/>
              </w:rPr>
            </w:pPr>
          </w:p>
        </w:tc>
        <w:tc>
          <w:tcPr>
            <w:tcW w:w="3800" w:type="dxa"/>
            <w:vAlign w:val="bottom"/>
          </w:tcPr>
          <w:p>
            <w:pPr>
              <w:spacing w:after="0"/>
              <w:rPr>
                <w:sz w:val="10"/>
                <w:szCs w:val="10"/>
                <w:color w:val="auto"/>
              </w:rPr>
            </w:pPr>
          </w:p>
        </w:tc>
        <w:tc>
          <w:tcPr>
            <w:tcW w:w="2560" w:type="dxa"/>
            <w:vAlign w:val="bottom"/>
            <w:vMerge w:val="restart"/>
          </w:tcPr>
          <w:p>
            <w:pPr>
              <w:jc w:val="center"/>
              <w:ind w:left="92"/>
              <w:spacing w:after="0" w:line="149"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5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560" w:type="dxa"/>
            <w:vAlign w:val="bottom"/>
          </w:tcPr>
          <w:p>
            <w:pPr>
              <w:jc w:val="center"/>
              <w:ind w:left="112"/>
              <w:spacing w:after="0"/>
              <w:rPr>
                <w:sz w:val="20"/>
                <w:szCs w:val="20"/>
                <w:color w:val="auto"/>
              </w:rPr>
            </w:pPr>
            <w:r>
              <w:rPr>
                <w:rFonts w:ascii="Arial" w:cs="Arial" w:eastAsia="Arial" w:hAnsi="Arial"/>
                <w:sz w:val="14"/>
                <w:szCs w:val="14"/>
                <w:color w:val="auto"/>
                <w:w w:val="90"/>
              </w:rPr>
              <w:t>Common Equity</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Arial" w:cs="Arial" w:eastAsia="Arial" w:hAnsi="Arial"/>
                <w:sz w:val="14"/>
                <w:szCs w:val="14"/>
                <w:color w:val="auto"/>
              </w:rPr>
              <w:t>RAM Energy Resources, Inc.</w:t>
            </w:r>
          </w:p>
        </w:tc>
        <w:tc>
          <w:tcPr>
            <w:tcW w:w="3800" w:type="dxa"/>
            <w:vAlign w:val="bottom"/>
          </w:tcPr>
          <w:p>
            <w:pPr>
              <w:jc w:val="center"/>
              <w:spacing w:after="0"/>
              <w:rPr>
                <w:sz w:val="20"/>
                <w:szCs w:val="20"/>
                <w:color w:val="auto"/>
              </w:rPr>
            </w:pPr>
            <w:r>
              <w:rPr>
                <w:rFonts w:ascii="Arial" w:cs="Arial" w:eastAsia="Arial" w:hAnsi="Arial"/>
                <w:sz w:val="14"/>
                <w:szCs w:val="14"/>
                <w:color w:val="auto"/>
                <w:w w:val="89"/>
              </w:rPr>
              <w:t>Oil and Gas</w:t>
            </w:r>
          </w:p>
        </w:tc>
        <w:tc>
          <w:tcPr>
            <w:tcW w:w="2560" w:type="dxa"/>
            <w:vAlign w:val="bottom"/>
          </w:tcPr>
          <w:p>
            <w:pPr>
              <w:jc w:val="center"/>
              <w:ind w:left="92"/>
              <w:spacing w:after="0"/>
              <w:rPr>
                <w:sz w:val="20"/>
                <w:szCs w:val="20"/>
                <w:color w:val="auto"/>
              </w:rPr>
            </w:pPr>
            <w:r>
              <w:rPr>
                <w:rFonts w:ascii="Arial" w:cs="Arial" w:eastAsia="Arial" w:hAnsi="Arial"/>
                <w:sz w:val="14"/>
                <w:szCs w:val="14"/>
                <w:color w:val="auto"/>
                <w:w w:val="86"/>
              </w:rPr>
              <w:t>Second Lien Secured Debt</w:t>
            </w: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5100 East Skelly Drive, Suite 650</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Tulsa, OK 74135</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Realogy Corp.</w:t>
            </w:r>
          </w:p>
        </w:tc>
        <w:tc>
          <w:tcPr>
            <w:tcW w:w="3800" w:type="dxa"/>
            <w:vAlign w:val="bottom"/>
            <w:shd w:val="clear" w:color="auto" w:fill="CCEEFF"/>
          </w:tcPr>
          <w:p>
            <w:pPr>
              <w:jc w:val="center"/>
              <w:ind w:left="12"/>
              <w:spacing w:after="0" w:line="138" w:lineRule="exact"/>
              <w:rPr>
                <w:sz w:val="20"/>
                <w:szCs w:val="20"/>
                <w:color w:val="auto"/>
              </w:rPr>
            </w:pPr>
            <w:r>
              <w:rPr>
                <w:rFonts w:ascii="Arial" w:cs="Arial" w:eastAsia="Arial" w:hAnsi="Arial"/>
                <w:sz w:val="14"/>
                <w:szCs w:val="14"/>
                <w:color w:val="auto"/>
                <w:w w:val="87"/>
              </w:rPr>
              <w:t>Buildings and Real Estate</w:t>
            </w:r>
          </w:p>
        </w:tc>
        <w:tc>
          <w:tcPr>
            <w:tcW w:w="2560" w:type="dxa"/>
            <w:vAlign w:val="bottom"/>
            <w:shd w:val="clear" w:color="auto" w:fill="CCEEFF"/>
          </w:tcPr>
          <w:p>
            <w:pPr>
              <w:jc w:val="center"/>
              <w:ind w:left="92"/>
              <w:spacing w:after="0" w:line="138"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Campus Drive</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jc w:val="center"/>
              <w:ind w:left="112"/>
              <w:spacing w:after="0" w:line="149" w:lineRule="exact"/>
              <w:rPr>
                <w:sz w:val="20"/>
                <w:szCs w:val="20"/>
                <w:color w:val="auto"/>
              </w:rPr>
            </w:pPr>
            <w:r>
              <w:rPr>
                <w:rFonts w:ascii="Arial" w:cs="Arial" w:eastAsia="Arial" w:hAnsi="Arial"/>
                <w:sz w:val="14"/>
                <w:szCs w:val="14"/>
                <w:color w:val="auto"/>
                <w:w w:val="87"/>
              </w:rPr>
              <w:t>Subordinated Debt</w:t>
            </w: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Parsippany, NJ 07054</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060" w:type="dxa"/>
            <w:vAlign w:val="bottom"/>
            <w:gridSpan w:val="2"/>
          </w:tcPr>
          <w:p>
            <w:pPr>
              <w:spacing w:after="0"/>
              <w:rPr>
                <w:sz w:val="20"/>
                <w:szCs w:val="20"/>
                <w:color w:val="auto"/>
              </w:rPr>
            </w:pPr>
            <w:r>
              <w:rPr>
                <w:rFonts w:ascii="Arial" w:cs="Arial" w:eastAsia="Arial" w:hAnsi="Arial"/>
                <w:sz w:val="14"/>
                <w:szCs w:val="14"/>
                <w:color w:val="auto"/>
              </w:rPr>
              <w:t>ROC Finance LLC and ROC Finance 1</w:t>
            </w:r>
          </w:p>
        </w:tc>
        <w:tc>
          <w:tcPr>
            <w:tcW w:w="38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ind w:left="120"/>
              <w:spacing w:after="0" w:line="149" w:lineRule="exact"/>
              <w:rPr>
                <w:sz w:val="20"/>
                <w:szCs w:val="20"/>
                <w:color w:val="auto"/>
              </w:rPr>
            </w:pPr>
            <w:r>
              <w:rPr>
                <w:rFonts w:ascii="Arial" w:cs="Arial" w:eastAsia="Arial" w:hAnsi="Arial"/>
                <w:sz w:val="14"/>
                <w:szCs w:val="14"/>
                <w:color w:val="auto"/>
              </w:rPr>
              <w:t>Corp.</w:t>
            </w:r>
          </w:p>
        </w:tc>
        <w:tc>
          <w:tcPr>
            <w:tcW w:w="380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2560" w:type="dxa"/>
            <w:vAlign w:val="bottom"/>
          </w:tcPr>
          <w:p>
            <w:pPr>
              <w:jc w:val="center"/>
              <w:ind w:left="92"/>
              <w:spacing w:after="0" w:line="149"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One Campus Maritus, 1086 Woodward Avenue,</w:t>
            </w:r>
          </w:p>
        </w:tc>
        <w:tc>
          <w:tcPr>
            <w:tcW w:w="3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60" w:type="dxa"/>
            <w:vAlign w:val="bottom"/>
            <w:gridSpan w:val="2"/>
          </w:tcPr>
          <w:p>
            <w:pPr>
              <w:spacing w:after="0"/>
              <w:rPr>
                <w:sz w:val="20"/>
                <w:szCs w:val="20"/>
                <w:color w:val="auto"/>
              </w:rPr>
            </w:pPr>
            <w:r>
              <w:rPr>
                <w:rFonts w:ascii="Arial" w:cs="Arial" w:eastAsia="Arial" w:hAnsi="Arial"/>
                <w:sz w:val="14"/>
                <w:szCs w:val="14"/>
                <w:color w:val="auto"/>
              </w:rPr>
              <w:t>Detroit, MI 48226</w:t>
            </w:r>
          </w:p>
        </w:tc>
        <w:tc>
          <w:tcPr>
            <w:tcW w:w="3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40" w:type="dxa"/>
            <w:vAlign w:val="bottom"/>
          </w:tcPr>
          <w:p>
            <w:pPr>
              <w:spacing w:after="0"/>
              <w:rPr>
                <w:sz w:val="5"/>
                <w:szCs w:val="5"/>
                <w:color w:val="auto"/>
              </w:rPr>
            </w:pPr>
          </w:p>
        </w:tc>
        <w:tc>
          <w:tcPr>
            <w:tcW w:w="3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Sheridan Holdings, Inc.</w:t>
            </w:r>
          </w:p>
        </w:tc>
        <w:tc>
          <w:tcPr>
            <w:tcW w:w="3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 Childcare</w:t>
            </w:r>
          </w:p>
        </w:tc>
        <w:tc>
          <w:tcPr>
            <w:tcW w:w="2560" w:type="dxa"/>
            <w:vAlign w:val="bottom"/>
            <w:shd w:val="clear" w:color="auto" w:fill="CCEEFF"/>
          </w:tcPr>
          <w:p>
            <w:pPr>
              <w:jc w:val="center"/>
              <w:ind w:left="92"/>
              <w:spacing w:after="0" w:line="138" w:lineRule="exact"/>
              <w:rPr>
                <w:sz w:val="20"/>
                <w:szCs w:val="20"/>
                <w:color w:val="auto"/>
              </w:rPr>
            </w:pPr>
            <w:r>
              <w:rPr>
                <w:rFonts w:ascii="Arial" w:cs="Arial" w:eastAsia="Arial" w:hAnsi="Arial"/>
                <w:sz w:val="14"/>
                <w:szCs w:val="14"/>
                <w:color w:val="auto"/>
                <w:w w:val="86"/>
              </w:rPr>
              <w:t>Second Lien Secured Debt</w:t>
            </w:r>
          </w:p>
        </w:tc>
        <w:tc>
          <w:tcPr>
            <w:tcW w:w="1000" w:type="dxa"/>
            <w:vAlign w:val="bottom"/>
            <w:shd w:val="clear" w:color="auto" w:fill="CCEEFF"/>
          </w:tcPr>
          <w:p>
            <w:pPr>
              <w:jc w:val="right"/>
              <w:ind w:right="292"/>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1613 N. Harrison Parkway, Suite 200</w:t>
            </w:r>
          </w:p>
        </w:tc>
        <w:tc>
          <w:tcPr>
            <w:tcW w:w="380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4"/>
                <w:szCs w:val="14"/>
                <w:color w:val="auto"/>
              </w:rPr>
              <w:t>Sunrise, FL 33323</w:t>
            </w:r>
          </w:p>
        </w:tc>
        <w:tc>
          <w:tcPr>
            <w:tcW w:w="380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60" w:right="23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76"/>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Nature of Business</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Type of Investment</w:t>
            </w:r>
          </w:p>
        </w:tc>
        <w:tc>
          <w:tcPr>
            <w:tcW w:w="76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0"/>
              </w:rPr>
              <w:t>Ownership</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2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2"/>
                <w:szCs w:val="12"/>
                <w:color w:val="auto"/>
              </w:rPr>
              <w:t>TRAK Acquisition Corp.</w:t>
            </w:r>
          </w:p>
        </w:tc>
        <w:tc>
          <w:tcPr>
            <w:tcW w:w="300" w:type="dxa"/>
            <w:vAlign w:val="bottom"/>
            <w:tcBorders>
              <w:top w:val="single" w:sz="8" w:color="CCEEFF"/>
            </w:tcBorders>
            <w:shd w:val="clear" w:color="auto" w:fill="CCEEFF"/>
          </w:tcPr>
          <w:p>
            <w:pPr>
              <w:spacing w:after="0"/>
              <w:rPr>
                <w:sz w:val="10"/>
                <w:szCs w:val="10"/>
                <w:color w:val="auto"/>
              </w:rPr>
            </w:pPr>
          </w:p>
        </w:tc>
        <w:tc>
          <w:tcPr>
            <w:tcW w:w="36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w w:val="97"/>
              </w:rPr>
              <w:t>Business Services</w:t>
            </w:r>
          </w:p>
        </w:tc>
        <w:tc>
          <w:tcPr>
            <w:tcW w:w="300" w:type="dxa"/>
            <w:vAlign w:val="bottom"/>
            <w:tcBorders>
              <w:top w:val="single" w:sz="8" w:color="CCEEFF"/>
            </w:tcBorders>
            <w:shd w:val="clear" w:color="auto" w:fill="CCEEFF"/>
          </w:tcPr>
          <w:p>
            <w:pPr>
              <w:spacing w:after="0"/>
              <w:rPr>
                <w:sz w:val="10"/>
                <w:szCs w:val="10"/>
                <w:color w:val="auto"/>
              </w:rPr>
            </w:pPr>
          </w:p>
        </w:tc>
        <w:tc>
          <w:tcPr>
            <w:tcW w:w="210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2"/>
                <w:szCs w:val="12"/>
                <w:color w:val="auto"/>
              </w:rPr>
              <w:t>Subordinated Debt</w:t>
            </w:r>
          </w:p>
        </w:tc>
        <w:tc>
          <w:tcPr>
            <w:tcW w:w="3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ind w:right="296"/>
              <w:spacing w:after="0" w:line="11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1001 Brickell Bay Drive, 27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color w:val="auto"/>
                <w:w w:val="84"/>
              </w:rPr>
              <w:t>Warrants</w:t>
            </w: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Miami, FL 33131</w:t>
            </w: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340" w:type="dxa"/>
            <w:vAlign w:val="bottom"/>
            <w:gridSpan w:val="3"/>
          </w:tcPr>
          <w:p>
            <w:pPr>
              <w:spacing w:after="0"/>
              <w:rPr>
                <w:sz w:val="20"/>
                <w:szCs w:val="20"/>
                <w:color w:val="auto"/>
              </w:rPr>
            </w:pPr>
            <w:r>
              <w:rPr>
                <w:rFonts w:ascii="Arial" w:cs="Arial" w:eastAsia="Arial" w:hAnsi="Arial"/>
                <w:sz w:val="14"/>
                <w:szCs w:val="14"/>
                <w:color w:val="auto"/>
              </w:rPr>
              <w:t>TransFirst Holdings,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Financial Services</w:t>
            </w: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jc w:val="right"/>
              <w:ind w:right="29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5950 Berkshire Lane, Suite 1100</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auto"/>
              </w:rPr>
              <w:t>Dallas, TX 75225</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(Trizetto Group, Inc.)</w:t>
            </w:r>
          </w:p>
        </w:tc>
        <w:tc>
          <w:tcPr>
            <w:tcW w:w="3900" w:type="dxa"/>
            <w:vAlign w:val="bottom"/>
            <w:gridSpan w:val="2"/>
            <w:shd w:val="clear" w:color="auto" w:fill="CCEEFF"/>
          </w:tcPr>
          <w:p>
            <w:pPr>
              <w:jc w:val="center"/>
              <w:ind w:right="300"/>
              <w:spacing w:after="0" w:line="138" w:lineRule="exact"/>
              <w:rPr>
                <w:sz w:val="20"/>
                <w:szCs w:val="20"/>
                <w:color w:val="auto"/>
              </w:rPr>
            </w:pPr>
            <w:r>
              <w:rPr>
                <w:rFonts w:ascii="Arial" w:cs="Arial" w:eastAsia="Arial" w:hAnsi="Arial"/>
                <w:sz w:val="14"/>
                <w:szCs w:val="14"/>
                <w:color w:val="auto"/>
                <w:w w:val="84"/>
              </w:rPr>
              <w:t>Insurance</w:t>
            </w:r>
          </w:p>
        </w:tc>
        <w:tc>
          <w:tcPr>
            <w:tcW w:w="2420" w:type="dxa"/>
            <w:vAlign w:val="bottom"/>
            <w:gridSpan w:val="2"/>
            <w:shd w:val="clear" w:color="auto" w:fill="CCEEFF"/>
          </w:tcPr>
          <w:p>
            <w:pPr>
              <w:jc w:val="center"/>
              <w:ind w:right="320"/>
              <w:spacing w:after="0" w:line="138" w:lineRule="exact"/>
              <w:rPr>
                <w:sz w:val="20"/>
                <w:szCs w:val="20"/>
                <w:color w:val="auto"/>
              </w:rPr>
            </w:pPr>
            <w:r>
              <w:rPr>
                <w:rFonts w:ascii="Arial" w:cs="Arial" w:eastAsia="Arial" w:hAnsi="Arial"/>
                <w:sz w:val="14"/>
                <w:szCs w:val="14"/>
                <w:color w:val="auto"/>
                <w:w w:val="88"/>
              </w:rPr>
              <w:t>Preferred Equity</w:t>
            </w:r>
          </w:p>
        </w:tc>
        <w:tc>
          <w:tcPr>
            <w:tcW w:w="760" w:type="dxa"/>
            <w:vAlign w:val="bottom"/>
            <w:shd w:val="clear" w:color="auto" w:fill="CCEEFF"/>
          </w:tcPr>
          <w:p>
            <w:pPr>
              <w:jc w:val="right"/>
              <w:ind w:right="176"/>
              <w:spacing w:after="0" w:line="138"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567 San Nicolas Drive, Suite 360</w:t>
            </w:r>
          </w:p>
        </w:tc>
        <w:tc>
          <w:tcPr>
            <w:tcW w:w="3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color w:val="auto"/>
                <w:w w:val="90"/>
              </w:rPr>
              <w:t>Common Equity</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Newport Beach, CA 92660</w:t>
            </w: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spacing w:after="0"/>
              <w:rPr>
                <w:sz w:val="20"/>
                <w:szCs w:val="20"/>
                <w:color w:val="auto"/>
              </w:rPr>
            </w:pPr>
            <w:r>
              <w:rPr>
                <w:rFonts w:ascii="Arial" w:cs="Arial" w:eastAsia="Arial" w:hAnsi="Arial"/>
                <w:sz w:val="14"/>
                <w:szCs w:val="14"/>
                <w:color w:val="auto"/>
              </w:rPr>
              <w:t>UP Support Services, Inc. (Universal Pegasus International, Inc.)</w:t>
            </w: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4848 Loop Central Drive</w:t>
            </w:r>
          </w:p>
        </w:tc>
        <w:tc>
          <w:tcPr>
            <w:tcW w:w="39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6"/>
              </w:rPr>
              <w:t>Oil and Gas</w:t>
            </w:r>
          </w:p>
        </w:tc>
        <w:tc>
          <w:tcPr>
            <w:tcW w:w="242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87"/>
              </w:rPr>
              <w:t>Subordinated Debt</w:t>
            </w:r>
          </w:p>
        </w:tc>
        <w:tc>
          <w:tcPr>
            <w:tcW w:w="760" w:type="dxa"/>
            <w:vAlign w:val="bottom"/>
            <w:vMerge w:val="restart"/>
          </w:tcPr>
          <w:p>
            <w:pPr>
              <w:jc w:val="right"/>
              <w:ind w:right="176"/>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4340" w:type="dxa"/>
            <w:vAlign w:val="bottom"/>
            <w:gridSpan w:val="3"/>
            <w:vMerge w:val="restart"/>
          </w:tcPr>
          <w:p>
            <w:pPr>
              <w:spacing w:after="0"/>
              <w:rPr>
                <w:sz w:val="20"/>
                <w:szCs w:val="20"/>
                <w:color w:val="auto"/>
              </w:rPr>
            </w:pPr>
            <w:r>
              <w:rPr>
                <w:rFonts w:ascii="Arial" w:cs="Arial" w:eastAsia="Arial" w:hAnsi="Arial"/>
                <w:sz w:val="14"/>
                <w:szCs w:val="14"/>
                <w:color w:val="auto"/>
              </w:rPr>
              <w:t>Houston, TX 77081</w:t>
            </w:r>
          </w:p>
        </w:tc>
        <w:tc>
          <w:tcPr>
            <w:tcW w:w="3900" w:type="dxa"/>
            <w:vAlign w:val="bottom"/>
            <w:gridSpan w:val="2"/>
            <w:vMerge w:val="continue"/>
          </w:tcPr>
          <w:p>
            <w:pPr>
              <w:spacing w:after="0"/>
              <w:rPr>
                <w:sz w:val="4"/>
                <w:szCs w:val="4"/>
                <w:color w:val="auto"/>
              </w:rPr>
            </w:pPr>
          </w:p>
        </w:tc>
        <w:tc>
          <w:tcPr>
            <w:tcW w:w="24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340" w:type="dxa"/>
            <w:vAlign w:val="bottom"/>
            <w:gridSpan w:val="3"/>
            <w:vMerge w:val="continue"/>
          </w:tcPr>
          <w:p>
            <w:pPr>
              <w:spacing w:after="0"/>
              <w:rPr>
                <w:sz w:val="10"/>
                <w:szCs w:val="10"/>
                <w:color w:val="auto"/>
              </w:rPr>
            </w:pPr>
          </w:p>
        </w:tc>
        <w:tc>
          <w:tcPr>
            <w:tcW w:w="3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3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Veritext Corp. (VText Holdings, Inc.)</w:t>
            </w:r>
          </w:p>
        </w:tc>
        <w:tc>
          <w:tcPr>
            <w:tcW w:w="3900" w:type="dxa"/>
            <w:vAlign w:val="bottom"/>
            <w:gridSpan w:val="2"/>
            <w:shd w:val="clear" w:color="auto" w:fill="CCEEFF"/>
          </w:tcPr>
          <w:p>
            <w:pPr>
              <w:jc w:val="center"/>
              <w:ind w:right="300"/>
              <w:spacing w:after="0" w:line="122" w:lineRule="exact"/>
              <w:rPr>
                <w:sz w:val="20"/>
                <w:szCs w:val="20"/>
                <w:color w:val="auto"/>
              </w:rPr>
            </w:pPr>
            <w:r>
              <w:rPr>
                <w:rFonts w:ascii="Arial" w:cs="Arial" w:eastAsia="Arial" w:hAnsi="Arial"/>
                <w:sz w:val="14"/>
                <w:szCs w:val="14"/>
                <w:color w:val="auto"/>
                <w:w w:val="83"/>
              </w:rPr>
              <w:t>Business Services</w:t>
            </w:r>
          </w:p>
        </w:tc>
        <w:tc>
          <w:tcPr>
            <w:tcW w:w="2420" w:type="dxa"/>
            <w:vAlign w:val="bottom"/>
            <w:gridSpan w:val="2"/>
            <w:shd w:val="clear" w:color="auto" w:fill="CCEEFF"/>
          </w:tcPr>
          <w:p>
            <w:pPr>
              <w:jc w:val="center"/>
              <w:ind w:right="320"/>
              <w:spacing w:after="0" w:line="122" w:lineRule="exact"/>
              <w:rPr>
                <w:sz w:val="20"/>
                <w:szCs w:val="20"/>
                <w:color w:val="auto"/>
              </w:rPr>
            </w:pPr>
            <w:r>
              <w:rPr>
                <w:rFonts w:ascii="Arial" w:cs="Arial" w:eastAsia="Arial" w:hAnsi="Arial"/>
                <w:sz w:val="14"/>
                <w:szCs w:val="14"/>
                <w:color w:val="auto"/>
                <w:w w:val="87"/>
              </w:rPr>
              <w:t>Subordinated Debt</w:t>
            </w:r>
          </w:p>
        </w:tc>
        <w:tc>
          <w:tcPr>
            <w:tcW w:w="760" w:type="dxa"/>
            <w:vAlign w:val="bottom"/>
            <w:shd w:val="clear" w:color="auto" w:fill="CCEEFF"/>
          </w:tcPr>
          <w:p>
            <w:pPr>
              <w:jc w:val="right"/>
              <w:ind w:right="176"/>
              <w:spacing w:after="0" w:line="122"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20" w:type="dxa"/>
            <w:vAlign w:val="bottom"/>
            <w:gridSpan w:val="2"/>
            <w:shd w:val="clear" w:color="auto" w:fill="CCEEFF"/>
          </w:tcPr>
          <w:p>
            <w:pPr>
              <w:spacing w:after="0" w:line="165" w:lineRule="exact"/>
              <w:rPr>
                <w:sz w:val="20"/>
                <w:szCs w:val="20"/>
                <w:color w:val="auto"/>
              </w:rPr>
            </w:pPr>
            <w:r>
              <w:rPr>
                <w:rFonts w:ascii="Arial" w:cs="Arial" w:eastAsia="Arial" w:hAnsi="Arial"/>
                <w:sz w:val="12"/>
                <w:szCs w:val="12"/>
                <w:color w:val="auto"/>
              </w:rPr>
              <w:t>50 Public Square, 29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Cleveland, OH 44113</w:t>
            </w:r>
          </w:p>
        </w:tc>
        <w:tc>
          <w:tcPr>
            <w:tcW w:w="3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spacing w:after="0"/>
              <w:rPr>
                <w:sz w:val="20"/>
                <w:szCs w:val="20"/>
                <w:color w:val="auto"/>
              </w:rPr>
            </w:pPr>
            <w:r>
              <w:rPr>
                <w:rFonts w:ascii="Arial" w:cs="Arial" w:eastAsia="Arial" w:hAnsi="Arial"/>
                <w:sz w:val="14"/>
                <w:szCs w:val="14"/>
                <w:color w:val="auto"/>
              </w:rPr>
              <w:t>VPSI, Inc. (Verde Parent Holdings,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5"/>
              </w:rPr>
              <w:t>Personal Transportation</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176"/>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1220 Rankin Drive</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auto"/>
              </w:rPr>
              <w:t>Troy, MI 48083</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40" w:type="dxa"/>
            <w:vAlign w:val="bottom"/>
            <w:gridSpan w:val="3"/>
          </w:tcPr>
          <w:p>
            <w:pPr>
              <w:spacing w:after="0"/>
              <w:rPr>
                <w:sz w:val="20"/>
                <w:szCs w:val="20"/>
                <w:color w:val="auto"/>
              </w:rPr>
            </w:pPr>
            <w:r>
              <w:rPr>
                <w:rFonts w:ascii="Arial" w:cs="Arial" w:eastAsia="Arial" w:hAnsi="Arial"/>
                <w:sz w:val="14"/>
                <w:szCs w:val="14"/>
                <w:color w:val="auto"/>
              </w:rPr>
              <w:t>Yonkers Racing Corp.</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Hotels, Motels, Inns and Gaming</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296"/>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810 Yonkers Avenue</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auto"/>
              </w:rPr>
              <w:t>New York, NY 10704</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3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340" w:type="dxa"/>
            <w:vAlign w:val="bottom"/>
            <w:gridSpan w:val="3"/>
          </w:tcPr>
          <w:p>
            <w:pPr>
              <w:spacing w:after="0"/>
              <w:rPr>
                <w:sz w:val="20"/>
                <w:szCs w:val="20"/>
                <w:color w:val="auto"/>
              </w:rPr>
            </w:pPr>
            <w:r>
              <w:rPr>
                <w:rFonts w:ascii="Arial" w:cs="Arial" w:eastAsia="Arial" w:hAnsi="Arial"/>
                <w:sz w:val="14"/>
                <w:szCs w:val="14"/>
                <w:color w:val="auto"/>
              </w:rPr>
              <w:t>EnviroSolutions,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7"/>
              </w:rPr>
              <w:t>Environmental Services</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center"/>
              <w:spacing w:after="0" w:line="205" w:lineRule="exact"/>
              <w:rPr>
                <w:sz w:val="20"/>
                <w:szCs w:val="20"/>
                <w:color w:val="auto"/>
              </w:rPr>
            </w:pPr>
            <w:r>
              <w:rPr>
                <w:rFonts w:ascii="Arial" w:cs="Arial" w:eastAsia="Arial" w:hAnsi="Arial"/>
                <w:sz w:val="23"/>
                <w:szCs w:val="23"/>
                <w:color w:val="auto"/>
                <w:vertAlign w:val="subscript"/>
              </w:rPr>
              <w:t>6.9%</w:t>
            </w:r>
            <w:r>
              <w:rPr>
                <w:rFonts w:ascii="Arial" w:cs="Arial" w:eastAsia="Arial" w:hAnsi="Arial"/>
                <w:sz w:val="10"/>
                <w:szCs w:val="10"/>
                <w:color w:val="auto"/>
              </w:rPr>
              <w:t>(2), (3)</w:t>
            </w: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11220 Asset Loop, Suite 201</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Second Lien Secured Debt</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Manassas, VA 20109</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00"/>
              <w:spacing w:after="0"/>
              <w:rPr>
                <w:sz w:val="20"/>
                <w:szCs w:val="20"/>
                <w:color w:val="auto"/>
              </w:rPr>
            </w:pPr>
            <w:r>
              <w:rPr>
                <w:rFonts w:ascii="Arial" w:cs="Arial" w:eastAsia="Arial" w:hAnsi="Arial"/>
                <w:sz w:val="14"/>
                <w:szCs w:val="14"/>
                <w:color w:val="auto"/>
                <w:w w:val="84"/>
              </w:rPr>
              <w:t>Warrants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40" w:type="dxa"/>
            <w:vAlign w:val="bottom"/>
            <w:gridSpan w:val="3"/>
          </w:tcPr>
          <w:p>
            <w:pPr>
              <w:spacing w:after="0"/>
              <w:rPr>
                <w:sz w:val="20"/>
                <w:szCs w:val="20"/>
                <w:color w:val="auto"/>
              </w:rPr>
            </w:pPr>
            <w:r>
              <w:rPr>
                <w:rFonts w:ascii="Arial" w:cs="Arial" w:eastAsia="Arial" w:hAnsi="Arial"/>
                <w:sz w:val="14"/>
                <w:szCs w:val="14"/>
                <w:color w:val="auto"/>
              </w:rPr>
              <w:t>Performance Holdings, Inc. (NCP-Performance)</w:t>
            </w: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One Performance Way</w:t>
            </w:r>
          </w:p>
        </w:tc>
        <w:tc>
          <w:tcPr>
            <w:tcW w:w="39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7"/>
              </w:rPr>
              <w:t>Leisure, Amusement, Motion Pictures, Entertainment</w:t>
            </w:r>
          </w:p>
        </w:tc>
        <w:tc>
          <w:tcPr>
            <w:tcW w:w="24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vMerge w:val="restart"/>
          </w:tcPr>
          <w:p>
            <w:pPr>
              <w:jc w:val="right"/>
              <w:ind w:right="176"/>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54"/>
        </w:trPr>
        <w:tc>
          <w:tcPr>
            <w:tcW w:w="4340" w:type="dxa"/>
            <w:vAlign w:val="bottom"/>
            <w:gridSpan w:val="3"/>
            <w:vMerge w:val="restart"/>
          </w:tcPr>
          <w:p>
            <w:pPr>
              <w:spacing w:after="0"/>
              <w:rPr>
                <w:sz w:val="20"/>
                <w:szCs w:val="20"/>
                <w:color w:val="auto"/>
              </w:rPr>
            </w:pPr>
            <w:r>
              <w:rPr>
                <w:rFonts w:ascii="Arial" w:cs="Arial" w:eastAsia="Arial" w:hAnsi="Arial"/>
                <w:sz w:val="14"/>
                <w:szCs w:val="14"/>
                <w:color w:val="auto"/>
              </w:rPr>
              <w:t>Chapel Hill, NC 27514</w:t>
            </w:r>
          </w:p>
        </w:tc>
        <w:tc>
          <w:tcPr>
            <w:tcW w:w="3900" w:type="dxa"/>
            <w:vAlign w:val="bottom"/>
            <w:gridSpan w:val="2"/>
            <w:vMerge w:val="continue"/>
          </w:tcPr>
          <w:p>
            <w:pPr>
              <w:spacing w:after="0"/>
              <w:rPr>
                <w:sz w:val="4"/>
                <w:szCs w:val="4"/>
                <w:color w:val="auto"/>
              </w:rPr>
            </w:pPr>
          </w:p>
        </w:tc>
        <w:tc>
          <w:tcPr>
            <w:tcW w:w="24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4340" w:type="dxa"/>
            <w:vAlign w:val="bottom"/>
            <w:gridSpan w:val="3"/>
            <w:vMerge w:val="continue"/>
          </w:tcPr>
          <w:p>
            <w:pPr>
              <w:spacing w:after="0"/>
              <w:rPr>
                <w:sz w:val="10"/>
                <w:szCs w:val="10"/>
                <w:color w:val="auto"/>
              </w:rPr>
            </w:pPr>
          </w:p>
        </w:tc>
        <w:tc>
          <w:tcPr>
            <w:tcW w:w="3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87"/>
              </w:rPr>
              <w:t>Subordinated Debt</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2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4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3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340" w:type="dxa"/>
            <w:vAlign w:val="bottom"/>
            <w:gridSpan w:val="3"/>
          </w:tcPr>
          <w:p>
            <w:pPr>
              <w:spacing w:after="0"/>
              <w:rPr>
                <w:sz w:val="20"/>
                <w:szCs w:val="20"/>
                <w:color w:val="auto"/>
              </w:rPr>
            </w:pPr>
            <w:r>
              <w:rPr>
                <w:rFonts w:ascii="Arial" w:cs="Arial" w:eastAsia="Arial" w:hAnsi="Arial"/>
                <w:sz w:val="14"/>
                <w:szCs w:val="14"/>
                <w:color w:val="auto"/>
              </w:rPr>
              <w:t>SuttonPark Holdings, Inc.</w:t>
            </w:r>
          </w:p>
        </w:tc>
        <w:tc>
          <w:tcPr>
            <w:tcW w:w="3900" w:type="dxa"/>
            <w:vAlign w:val="bottom"/>
            <w:gridSpan w:val="2"/>
          </w:tcPr>
          <w:p>
            <w:pPr>
              <w:jc w:val="center"/>
              <w:ind w:right="300"/>
              <w:spacing w:after="0"/>
              <w:rPr>
                <w:sz w:val="20"/>
                <w:szCs w:val="20"/>
                <w:color w:val="auto"/>
              </w:rPr>
            </w:pPr>
            <w:r>
              <w:rPr>
                <w:rFonts w:ascii="Arial" w:cs="Arial" w:eastAsia="Arial" w:hAnsi="Arial"/>
                <w:sz w:val="14"/>
                <w:szCs w:val="14"/>
                <w:color w:val="auto"/>
                <w:w w:val="83"/>
              </w:rPr>
              <w:t>Business Services</w:t>
            </w: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center"/>
              <w:spacing w:after="0" w:line="189" w:lineRule="exact"/>
              <w:rPr>
                <w:sz w:val="20"/>
                <w:szCs w:val="20"/>
                <w:color w:val="auto"/>
              </w:rPr>
            </w:pPr>
            <w:r>
              <w:rPr>
                <w:rFonts w:ascii="Arial" w:cs="Arial" w:eastAsia="Arial" w:hAnsi="Arial"/>
                <w:sz w:val="21"/>
                <w:szCs w:val="21"/>
                <w:color w:val="auto"/>
                <w:vertAlign w:val="subscript"/>
              </w:rPr>
              <w:t>100%</w:t>
            </w:r>
            <w:r>
              <w:rPr>
                <w:rFonts w:ascii="Arial" w:cs="Arial" w:eastAsia="Arial" w:hAnsi="Arial"/>
                <w:sz w:val="10"/>
                <w:szCs w:val="10"/>
                <w:color w:val="auto"/>
              </w:rPr>
              <w:t>(3), (4)</w:t>
            </w:r>
          </w:p>
        </w:tc>
        <w:tc>
          <w:tcPr>
            <w:tcW w:w="0" w:type="dxa"/>
            <w:vAlign w:val="bottom"/>
          </w:tcPr>
          <w:p>
            <w:pPr>
              <w:spacing w:after="0"/>
              <w:rPr>
                <w:sz w:val="1"/>
                <w:szCs w:val="1"/>
                <w:color w:val="auto"/>
              </w:rPr>
            </w:pPr>
          </w:p>
        </w:tc>
      </w:tr>
      <w:tr>
        <w:trPr>
          <w:trHeight w:val="165"/>
        </w:trPr>
        <w:tc>
          <w:tcPr>
            <w:tcW w:w="4340" w:type="dxa"/>
            <w:vAlign w:val="bottom"/>
            <w:gridSpan w:val="3"/>
          </w:tcPr>
          <w:p>
            <w:pPr>
              <w:spacing w:after="0" w:line="165" w:lineRule="exact"/>
              <w:rPr>
                <w:sz w:val="20"/>
                <w:szCs w:val="20"/>
                <w:color w:val="auto"/>
              </w:rPr>
            </w:pPr>
            <w:r>
              <w:rPr>
                <w:rFonts w:ascii="Arial" w:cs="Arial" w:eastAsia="Arial" w:hAnsi="Arial"/>
                <w:sz w:val="12"/>
                <w:szCs w:val="12"/>
                <w:color w:val="auto"/>
              </w:rPr>
              <w:t>590 Madison Avenue, 15</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87"/>
              </w:rPr>
              <w:t>Subordinated Debt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New York, NY 10022</w:t>
            </w:r>
          </w:p>
        </w:tc>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89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w:t>
      </w: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On a fully diluted basis, our percentage ownership is 7.6%.</w:t>
      </w:r>
    </w:p>
    <w:p>
      <w:pPr>
        <w:ind w:left="340" w:hanging="332"/>
        <w:spacing w:after="0" w:line="221"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Indicates that we hold voting seats on portfolio companies’ board of directors.</w:t>
      </w: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Indicates that we provide managerial assistance. See “Certain Relationships and Transactions” for more information.</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at September 30,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Eureka Hunter Pipeline, LLC (Magnum Hunter Resources Corporation)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Eureka Hunter Pipeline, LLC is a wholly-owned subsidiary of Magnum Hunter Resources and a pipeline gathering system in the Marcellus Shale region.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market value, of the total portfolio assets (excluding cash equivalents) in such industries as of September 30, 2011 and September 30, 2010.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900" w:type="dxa"/>
            <w:vAlign w:val="bottom"/>
          </w:tcPr>
          <w:p>
            <w:pPr>
              <w:spacing w:after="0"/>
              <w:rPr>
                <w:sz w:val="14"/>
                <w:szCs w:val="14"/>
                <w:color w:val="auto"/>
              </w:rPr>
            </w:pPr>
          </w:p>
        </w:tc>
        <w:tc>
          <w:tcPr>
            <w:tcW w:w="206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83"/>
              </w:rPr>
              <w:t>September 30,</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48"/>
        </w:trPr>
        <w:tc>
          <w:tcPr>
            <w:tcW w:w="5440" w:type="dxa"/>
            <w:vAlign w:val="bottom"/>
            <w:gridSpan w:val="3"/>
            <w:vMerge w:val="continue"/>
          </w:tcPr>
          <w:p>
            <w:pPr>
              <w:spacing w:after="0"/>
              <w:rPr>
                <w:sz w:val="12"/>
                <w:szCs w:val="12"/>
                <w:color w:val="auto"/>
              </w:rPr>
            </w:pPr>
          </w:p>
        </w:tc>
        <w:tc>
          <w:tcPr>
            <w:tcW w:w="3720" w:type="dxa"/>
            <w:vAlign w:val="bottom"/>
            <w:gridSpan w:val="2"/>
          </w:tcPr>
          <w:p>
            <w:pPr>
              <w:jc w:val="right"/>
              <w:ind w:right="195"/>
              <w:spacing w:after="0" w:line="148" w:lineRule="exact"/>
              <w:rPr>
                <w:sz w:val="20"/>
                <w:szCs w:val="20"/>
                <w:color w:val="auto"/>
              </w:rPr>
            </w:pPr>
            <w:r>
              <w:rPr>
                <w:rFonts w:ascii="Arial" w:cs="Arial" w:eastAsia="Arial" w:hAnsi="Arial"/>
                <w:sz w:val="14"/>
                <w:szCs w:val="14"/>
                <w:b w:val="1"/>
                <w:bCs w:val="1"/>
                <w:color w:val="auto"/>
              </w:rPr>
              <w:t>2011</w:t>
            </w:r>
          </w:p>
        </w:tc>
        <w:tc>
          <w:tcPr>
            <w:tcW w:w="1240" w:type="dxa"/>
            <w:vAlign w:val="bottom"/>
          </w:tcPr>
          <w:p>
            <w:pPr>
              <w:spacing w:after="0"/>
              <w:rPr>
                <w:sz w:val="12"/>
                <w:szCs w:val="12"/>
                <w:color w:val="auto"/>
              </w:rPr>
            </w:pPr>
          </w:p>
        </w:tc>
        <w:tc>
          <w:tcPr>
            <w:tcW w:w="820" w:type="dxa"/>
            <w:vAlign w:val="bottom"/>
          </w:tcPr>
          <w:p>
            <w:pPr>
              <w:jc w:val="right"/>
              <w:ind w:right="194"/>
              <w:spacing w:after="0" w:line="148"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Business Services</w:t>
            </w:r>
          </w:p>
        </w:tc>
        <w:tc>
          <w:tcPr>
            <w:tcW w:w="4040" w:type="dxa"/>
            <w:vAlign w:val="bottom"/>
            <w:vMerge w:val="restart"/>
            <w:shd w:val="clear" w:color="auto" w:fill="CCEEFF"/>
          </w:tcPr>
          <w:p>
            <w:pPr>
              <w:spacing w:after="0" w:line="20" w:lineRule="exact"/>
              <w:rPr>
                <w:sz w:val="1"/>
                <w:szCs w:val="1"/>
                <w:color w:val="auto"/>
              </w:rPr>
            </w:pPr>
          </w:p>
        </w:tc>
        <w:tc>
          <w:tcPr>
            <w:tcW w:w="290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4040" w:type="dxa"/>
            <w:vAlign w:val="bottom"/>
            <w:vMerge w:val="continue"/>
            <w:shd w:val="clear" w:color="auto" w:fill="CCEEFF"/>
          </w:tcPr>
          <w:p>
            <w:pPr>
              <w:spacing w:after="0"/>
              <w:rPr>
                <w:sz w:val="17"/>
                <w:szCs w:val="17"/>
                <w:color w:val="auto"/>
              </w:rPr>
            </w:pPr>
          </w:p>
        </w:tc>
        <w:tc>
          <w:tcPr>
            <w:tcW w:w="2900" w:type="dxa"/>
            <w:vAlign w:val="bottom"/>
            <w:vMerge w:val="continue"/>
            <w:shd w:val="clear" w:color="auto" w:fill="CCEEFF"/>
          </w:tcPr>
          <w:p>
            <w:pPr>
              <w:spacing w:after="0"/>
              <w:rPr>
                <w:sz w:val="17"/>
                <w:szCs w:val="17"/>
                <w:color w:val="auto"/>
              </w:rPr>
            </w:pPr>
          </w:p>
        </w:tc>
        <w:tc>
          <w:tcPr>
            <w:tcW w:w="2060" w:type="dxa"/>
            <w:vAlign w:val="bottom"/>
            <w:gridSpan w:val="2"/>
            <w:shd w:val="clear" w:color="auto" w:fill="CCEEFF"/>
          </w:tcPr>
          <w:p>
            <w:pPr>
              <w:jc w:val="right"/>
              <w:ind w:right="1080"/>
              <w:spacing w:after="0" w:line="203" w:lineRule="exact"/>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Healthcare, Education &amp; Childcare</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 and Rubber</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Transportation</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Communications</w:t>
            </w:r>
          </w:p>
        </w:tc>
        <w:tc>
          <w:tcPr>
            <w:tcW w:w="4960" w:type="dxa"/>
            <w:vAlign w:val="bottom"/>
            <w:gridSpan w:val="3"/>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496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1</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Diversified / Conglomerate Services</w:t>
            </w:r>
          </w:p>
        </w:tc>
        <w:tc>
          <w:tcPr>
            <w:tcW w:w="2900" w:type="dxa"/>
            <w:vAlign w:val="bottom"/>
          </w:tcPr>
          <w:p>
            <w:pPr>
              <w:spacing w:after="0"/>
              <w:rPr>
                <w:sz w:val="18"/>
                <w:szCs w:val="18"/>
                <w:color w:val="auto"/>
              </w:rPr>
            </w:pPr>
          </w:p>
        </w:tc>
        <w:tc>
          <w:tcPr>
            <w:tcW w:w="206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Home and Office Furnishings, Housewares &amp; Durable Consumer Products</w:t>
            </w:r>
          </w:p>
        </w:tc>
        <w:tc>
          <w:tcPr>
            <w:tcW w:w="2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2900" w:type="dxa"/>
            <w:vAlign w:val="bottom"/>
          </w:tcPr>
          <w:p>
            <w:pPr>
              <w:spacing w:after="0"/>
              <w:rPr>
                <w:sz w:val="18"/>
                <w:szCs w:val="18"/>
                <w:color w:val="auto"/>
              </w:rPr>
            </w:pPr>
          </w:p>
        </w:tc>
        <w:tc>
          <w:tcPr>
            <w:tcW w:w="206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900" w:type="dxa"/>
            <w:vAlign w:val="bottom"/>
          </w:tcPr>
          <w:p>
            <w:pPr>
              <w:spacing w:after="0"/>
              <w:rPr>
                <w:sz w:val="18"/>
                <w:szCs w:val="18"/>
                <w:color w:val="auto"/>
              </w:rPr>
            </w:pPr>
          </w:p>
        </w:tc>
        <w:tc>
          <w:tcPr>
            <w:tcW w:w="2060" w:type="dxa"/>
            <w:vAlign w:val="bottom"/>
            <w:gridSpan w:val="2"/>
          </w:tcPr>
          <w:p>
            <w:pPr>
              <w:jc w:val="right"/>
              <w:ind w:right="1240"/>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900" w:type="dxa"/>
            <w:vAlign w:val="bottom"/>
          </w:tcPr>
          <w:p>
            <w:pPr>
              <w:jc w:val="right"/>
              <w:ind w:right="2453"/>
              <w:spacing w:after="0"/>
              <w:rPr>
                <w:sz w:val="20"/>
                <w:szCs w:val="20"/>
                <w:color w:val="auto"/>
              </w:rPr>
            </w:pPr>
            <w:r>
              <w:rPr>
                <w:rFonts w:ascii="Arial" w:cs="Arial" w:eastAsia="Arial" w:hAnsi="Arial"/>
                <w:sz w:val="18"/>
                <w:szCs w:val="18"/>
                <w:color w:val="auto"/>
              </w:rPr>
              <w:t>75</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3"/>
              </w:rPr>
              <w:t>Position</w:t>
            </w:r>
          </w:p>
        </w:tc>
        <w:tc>
          <w:tcPr>
            <w:tcW w:w="3980" w:type="dxa"/>
            <w:vAlign w:val="bottom"/>
            <w:vMerge w:val="restart"/>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Director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40" w:type="dxa"/>
            <w:vAlign w:val="bottom"/>
            <w:vMerge w:val="continue"/>
          </w:tcPr>
          <w:p>
            <w:pPr>
              <w:spacing w:after="0"/>
              <w:rPr>
                <w:sz w:val="14"/>
                <w:szCs w:val="14"/>
                <w:color w:val="auto"/>
              </w:rPr>
            </w:pPr>
          </w:p>
        </w:tc>
        <w:tc>
          <w:tcPr>
            <w:tcW w:w="5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0"/>
              </w:rPr>
              <w:t>Age</w:t>
            </w:r>
          </w:p>
        </w:tc>
        <w:tc>
          <w:tcPr>
            <w:tcW w:w="480" w:type="dxa"/>
            <w:vAlign w:val="bottom"/>
            <w:tcBorders>
              <w:bottom w:val="single" w:sz="8" w:color="auto"/>
            </w:tcBorders>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8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0"/>
              </w:rPr>
              <w:t>Since</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of Term</w:t>
            </w:r>
          </w:p>
        </w:tc>
        <w:tc>
          <w:tcPr>
            <w:tcW w:w="0" w:type="dxa"/>
            <w:vAlign w:val="bottom"/>
          </w:tcPr>
          <w:p>
            <w:pPr>
              <w:spacing w:after="0"/>
              <w:rPr>
                <w:sz w:val="1"/>
                <w:szCs w:val="1"/>
                <w:color w:val="auto"/>
              </w:rPr>
            </w:pPr>
          </w:p>
        </w:tc>
      </w:tr>
      <w:tr>
        <w:trPr>
          <w:trHeight w:val="190"/>
        </w:trPr>
        <w:tc>
          <w:tcPr>
            <w:tcW w:w="4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48</w:t>
            </w: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44</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center"/>
              <w:spacing w:after="0"/>
              <w:rPr>
                <w:sz w:val="20"/>
                <w:szCs w:val="20"/>
                <w:color w:val="auto"/>
              </w:rPr>
            </w:pPr>
            <w:r>
              <w:rPr>
                <w:rFonts w:ascii="Arial" w:cs="Arial" w:eastAsia="Arial" w:hAnsi="Arial"/>
                <w:sz w:val="18"/>
                <w:szCs w:val="18"/>
                <w:color w:val="auto"/>
                <w:w w:val="79"/>
              </w:rPr>
              <w:t>49</w:t>
            </w:r>
          </w:p>
        </w:tc>
        <w:tc>
          <w:tcPr>
            <w:tcW w:w="34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46</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322"/>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48</w:t>
            </w:r>
          </w:p>
        </w:tc>
        <w:tc>
          <w:tcPr>
            <w:tcW w:w="34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5300" w:type="dxa"/>
            <w:vAlign w:val="bottom"/>
          </w:tcPr>
          <w:p>
            <w:pPr>
              <w:spacing w:after="0"/>
              <w:rPr>
                <w:sz w:val="15"/>
                <w:szCs w:val="15"/>
                <w:color w:val="auto"/>
              </w:rPr>
            </w:pPr>
          </w:p>
        </w:tc>
      </w:tr>
      <w:tr>
        <w:trPr>
          <w:trHeight w:val="203"/>
        </w:trPr>
        <w:tc>
          <w:tcPr>
            <w:tcW w:w="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Aviv Efrat</w:t>
            </w:r>
          </w:p>
        </w:tc>
        <w:tc>
          <w:tcPr>
            <w:tcW w:w="4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6000" w:type="dxa"/>
            <w:vAlign w:val="bottom"/>
            <w:tcBorders>
              <w:top w:val="single" w:sz="8" w:color="CCEEFF"/>
            </w:tcBorders>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Chief Financial Officer and Treasurer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42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5300" w:type="dxa"/>
            <w:vAlign w:val="bottom"/>
          </w:tcPr>
          <w:p>
            <w:pPr>
              <w:spacing w:after="0"/>
              <w:rPr>
                <w:sz w:val="15"/>
                <w:szCs w:val="15"/>
                <w:color w:val="auto"/>
              </w:rPr>
            </w:pPr>
          </w:p>
        </w:tc>
      </w:tr>
      <w:tr>
        <w:trPr>
          <w:trHeight w:val="203"/>
        </w:trPr>
        <w:tc>
          <w:tcPr>
            <w:tcW w:w="5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Guy F. Talarico</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6000" w:type="dxa"/>
            <w:vAlign w:val="bottom"/>
            <w:tcBorders>
              <w:top w:val="single" w:sz="8" w:color="CCEEFF"/>
            </w:tcBorders>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Chief Compliance Officer</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however the Chairman of our board of directors is our Chief Executive Officer and therefore an interested person of us. The Independent Directors believe that the combined positions of our Chief Executive Officer and Chairman of the board of directors results in greater efficiencies in managing us by eliminating the need to transfer substantial information quickly and repeatedly between the Chief Executive Officer and the Chairman and offering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board of director’s Audit Committee and Nominating and Corporate Governance Committee assist the board of director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1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its business and operations. For example, our ability to incur indebtedness is limited such that its asset coverage must equal at least 200% immediately after each time we incur indebtedness,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of ensure that they meet our needs.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Adam K. Bernstein (48), Director. Mr. Bernstein became a Director of PennantPark Investment and PennantPark Floating Rate Capital Ltd. in February 2007 and March 2011,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Marshall Brozost (44), Director. Mr. Brozost became a Director of PennantPark Investment and PennantPark Floating Rate Capital Ltd. in February 2007 and March 2011, respectively. Since 2007, Mr. Brozost has been Partner at the international law firm of Dewey &amp; LeBoeuf LLP, where he practices in the real estate and private equity groups. Prior to his tenure at Dewey &amp; LeBoeuf LLP which began in 2005, Mr. Brozost practiced law at O’Melveny &amp; Myers LLP from 2001 to 2004 and Solomon &amp; Weinberg LLP from 2004 to 2005. Mr. Brozost also served as a Vice President of Nomura Asset Capital Corporation from 1997 through 2000.</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Jeffrey Flug (49), Director. Mr. Flug became a Director of PennantPark Investment and PennantPark Floating Rate Capital Ltd. in February 2007 and March 2011, respectively. Since 2009, Mr. Flug is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Samuel L. Katz (46), Director. Mr. Katz became a Director of PennantPark Investment and PennantPark Floating Rate Capital Ltd. in February 2007 and March 2011, respectively. Since 2007, Mr. Katz is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Arthur H. Penn (48) Founder, Chief Executive Officer and Chairman of the board of directors. Mr. Penn became the Chief Executive Officer and a Director of PennantPark Investment and PennantPark Floating Rate Capital Ltd. at their inception in January 2007 and March 2011, respectively. He also founded and became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Aviv Efrat (47), Chief Financial Officer and Treasurer. Mr. Efrat became PennantPark Investment’s and PennantPark Floating Rate Capital Ltd.’s Chief Financial Officer and Treasurer in February 2007 and March 2011,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1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Guy F. Talarico (56), Chief Compliance Officer. Mr. Talarico became PennantPark Investment’s and PennantPark Floating Rate Capital Ltd.’s Chief Compliance Officer in 2008 and 2011,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fiscal year ended September 30, 2011,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meeting of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 xml:space="preserve">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5"/>
          <w:szCs w:val="15"/>
          <w:i w:val="1"/>
          <w:iCs w:val="1"/>
          <w:u w:val="single" w:color="auto"/>
          <w:color w:val="auto"/>
        </w:rPr>
        <w:t>www.pennantpark.com</w:t>
      </w:r>
      <w:r>
        <w:rPr>
          <w:rFonts w:ascii="Arial" w:cs="Arial" w:eastAsia="Arial" w:hAnsi="Arial"/>
          <w:sz w:val="15"/>
          <w:szCs w:val="15"/>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i w:val="1"/>
          <w:iCs w:val="1"/>
          <w:color w:val="auto"/>
        </w:rPr>
        <w:t>.</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160" w:firstLine="456"/>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580" w:firstLine="456"/>
        <w:spacing w:after="0" w:line="370" w:lineRule="auto"/>
        <w:rPr>
          <w:sz w:val="20"/>
          <w:szCs w:val="20"/>
          <w:color w:val="auto"/>
        </w:rPr>
      </w:pPr>
      <w:r>
        <w:rPr>
          <w:rFonts w:ascii="Arial" w:cs="Arial" w:eastAsia="Arial" w:hAnsi="Arial"/>
          <w:sz w:val="15"/>
          <w:szCs w:val="15"/>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2011. No compensation is paid directly by us to any interested director or executive officer of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00" w:type="dxa"/>
            <w:vAlign w:val="bottom"/>
          </w:tcPr>
          <w:p>
            <w:pPr>
              <w:jc w:val="center"/>
              <w:ind w:right="420"/>
              <w:spacing w:after="0"/>
              <w:rPr>
                <w:sz w:val="20"/>
                <w:szCs w:val="20"/>
                <w:color w:val="auto"/>
              </w:rPr>
            </w:pPr>
            <w:r>
              <w:rPr>
                <w:rFonts w:ascii="Arial" w:cs="Arial" w:eastAsia="Arial" w:hAnsi="Arial"/>
                <w:sz w:val="14"/>
                <w:szCs w:val="14"/>
                <w:b w:val="1"/>
                <w:bCs w:val="1"/>
                <w:color w:val="auto"/>
                <w:w w:val="88"/>
              </w:rPr>
              <w:t>Pension or retirement</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38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860" w:type="dxa"/>
            <w:vAlign w:val="bottom"/>
            <w:gridSpan w:val="3"/>
          </w:tcPr>
          <w:p>
            <w:pPr>
              <w:jc w:val="center"/>
              <w:ind w:right="980"/>
              <w:spacing w:after="0" w:line="135" w:lineRule="exact"/>
              <w:rPr>
                <w:sz w:val="20"/>
                <w:szCs w:val="20"/>
                <w:color w:val="auto"/>
              </w:rPr>
            </w:pPr>
            <w:r>
              <w:rPr>
                <w:rFonts w:ascii="Arial" w:cs="Arial" w:eastAsia="Arial" w:hAnsi="Arial"/>
                <w:sz w:val="14"/>
                <w:szCs w:val="14"/>
                <w:b w:val="1"/>
                <w:bCs w:val="1"/>
                <w:color w:val="auto"/>
                <w:w w:val="86"/>
              </w:rPr>
              <w:t>Aggregate</w:t>
            </w:r>
          </w:p>
        </w:tc>
        <w:tc>
          <w:tcPr>
            <w:tcW w:w="1900" w:type="dxa"/>
            <w:vAlign w:val="bottom"/>
          </w:tcPr>
          <w:p>
            <w:pPr>
              <w:jc w:val="center"/>
              <w:ind w:right="400"/>
              <w:spacing w:after="0" w:line="135" w:lineRule="exact"/>
              <w:rPr>
                <w:sz w:val="20"/>
                <w:szCs w:val="20"/>
                <w:color w:val="auto"/>
              </w:rPr>
            </w:pPr>
            <w:r>
              <w:rPr>
                <w:rFonts w:ascii="Arial" w:cs="Arial" w:eastAsia="Arial" w:hAnsi="Arial"/>
                <w:sz w:val="14"/>
                <w:szCs w:val="14"/>
                <w:b w:val="1"/>
                <w:bCs w:val="1"/>
                <w:color w:val="auto"/>
                <w:w w:val="84"/>
              </w:rPr>
              <w:t>benefits accrued as</w:t>
            </w:r>
          </w:p>
        </w:tc>
        <w:tc>
          <w:tcPr>
            <w:tcW w:w="1540" w:type="dxa"/>
            <w:vAlign w:val="bottom"/>
            <w:gridSpan w:val="3"/>
          </w:tcPr>
          <w:p>
            <w:pPr>
              <w:ind w:left="60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740" w:type="dxa"/>
            <w:vAlign w:val="bottom"/>
          </w:tcPr>
          <w:p>
            <w:pPr>
              <w:spacing w:after="0"/>
              <w:rPr>
                <w:sz w:val="15"/>
                <w:szCs w:val="15"/>
                <w:color w:val="auto"/>
              </w:rPr>
            </w:pPr>
          </w:p>
        </w:tc>
        <w:tc>
          <w:tcPr>
            <w:tcW w:w="186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4"/>
              </w:rPr>
              <w:t>compensation</w:t>
            </w:r>
          </w:p>
        </w:tc>
        <w:tc>
          <w:tcPr>
            <w:tcW w:w="1900" w:type="dxa"/>
            <w:vAlign w:val="bottom"/>
          </w:tcPr>
          <w:p>
            <w:pPr>
              <w:jc w:val="center"/>
              <w:ind w:right="420"/>
              <w:spacing w:after="0" w:line="162" w:lineRule="exact"/>
              <w:rPr>
                <w:sz w:val="20"/>
                <w:szCs w:val="20"/>
                <w:color w:val="auto"/>
              </w:rPr>
            </w:pPr>
            <w:r>
              <w:rPr>
                <w:rFonts w:ascii="Arial" w:cs="Arial" w:eastAsia="Arial" w:hAnsi="Arial"/>
                <w:sz w:val="12"/>
                <w:szCs w:val="12"/>
                <w:b w:val="1"/>
                <w:bCs w:val="1"/>
                <w:color w:val="auto"/>
                <w:w w:val="98"/>
              </w:rPr>
              <w:t>part of our expense</w:t>
            </w:r>
            <w:r>
              <w:rPr>
                <w:rFonts w:ascii="Arial" w:cs="Arial" w:eastAsia="Arial" w:hAnsi="Arial"/>
                <w:sz w:val="18"/>
                <w:szCs w:val="18"/>
                <w:b w:val="1"/>
                <w:bCs w:val="1"/>
                <w:color w:val="auto"/>
                <w:w w:val="98"/>
                <w:vertAlign w:val="superscript"/>
              </w:rPr>
              <w:t>(1)</w:t>
            </w:r>
          </w:p>
        </w:tc>
        <w:tc>
          <w:tcPr>
            <w:tcW w:w="15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director / officer</w:t>
            </w:r>
          </w:p>
        </w:tc>
      </w:tr>
      <w:tr>
        <w:trPr>
          <w:trHeight w:val="190"/>
        </w:trPr>
        <w:tc>
          <w:tcPr>
            <w:tcW w:w="6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80" w:type="dxa"/>
            <w:vAlign w:val="bottom"/>
          </w:tcPr>
          <w:p>
            <w:pPr>
              <w:spacing w:after="0"/>
              <w:rPr>
                <w:sz w:val="18"/>
                <w:szCs w:val="18"/>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105,000</w:t>
            </w:r>
          </w:p>
        </w:tc>
        <w:tc>
          <w:tcPr>
            <w:tcW w:w="980" w:type="dxa"/>
            <w:vAlign w:val="bottom"/>
          </w:tcPr>
          <w:p>
            <w:pPr>
              <w:spacing w:after="0"/>
              <w:rPr>
                <w:sz w:val="18"/>
                <w:szCs w:val="18"/>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105,000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105,000</w:t>
            </w:r>
          </w:p>
        </w:tc>
        <w:tc>
          <w:tcPr>
            <w:tcW w:w="980" w:type="dxa"/>
            <w:vAlign w:val="bottom"/>
            <w:shd w:val="clear" w:color="auto" w:fill="CCEEFF"/>
          </w:tcPr>
          <w:p>
            <w:pPr>
              <w:spacing w:after="0"/>
              <w:rPr>
                <w:sz w:val="18"/>
                <w:szCs w:val="18"/>
                <w:color w:val="auto"/>
              </w:rPr>
            </w:pP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105,000</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74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115,000</w:t>
            </w:r>
          </w:p>
        </w:tc>
        <w:tc>
          <w:tcPr>
            <w:tcW w:w="980" w:type="dxa"/>
            <w:vAlign w:val="bottom"/>
          </w:tcPr>
          <w:p>
            <w:pPr>
              <w:spacing w:after="0"/>
              <w:rPr>
                <w:sz w:val="18"/>
                <w:szCs w:val="18"/>
                <w:color w:val="auto"/>
              </w:rPr>
            </w:pPr>
          </w:p>
        </w:tc>
        <w:tc>
          <w:tcPr>
            <w:tcW w:w="1900" w:type="dxa"/>
            <w:vAlign w:val="bottom"/>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tcPr>
          <w:p>
            <w:pPr>
              <w:ind w:left="5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115,000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112,500</w:t>
            </w:r>
          </w:p>
        </w:tc>
        <w:tc>
          <w:tcPr>
            <w:tcW w:w="980" w:type="dxa"/>
            <w:vAlign w:val="bottom"/>
            <w:shd w:val="clear" w:color="auto" w:fill="CCEEFF"/>
          </w:tcPr>
          <w:p>
            <w:pPr>
              <w:spacing w:after="0"/>
              <w:rPr>
                <w:sz w:val="18"/>
                <w:szCs w:val="18"/>
                <w:color w:val="auto"/>
              </w:rPr>
            </w:pP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112,500</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None</w:t>
            </w: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5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None</w:t>
            </w:r>
          </w:p>
        </w:tc>
        <w:tc>
          <w:tcPr>
            <w:tcW w:w="19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None</w:t>
            </w:r>
          </w:p>
        </w:tc>
        <w:tc>
          <w:tcPr>
            <w:tcW w:w="7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Efrat is an employee of PennantPark Investment Administration, LLC.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Independent Director receives an annual payment of $90,000 for services performed on behalf of us as a director. The Independent Directors also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receive $2,500 plus reimbursement of reasonable out-of-pocket expenses incurred in connection with attending each board of directors meeting and receive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 plus reimbursement of reasonable out-of-pocket expenses incurred in connection with attending each committee meeting (unless combined with a board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directors meeting). In addition, each Co-Chairman of the Audit Committee receives an annual fee of $12,500 and each Co-Chairman of any other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receives an annual fee of $2,500 for his additional services in these capacities. Also, we have purchased directors’ and officers’ liability insurance on behalf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and officers. Independent Directors have the option to receive their directors’ fees paid in shares of our common stock issued at a price per share equal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greater of net asset value or the market price at the time of payment. No compensation is expected to be paid to directors who are “interested persons.”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Our Investment Adviser has three experienced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Securities and BT Alex Brown Inc.). From 1986 to 1997, Mr. Giannetti worked in the Investment Banking, Syndicated Loan &amp; Private Equity groups at Chase Securities Inc. and its predecessor firms, Chemical Securities and Manufacturers Hanover.</w:t>
      </w:r>
    </w:p>
    <w:p>
      <w:pPr>
        <w:spacing w:after="0" w:line="13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September 30, 2011 our portfolio managers also managed investments on behalf of the following entity: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79"/>
              </w:rPr>
              <w:t>Gross Assets</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20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Entity</w:t>
            </w:r>
          </w:p>
        </w:tc>
        <w:tc>
          <w:tcPr>
            <w:tcW w:w="440" w:type="dxa"/>
            <w:vAlign w:val="bottom"/>
          </w:tcPr>
          <w:p>
            <w:pPr>
              <w:spacing w:after="0"/>
              <w:rPr>
                <w:sz w:val="12"/>
                <w:szCs w:val="12"/>
                <w:color w:val="auto"/>
              </w:rPr>
            </w:pPr>
          </w:p>
        </w:tc>
        <w:tc>
          <w:tcPr>
            <w:tcW w:w="420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Investment Focus</w:t>
            </w: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 in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4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millions)</w:t>
            </w:r>
          </w:p>
        </w:tc>
        <w:tc>
          <w:tcPr>
            <w:tcW w:w="0" w:type="dxa"/>
            <w:vAlign w:val="bottom"/>
          </w:tcPr>
          <w:p>
            <w:pPr>
              <w:spacing w:after="0"/>
              <w:rPr>
                <w:sz w:val="1"/>
                <w:szCs w:val="1"/>
                <w:color w:val="auto"/>
              </w:rPr>
            </w:pPr>
          </w:p>
        </w:tc>
      </w:tr>
      <w:tr>
        <w:trPr>
          <w:trHeight w:val="190"/>
        </w:trPr>
        <w:tc>
          <w:tcPr>
            <w:tcW w:w="28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PennantPark Floating Rate</w:t>
            </w:r>
          </w:p>
        </w:tc>
        <w:tc>
          <w:tcPr>
            <w:tcW w:w="100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7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Capital Ltd.</w:t>
            </w:r>
          </w:p>
        </w:tc>
        <w:tc>
          <w:tcPr>
            <w:tcW w:w="3080" w:type="dxa"/>
            <w:vAlign w:val="bottom"/>
            <w:gridSpan w:val="2"/>
          </w:tcPr>
          <w:p>
            <w:pPr>
              <w:ind w:left="1000"/>
              <w:spacing w:after="0"/>
              <w:rPr>
                <w:sz w:val="20"/>
                <w:szCs w:val="20"/>
                <w:color w:val="auto"/>
              </w:rPr>
            </w:pPr>
            <w:r>
              <w:rPr>
                <w:rFonts w:ascii="Arial" w:cs="Arial" w:eastAsia="Arial" w:hAnsi="Arial"/>
                <w:sz w:val="18"/>
                <w:szCs w:val="18"/>
                <w:color w:val="auto"/>
              </w:rPr>
              <w:t>Business development</w:t>
            </w: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rPr>
              <w:t>Primarily floating rate loans, with an emphasis on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80" w:type="dxa"/>
            <w:vAlign w:val="bottom"/>
            <w:gridSpan w:val="2"/>
          </w:tcPr>
          <w:p>
            <w:pPr>
              <w:ind w:left="1000"/>
              <w:spacing w:after="0"/>
              <w:rPr>
                <w:sz w:val="20"/>
                <w:szCs w:val="20"/>
                <w:color w:val="auto"/>
              </w:rPr>
            </w:pPr>
            <w:r>
              <w:rPr>
                <w:rFonts w:ascii="Arial" w:cs="Arial" w:eastAsia="Arial" w:hAnsi="Arial"/>
                <w:sz w:val="18"/>
                <w:szCs w:val="18"/>
                <w:color w:val="auto"/>
              </w:rPr>
              <w:t>company</w:t>
            </w: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rPr>
              <w:t>senior secured loans, in middle-</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640" w:type="dxa"/>
            <w:vAlign w:val="bottom"/>
            <w:gridSpan w:val="3"/>
          </w:tcPr>
          <w:p>
            <w:pPr>
              <w:ind w:left="440"/>
              <w:spacing w:after="0"/>
              <w:rPr>
                <w:sz w:val="20"/>
                <w:szCs w:val="20"/>
                <w:color w:val="auto"/>
              </w:rPr>
            </w:pPr>
            <w:r>
              <w:rPr>
                <w:rFonts w:ascii="Arial" w:cs="Arial" w:eastAsia="Arial" w:hAnsi="Arial"/>
                <w:sz w:val="18"/>
                <w:szCs w:val="18"/>
                <w:color w:val="auto"/>
              </w:rPr>
              <w:t>market leveraged companies.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of the December 2, 2011, to our knowledge, no person would be deemed to control us, as such term is defined in the 1940 Act. Our directors consist of an interested director and Independent Directors.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table sets forth, as of December 2, 2011,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and address</w:t>
            </w:r>
            <w:r>
              <w:rPr>
                <w:rFonts w:ascii="Arial" w:cs="Arial" w:eastAsia="Arial" w:hAnsi="Arial"/>
                <w:sz w:val="22"/>
                <w:szCs w:val="22"/>
                <w:b w:val="1"/>
                <w:bCs w:val="1"/>
                <w:color w:val="auto"/>
                <w:w w:val="87"/>
                <w:vertAlign w:val="superscript"/>
              </w:rPr>
              <w:t>(1)</w:t>
            </w:r>
          </w:p>
        </w:tc>
        <w:tc>
          <w:tcPr>
            <w:tcW w:w="5940" w:type="dxa"/>
            <w:vAlign w:val="bottom"/>
            <w:vMerge w:val="restart"/>
          </w:tcPr>
          <w:p>
            <w:pPr>
              <w:spacing w:after="0"/>
              <w:rPr>
                <w:sz w:val="12"/>
                <w:szCs w:val="12"/>
                <w:color w:val="auto"/>
              </w:rPr>
            </w:pPr>
          </w:p>
        </w:tc>
        <w:tc>
          <w:tcPr>
            <w:tcW w:w="1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(4)</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8"/>
        </w:trPr>
        <w:tc>
          <w:tcPr>
            <w:tcW w:w="1260" w:type="dxa"/>
            <w:vAlign w:val="bottom"/>
            <w:tcBorders>
              <w:bottom w:val="single" w:sz="8" w:color="auto"/>
            </w:tcBorders>
            <w:vMerge w:val="continue"/>
          </w:tcPr>
          <w:p>
            <w:pPr>
              <w:spacing w:after="0"/>
              <w:rPr>
                <w:sz w:val="14"/>
                <w:szCs w:val="14"/>
                <w:color w:val="auto"/>
              </w:rPr>
            </w:pPr>
          </w:p>
        </w:tc>
        <w:tc>
          <w:tcPr>
            <w:tcW w:w="5940" w:type="dxa"/>
            <w:vAlign w:val="bottom"/>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2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owned</w:t>
            </w:r>
          </w:p>
        </w:tc>
        <w:tc>
          <w:tcPr>
            <w:tcW w:w="9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90"/>
        </w:trPr>
        <w:tc>
          <w:tcPr>
            <w:tcW w:w="7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13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88,971</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11,043</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102,358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113,482</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499,475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1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40,294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Record/Beneficial</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855,623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Investment Corporation,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38" w:lineRule="exact"/>
        <w:rPr>
          <w:rFonts w:ascii="Arial" w:cs="Arial" w:eastAsia="Arial" w:hAnsi="Arial"/>
          <w:sz w:val="16"/>
          <w:szCs w:val="16"/>
          <w:color w:val="auto"/>
        </w:rPr>
      </w:pPr>
    </w:p>
    <w:p>
      <w:pPr>
        <w:ind w:left="460" w:right="30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68,235 shares held by JAM Investments, LLC.</w:t>
      </w:r>
    </w:p>
    <w:p>
      <w:pPr>
        <w:ind w:left="460" w:right="4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309,791 shares held by PennantPark Investment Advisers, LLC.</w:t>
      </w: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8"/>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December 2, 2011. Information as to the beneficial ownerships is based on information furnished to us by such persons. We are not part of a “family of investment companies,” as that term is defined in the 1940 Act.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1480" w:type="dxa"/>
            <w:vAlign w:val="bottom"/>
          </w:tcPr>
          <w:p>
            <w:pPr>
              <w:spacing w:after="0"/>
              <w:rPr>
                <w:sz w:val="22"/>
                <w:szCs w:val="22"/>
                <w:color w:val="auto"/>
              </w:rPr>
            </w:pPr>
          </w:p>
        </w:tc>
        <w:tc>
          <w:tcPr>
            <w:tcW w:w="3780" w:type="dxa"/>
            <w:vAlign w:val="bottom"/>
            <w:gridSpan w:val="6"/>
          </w:tcPr>
          <w:p>
            <w:pPr>
              <w:jc w:val="center"/>
              <w:ind w:left="154"/>
              <w:spacing w:after="0"/>
              <w:rPr>
                <w:sz w:val="20"/>
                <w:szCs w:val="20"/>
                <w:color w:val="auto"/>
              </w:rPr>
            </w:pPr>
            <w:r>
              <w:rPr>
                <w:rFonts w:ascii="Arial" w:cs="Arial" w:eastAsia="Arial" w:hAnsi="Arial"/>
                <w:sz w:val="14"/>
                <w:szCs w:val="14"/>
                <w:b w:val="1"/>
                <w:bCs w:val="1"/>
                <w:color w:val="auto"/>
                <w:w w:val="86"/>
              </w:rPr>
              <w:t>Dollar Range of the Common Stock of the Companies</w:t>
            </w:r>
            <w:r>
              <w:rPr>
                <w:rFonts w:ascii="Arial" w:cs="Arial" w:eastAsia="Arial" w:hAnsi="Arial"/>
                <w:sz w:val="22"/>
                <w:szCs w:val="22"/>
                <w:b w:val="1"/>
                <w:bCs w:val="1"/>
                <w:color w:val="auto"/>
                <w:w w:val="86"/>
                <w:vertAlign w:val="superscript"/>
              </w:rPr>
              <w:t>(1)</w:t>
            </w:r>
          </w:p>
        </w:tc>
        <w:tc>
          <w:tcPr>
            <w:tcW w:w="10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136"/>
        </w:trPr>
        <w:tc>
          <w:tcPr>
            <w:tcW w:w="560" w:type="dxa"/>
            <w:vAlign w:val="bottom"/>
            <w:tcBorders>
              <w:top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2400" w:type="dxa"/>
            <w:vAlign w:val="bottom"/>
            <w:tcBorders>
              <w:top w:val="single" w:sz="8" w:color="auto"/>
            </w:tcBorders>
            <w:gridSpan w:val="3"/>
          </w:tcPr>
          <w:p>
            <w:pPr>
              <w:ind w:left="360"/>
              <w:spacing w:after="0" w:line="136" w:lineRule="exact"/>
              <w:rPr>
                <w:sz w:val="20"/>
                <w:szCs w:val="20"/>
                <w:color w:val="auto"/>
              </w:rPr>
            </w:pPr>
            <w:r>
              <w:rPr>
                <w:rFonts w:ascii="Arial" w:cs="Arial" w:eastAsia="Arial" w:hAnsi="Arial"/>
                <w:sz w:val="14"/>
                <w:szCs w:val="14"/>
                <w:b w:val="1"/>
                <w:bCs w:val="1"/>
                <w:color w:val="auto"/>
              </w:rPr>
              <w:t>PennantPark Investment</w:t>
            </w:r>
          </w:p>
        </w:tc>
        <w:tc>
          <w:tcPr>
            <w:tcW w:w="2860" w:type="dxa"/>
            <w:vAlign w:val="bottom"/>
            <w:tcBorders>
              <w:top w:val="single" w:sz="8" w:color="auto"/>
            </w:tcBorders>
            <w:gridSpan w:val="4"/>
          </w:tcPr>
          <w:p>
            <w:pPr>
              <w:jc w:val="center"/>
              <w:ind w:right="660"/>
              <w:spacing w:after="0" w:line="136" w:lineRule="exact"/>
              <w:rPr>
                <w:sz w:val="20"/>
                <w:szCs w:val="20"/>
                <w:color w:val="auto"/>
              </w:rPr>
            </w:pPr>
            <w:r>
              <w:rPr>
                <w:rFonts w:ascii="Arial" w:cs="Arial" w:eastAsia="Arial" w:hAnsi="Arial"/>
                <w:sz w:val="14"/>
                <w:szCs w:val="14"/>
                <w:b w:val="1"/>
                <w:bCs w:val="1"/>
                <w:color w:val="auto"/>
                <w:w w:val="88"/>
              </w:rPr>
              <w:t>PennantPark Floating</w:t>
            </w:r>
          </w:p>
        </w:tc>
        <w:tc>
          <w:tcPr>
            <w:tcW w:w="10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r>
      <w:tr>
        <w:trPr>
          <w:trHeight w:val="174"/>
        </w:trPr>
        <w:tc>
          <w:tcPr>
            <w:tcW w:w="5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Corporation</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0"/>
              </w:rPr>
              <w:t>Rate Capital Ltd.</w:t>
            </w:r>
          </w:p>
        </w:tc>
        <w:tc>
          <w:tcPr>
            <w:tcW w:w="100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5"/>
                <w:szCs w:val="15"/>
                <w:color w:val="auto"/>
              </w:rPr>
            </w:pPr>
          </w:p>
        </w:tc>
      </w:tr>
      <w:tr>
        <w:trPr>
          <w:trHeight w:val="197"/>
        </w:trPr>
        <w:tc>
          <w:tcPr>
            <w:tcW w:w="44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4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480" w:type="dxa"/>
            <w:vAlign w:val="bottom"/>
          </w:tcPr>
          <w:p>
            <w:pPr>
              <w:jc w:val="right"/>
              <w:spacing w:after="0"/>
              <w:rPr>
                <w:sz w:val="20"/>
                <w:szCs w:val="20"/>
                <w:color w:val="auto"/>
              </w:rPr>
            </w:pPr>
            <w:r>
              <w:rPr>
                <w:rFonts w:ascii="Arial" w:cs="Arial" w:eastAsia="Arial" w:hAnsi="Arial"/>
                <w:sz w:val="18"/>
                <w:szCs w:val="18"/>
                <w:color w:val="auto"/>
              </w:rPr>
              <w:t>$500,001–$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1,000,000</w:t>
            </w:r>
          </w:p>
        </w:tc>
        <w:tc>
          <w:tcPr>
            <w:tcW w:w="2860" w:type="dxa"/>
            <w:vAlign w:val="bottom"/>
            <w:gridSpan w:val="4"/>
          </w:tcPr>
          <w:p>
            <w:pPr>
              <w:jc w:val="right"/>
              <w:ind w:right="680"/>
              <w:spacing w:after="0"/>
              <w:rPr>
                <w:sz w:val="20"/>
                <w:szCs w:val="20"/>
                <w:color w:val="auto"/>
              </w:rPr>
            </w:pPr>
            <w:r>
              <w:rPr>
                <w:rFonts w:ascii="Arial" w:cs="Arial" w:eastAsia="Arial" w:hAnsi="Arial"/>
                <w:sz w:val="18"/>
                <w:szCs w:val="18"/>
                <w:color w:val="auto"/>
              </w:rPr>
              <w:t>$ 50,001–$100,000</w:t>
            </w:r>
          </w:p>
        </w:tc>
        <w:tc>
          <w:tcPr>
            <w:tcW w:w="1000" w:type="dxa"/>
            <w:vAlign w:val="bottom"/>
          </w:tcPr>
          <w:p>
            <w:pPr>
              <w:jc w:val="right"/>
              <w:spacing w:after="0"/>
              <w:rPr>
                <w:sz w:val="20"/>
                <w:szCs w:val="20"/>
                <w:color w:val="auto"/>
              </w:rPr>
            </w:pPr>
            <w:r>
              <w:rPr>
                <w:rFonts w:ascii="Arial" w:cs="Arial" w:eastAsia="Arial" w:hAnsi="Arial"/>
                <w:sz w:val="18"/>
                <w:szCs w:val="18"/>
                <w:color w:val="auto"/>
              </w:rPr>
              <w:t>$500,001–$</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480" w:type="dxa"/>
            <w:vAlign w:val="bottom"/>
          </w:tcPr>
          <w:p>
            <w:pPr>
              <w:jc w:val="right"/>
              <w:spacing w:after="0"/>
              <w:rPr>
                <w:sz w:val="20"/>
                <w:szCs w:val="20"/>
                <w:color w:val="auto"/>
              </w:rPr>
            </w:pPr>
            <w:r>
              <w:rPr>
                <w:rFonts w:ascii="Arial" w:cs="Arial" w:eastAsia="Arial" w:hAnsi="Arial"/>
                <w:sz w:val="18"/>
                <w:szCs w:val="18"/>
                <w:color w:val="auto"/>
              </w:rPr>
              <w:t>Over $</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1,000,000</w:t>
            </w:r>
          </w:p>
        </w:tc>
        <w:tc>
          <w:tcPr>
            <w:tcW w:w="940" w:type="dxa"/>
            <w:vAlign w:val="bottom"/>
          </w:tcPr>
          <w:p>
            <w:pPr>
              <w:spacing w:after="0"/>
              <w:rPr>
                <w:sz w:val="18"/>
                <w:szCs w:val="18"/>
                <w:color w:val="auto"/>
              </w:rPr>
            </w:pPr>
          </w:p>
        </w:tc>
        <w:tc>
          <w:tcPr>
            <w:tcW w:w="1920" w:type="dxa"/>
            <w:vAlign w:val="bottom"/>
            <w:gridSpan w:val="3"/>
          </w:tcPr>
          <w:p>
            <w:pPr>
              <w:ind w:left="860"/>
              <w:spacing w:after="0"/>
              <w:rPr>
                <w:sz w:val="20"/>
                <w:szCs w:val="20"/>
                <w:color w:val="auto"/>
              </w:rPr>
            </w:pPr>
            <w:r>
              <w:rPr>
                <w:rFonts w:ascii="Arial" w:cs="Arial" w:eastAsia="Arial" w:hAnsi="Arial"/>
                <w:sz w:val="18"/>
                <w:szCs w:val="18"/>
                <w:color w:val="auto"/>
              </w:rPr>
              <w:t>None</w:t>
            </w:r>
          </w:p>
        </w:tc>
        <w:tc>
          <w:tcPr>
            <w:tcW w:w="1000" w:type="dxa"/>
            <w:vAlign w:val="bottom"/>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286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$100,001–$500,000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1–$ 10,000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r>
      <w:tr>
        <w:trPr>
          <w:trHeight w:val="32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8"/>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Jose A. Briones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4460" w:type="dxa"/>
            <w:vAlign w:val="bottom"/>
            <w:gridSpan w:val="2"/>
          </w:tcPr>
          <w:p>
            <w:pPr>
              <w:ind w:left="440"/>
              <w:spacing w:after="0"/>
              <w:rPr>
                <w:sz w:val="20"/>
                <w:szCs w:val="20"/>
                <w:color w:val="auto"/>
              </w:rPr>
            </w:pPr>
            <w:r>
              <w:rPr>
                <w:rFonts w:ascii="Arial" w:cs="Arial" w:eastAsia="Arial" w:hAnsi="Arial"/>
                <w:sz w:val="18"/>
                <w:szCs w:val="18"/>
                <w:color w:val="auto"/>
              </w:rPr>
              <w:t>Salvatore Giannetti III</w:t>
            </w:r>
          </w:p>
        </w:tc>
        <w:tc>
          <w:tcPr>
            <w:tcW w:w="1480" w:type="dxa"/>
            <w:vAlign w:val="bottom"/>
          </w:tcPr>
          <w:p>
            <w:pPr>
              <w:jc w:val="right"/>
              <w:spacing w:after="0"/>
              <w:rPr>
                <w:sz w:val="20"/>
                <w:szCs w:val="20"/>
                <w:color w:val="auto"/>
              </w:rPr>
            </w:pPr>
            <w:r>
              <w:rPr>
                <w:rFonts w:ascii="Arial" w:cs="Arial" w:eastAsia="Arial" w:hAnsi="Arial"/>
                <w:sz w:val="18"/>
                <w:szCs w:val="18"/>
                <w:color w:val="auto"/>
              </w:rPr>
              <w:t>$100,001–$</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680"/>
              <w:spacing w:after="0"/>
              <w:rPr>
                <w:sz w:val="20"/>
                <w:szCs w:val="20"/>
                <w:color w:val="auto"/>
              </w:rPr>
            </w:pPr>
            <w:r>
              <w:rPr>
                <w:rFonts w:ascii="Arial" w:cs="Arial" w:eastAsia="Arial" w:hAnsi="Arial"/>
                <w:sz w:val="18"/>
                <w:szCs w:val="18"/>
                <w:color w:val="auto"/>
                <w:w w:val="90"/>
              </w:rPr>
              <w:t>10,001–$ 50,000</w:t>
            </w:r>
          </w:p>
        </w:tc>
        <w:tc>
          <w:tcPr>
            <w:tcW w:w="1000" w:type="dxa"/>
            <w:vAlign w:val="bottom"/>
          </w:tcPr>
          <w:p>
            <w:pPr>
              <w:jc w:val="right"/>
              <w:spacing w:after="0"/>
              <w:rPr>
                <w:sz w:val="20"/>
                <w:szCs w:val="20"/>
                <w:color w:val="auto"/>
              </w:rPr>
            </w:pPr>
            <w:r>
              <w:rPr>
                <w:rFonts w:ascii="Arial" w:cs="Arial" w:eastAsia="Arial" w:hAnsi="Arial"/>
                <w:sz w:val="18"/>
                <w:szCs w:val="18"/>
                <w:color w:val="auto"/>
              </w:rPr>
              <w:t>$100,001–$</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16"/>
        </w:trPr>
        <w:tc>
          <w:tcPr>
            <w:tcW w:w="4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 Whitridge Williams, Jr.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0"/>
              </w:rPr>
              <w:t>10,001–$ 50,000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700" w:hanging="452"/>
        <w:spacing w:after="0" w:line="254"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Dollar ranges are as follows: None; $1 – $10,000; $10,001 – $50,000; $50,001 – $100,000; $100,001 – $500,000; $500,001 – $1,000,000; or over $1,000,000.</w:t>
      </w: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PennantPark Investment. Mr. Penn, our Chairman and Chief Executive Officer, is the managing member and a senior investment professional of, and has a financial and controlling interests in PennantPark Investment Advisers. PennantPark Investment, through the Investment Adviser, manages day-to-day operations of and provides investment advisory services to SBIC LP under its investment management agreement. The SBIC LP investment management agreement does not affect the management or incentive fees that we pay to the Investment Adviser on a consolidated basis. Under the terms of our Investment Management Agreement, PennantPark Investment Advisers:</w:t>
      </w:r>
    </w:p>
    <w:p>
      <w:pPr>
        <w:spacing w:after="0" w:line="37"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113"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Investment, consisting of two components-a base management fee and an incentive fee (collectively,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base management fee is calculated at an annual rate of 2.00% of our gross assets (net of U.S. Treasury Bills and/or temporary draws on the Credit Facility or “average adjusted gross assets,” if any). Our base management fee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Base investment advisory fees for any partial month or quarter are appropriately prorated. For the fiscal years ended September 30, 2011, 2010 and 2009, the Investment Adviser earned base management fees, after fee waivers, if any, of $14.9 million, $11.6 million and $7.7 million, respectively,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payable under our Administration Agreement, and any interest expense and distributions paid on any issued and outstanding preferred stock, but excluding the incentive fee). Pre-Incentive Fee Net Investment Income includes, in the case of investments with a deferred interest feature (such as original issue discount, debt instruments with pay in kind interest and zero coupon securities), accrued income that we have not yet received in cash. Pre-Incentive Fee Net Investment Income does not include any realized capital gains, realized capital losses or unrealized capital appreciation or depreciation. Pre-Incentive Fee Net Investment Income, expressed as a rate of return on the value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of our net assets at the end of the immediately preceding calendar quarter, will be compared to a hurdle of 1.75% per quarter (7.00% annualized). We have agreed to pay PennantPark Investment Advisers an incentive fee with respect to our Pre-Incentive Fee Net Investment Income in each calendar quarter as follows: (1) no incentive fee in any calendar quarter in which PennantPark Investment’s Pre-Incentive Fee Net Income does not exceed the hurdle rate of 1.75%, (2) 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The “catch-up”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is payable to our Investment Adviser (once the hurdle is reached and the catch-up is achieved, 20% of all Pre-Incentive Fee Investment Income thereafter is allocated to our Investment Adviser). These calculations are appropriately prorated and adjusted for any share issuances or repurchases during the current quarter.</w:t>
      </w:r>
    </w:p>
    <w:p>
      <w:pPr>
        <w:spacing w:after="0" w:line="1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following is a graphical representation of calculation of quarterly incentive fee based on Net Investment Income</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i w:val="1"/>
          <w:iCs w:val="1"/>
          <w:color w:val="auto"/>
        </w:rPr>
        <w:t>Pre-incentive fee net investment income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238760</wp:posOffset>
            </wp:positionV>
            <wp:extent cx="2470150" cy="4718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47015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advisory and management agreement, as of the termination date), commencing on December 31, 2007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2011, 2010 and 2009, the Investment Adviser earned incentive fees of $13.2 million, $8.0 million and $5.7 million, respectively. For the fiscal years ended September 30, 2011, 2010 and 2009 our unrealized capital gains did not exceed our cumulative realized and unrealized capital losses.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etc.)(3) = 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right="4220"/>
        <w:spacing w:after="0" w:line="431" w:lineRule="auto"/>
        <w:rPr>
          <w:sz w:val="20"/>
          <w:szCs w:val="20"/>
          <w:color w:val="auto"/>
        </w:rPr>
      </w:pPr>
      <w:r>
        <w:rPr>
          <w:rFonts w:ascii="Arial" w:cs="Arial" w:eastAsia="Arial" w:hAnsi="Arial"/>
          <w:sz w:val="16"/>
          <w:szCs w:val="16"/>
          <w:color w:val="auto"/>
        </w:rPr>
        <w:t>(investment income—(base management fee + other expenses)) = 0.55% Pre-incentive net investment income does not exceed hurdle; therefore there is no incentive fee.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12" w:lineRule="exact"/>
        <w:rPr>
          <w:sz w:val="20"/>
          <w:szCs w:val="20"/>
          <w:color w:val="auto"/>
        </w:rPr>
      </w:pPr>
    </w:p>
    <w:p>
      <w:pPr>
        <w:jc w:val="right"/>
        <w:ind w:right="2559"/>
        <w:spacing w:after="0"/>
        <w:tabs>
          <w:tab w:leader="none" w:pos="608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15" w:lineRule="exact"/>
        <w:rPr>
          <w:sz w:val="20"/>
          <w:szCs w:val="20"/>
          <w:color w:val="auto"/>
        </w:rPr>
      </w:pPr>
    </w:p>
    <w:p>
      <w:pPr>
        <w:ind w:left="2600" w:hanging="134"/>
        <w:spacing w:after="0"/>
        <w:tabs>
          <w:tab w:leader="none" w:pos="2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2.00% - 1.75%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100% X 0.25%</w:t>
      </w:r>
    </w:p>
    <w:p>
      <w:pPr>
        <w:spacing w:after="0" w:line="9" w:lineRule="exact"/>
        <w:rPr>
          <w:rFonts w:ascii="Arial" w:cs="Arial" w:eastAsia="Arial" w:hAnsi="Arial"/>
          <w:sz w:val="18"/>
          <w:szCs w:val="18"/>
          <w:color w:val="auto"/>
        </w:rPr>
      </w:pPr>
    </w:p>
    <w:p>
      <w:pPr>
        <w:ind w:left="2600" w:hanging="134"/>
        <w:spacing w:after="0"/>
        <w:tabs>
          <w:tab w:leader="none" w:pos="2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0.25%</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Hurdle(1)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fee(2) = 0.50%</w:t>
      </w:r>
    </w:p>
    <w:p>
      <w:pPr>
        <w:spacing w:after="0" w:line="90" w:lineRule="exact"/>
        <w:rPr>
          <w:sz w:val="20"/>
          <w:szCs w:val="20"/>
          <w:color w:val="auto"/>
        </w:rPr>
      </w:pPr>
    </w:p>
    <w:p>
      <w:pPr>
        <w:ind w:left="460" w:right="4319"/>
        <w:spacing w:after="0" w:line="344" w:lineRule="auto"/>
        <w:rPr>
          <w:sz w:val="20"/>
          <w:szCs w:val="20"/>
          <w:color w:val="auto"/>
        </w:rPr>
      </w:pPr>
      <w:r>
        <w:rPr>
          <w:rFonts w:ascii="Arial" w:cs="Arial" w:eastAsia="Arial" w:hAnsi="Arial"/>
          <w:sz w:val="18"/>
          <w:szCs w:val="18"/>
          <w:color w:val="auto"/>
        </w:rPr>
        <w:t>Other expenses (legal, accounting, custodian, transfer agent, etc.)(3) = 0.20% 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rPr>
              <w:t>= 20% X Pre-Incentive Fee Net Investment Income, subject to “catch-up”</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w w:val="89"/>
              </w:rPr>
              <w:t>= 100% x “catch-up” + (20% x (Pre-Incentive Fee Net Investment Income – 21875%))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Catch-up</w:t>
            </w: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rPr>
              <w:t>= 21875% - 1.75%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6400" w:type="dxa"/>
            <w:vAlign w:val="bottom"/>
            <w:gridSpan w:val="2"/>
          </w:tcPr>
          <w:p>
            <w:pPr>
              <w:ind w:left="300"/>
              <w:spacing w:after="0"/>
              <w:rPr>
                <w:sz w:val="20"/>
                <w:szCs w:val="20"/>
                <w:color w:val="auto"/>
              </w:rPr>
            </w:pPr>
            <w:r>
              <w:rPr>
                <w:rFonts w:ascii="Arial" w:cs="Arial" w:eastAsia="Arial" w:hAnsi="Arial"/>
                <w:sz w:val="18"/>
                <w:szCs w:val="18"/>
                <w:color w:val="auto"/>
              </w:rPr>
              <w:t>= (100% x 0.4375%) + (20% x (2.30% - 2.1875%))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00" w:type="dxa"/>
            <w:vAlign w:val="bottom"/>
          </w:tcPr>
          <w:p>
            <w:pPr>
              <w:ind w:left="20"/>
              <w:spacing w:after="0"/>
              <w:rPr>
                <w:sz w:val="20"/>
                <w:szCs w:val="20"/>
                <w:color w:val="auto"/>
              </w:rPr>
            </w:pPr>
            <w:r>
              <w:rPr>
                <w:rFonts w:ascii="Arial" w:cs="Arial" w:eastAsia="Arial" w:hAnsi="Arial"/>
                <w:sz w:val="18"/>
                <w:szCs w:val="18"/>
                <w:color w:val="auto"/>
              </w:rPr>
              <w:t>+ (20% x 0.1125%)</w:t>
            </w:r>
          </w:p>
        </w:tc>
      </w:tr>
      <w:tr>
        <w:trPr>
          <w:trHeight w:val="216"/>
        </w:trPr>
        <w:tc>
          <w:tcPr>
            <w:tcW w:w="1240" w:type="dxa"/>
            <w:vAlign w:val="bottom"/>
          </w:tcPr>
          <w:p>
            <w:pPr>
              <w:spacing w:after="0"/>
              <w:rPr>
                <w:sz w:val="18"/>
                <w:szCs w:val="18"/>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w w:val="90"/>
              </w:rPr>
              <w:t>= 0.4375%</w:t>
            </w:r>
          </w:p>
        </w:tc>
        <w:tc>
          <w:tcPr>
            <w:tcW w:w="5300" w:type="dxa"/>
            <w:vAlign w:val="bottom"/>
          </w:tcPr>
          <w:p>
            <w:pPr>
              <w:ind w:left="20"/>
              <w:spacing w:after="0"/>
              <w:rPr>
                <w:sz w:val="20"/>
                <w:szCs w:val="20"/>
                <w:color w:val="auto"/>
              </w:rPr>
            </w:pPr>
            <w:r>
              <w:rPr>
                <w:rFonts w:ascii="Arial" w:cs="Arial" w:eastAsia="Arial" w:hAnsi="Arial"/>
                <w:sz w:val="18"/>
                <w:szCs w:val="18"/>
                <w:color w:val="auto"/>
              </w:rPr>
              <w:t>+ 0.0225%</w:t>
            </w:r>
          </w:p>
        </w:tc>
      </w:tr>
      <w:tr>
        <w:trPr>
          <w:trHeight w:val="222"/>
        </w:trPr>
        <w:tc>
          <w:tcPr>
            <w:tcW w:w="1240" w:type="dxa"/>
            <w:vAlign w:val="bottom"/>
          </w:tcPr>
          <w:p>
            <w:pPr>
              <w:spacing w:after="0"/>
              <w:rPr>
                <w:sz w:val="19"/>
                <w:szCs w:val="19"/>
                <w:color w:val="auto"/>
              </w:rPr>
            </w:pPr>
          </w:p>
        </w:tc>
        <w:tc>
          <w:tcPr>
            <w:tcW w:w="1100" w:type="dxa"/>
            <w:vAlign w:val="bottom"/>
          </w:tcPr>
          <w:p>
            <w:pPr>
              <w:ind w:left="300"/>
              <w:spacing w:after="0"/>
              <w:rPr>
                <w:sz w:val="20"/>
                <w:szCs w:val="20"/>
                <w:color w:val="auto"/>
              </w:rPr>
            </w:pPr>
            <w:r>
              <w:rPr>
                <w:rFonts w:ascii="Arial" w:cs="Arial" w:eastAsia="Arial" w:hAnsi="Arial"/>
                <w:sz w:val="18"/>
                <w:szCs w:val="18"/>
                <w:color w:val="auto"/>
              </w:rPr>
              <w:t>= 0.46%</w:t>
            </w:r>
          </w:p>
        </w:tc>
        <w:tc>
          <w:tcPr>
            <w:tcW w:w="5300" w:type="dxa"/>
            <w:vAlign w:val="bottom"/>
          </w:tcPr>
          <w:p>
            <w:pPr>
              <w:spacing w:after="0"/>
              <w:rPr>
                <w:sz w:val="19"/>
                <w:szCs w:val="19"/>
                <w:color w:val="auto"/>
              </w:rPr>
            </w:pPr>
          </w:p>
        </w:tc>
      </w:tr>
      <w:tr>
        <w:trPr>
          <w:trHeight w:val="365"/>
        </w:trPr>
        <w:tc>
          <w:tcPr>
            <w:tcW w:w="1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300" w:type="dxa"/>
            <w:vAlign w:val="bottom"/>
          </w:tcPr>
          <w:p>
            <w:pPr>
              <w:jc w:val="right"/>
              <w:ind w:right="2672"/>
              <w:spacing w:after="0"/>
              <w:rPr>
                <w:sz w:val="20"/>
                <w:szCs w:val="20"/>
                <w:color w:val="auto"/>
              </w:rPr>
            </w:pPr>
            <w:r>
              <w:rPr>
                <w:rFonts w:ascii="Arial" w:cs="Arial" w:eastAsia="Arial" w:hAnsi="Arial"/>
                <w:sz w:val="18"/>
                <w:szCs w:val="18"/>
                <w:color w:val="auto"/>
              </w:rPr>
              <w:t>87</w:t>
            </w:r>
          </w:p>
        </w:tc>
      </w:tr>
    </w:tbl>
    <w:p>
      <w:pPr>
        <w:sectPr>
          <w:pgSz w:w="11900" w:h="16838" w:orient="portrait"/>
          <w:cols w:equalWidth="0" w:num="1">
            <w:col w:w="10219"/>
          </w:cols>
          <w:pgMar w:left="240" w:top="460" w:right="1440"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90"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400"/>
          </w:cols>
          <w:pgMar w:left="240" w:top="460" w:right="259" w:bottom="1440" w:gutter="0" w:footer="0" w:header="0"/>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1 incentive fee</w:t>
      </w:r>
    </w:p>
    <w:p>
      <w:pPr>
        <w:spacing w:after="0" w:line="200" w:lineRule="exact"/>
        <w:rPr>
          <w:sz w:val="20"/>
          <w:szCs w:val="20"/>
          <w:color w:val="auto"/>
        </w:rPr>
      </w:pPr>
    </w:p>
    <w:p>
      <w:pPr>
        <w:spacing w:after="0" w:line="27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Year 2 incentive fee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20% x (0)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no incentive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20% x (6% -1%)</w:t>
      </w:r>
    </w:p>
    <w:p>
      <w:pPr>
        <w:spacing w:after="0" w:line="32" w:lineRule="exact"/>
        <w:rPr>
          <w:sz w:val="20"/>
          <w:szCs w:val="20"/>
          <w:color w:val="auto"/>
        </w:rPr>
      </w:pPr>
    </w:p>
    <w:p>
      <w:pPr>
        <w:sectPr>
          <w:pgSz w:w="11900" w:h="16838" w:orient="portrait"/>
          <w:cols w:equalWidth="0" w:num="2">
            <w:col w:w="2160" w:space="720"/>
            <w:col w:w="8520"/>
          </w:cols>
          <w:pgMar w:left="240" w:top="460" w:right="259" w:bottom="1440" w:gutter="0" w:footer="0" w:header="0"/>
          <w:type w:val="continuous"/>
        </w:sectPr>
      </w:pPr>
    </w:p>
    <w:p>
      <w:pPr>
        <w:ind w:left="3020" w:hanging="135"/>
        <w:spacing w:after="0"/>
        <w:tabs>
          <w:tab w:leader="none" w:pos="30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20% x 5%</w:t>
      </w:r>
    </w:p>
    <w:p>
      <w:pPr>
        <w:spacing w:after="0" w:line="9" w:lineRule="exact"/>
        <w:rPr>
          <w:rFonts w:ascii="Arial" w:cs="Arial" w:eastAsia="Arial" w:hAnsi="Arial"/>
          <w:sz w:val="18"/>
          <w:szCs w:val="18"/>
          <w:color w:val="auto"/>
        </w:rPr>
      </w:pPr>
    </w:p>
    <w:p>
      <w:pPr>
        <w:ind w:left="3020" w:hanging="135"/>
        <w:spacing w:after="0"/>
        <w:tabs>
          <w:tab w:leader="none" w:pos="30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1%</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right="260" w:hanging="452"/>
        <w:spacing w:after="0" w:line="281"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2.0% annualized base management fee. Although the management fee is 2.00% of our average adjusted gross assets, the Investment Adviser agreed to waive a portion of the base management fee such that the base management fee equaled 1.50% from the consummation of the initial public offering through September 30, 2007, 1.75% from October 1, 2007 through March 31, 2008, and 2.00% thereafter.</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Advisers Act of 1940. The principal executive office of PennantPark Investment Advisers is located at 590 Madison Avenue, 15th Floor, New York, NY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PennantPark Investment, through the Administrator, provides similar services to SBIC LP under its administration agreement.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fiscal years ended September 30, 2011, 2010 and 2009, the Investment Adviser and Administrator were reimbursed $2.6 million, $2.1 million and $1.7 million, respectively.</w:t>
      </w:r>
    </w:p>
    <w:p>
      <w:pPr>
        <w:spacing w:after="0" w:line="1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PennantPark Investment entered into an administration agreement with its controlled affiliate, SuttonPark Holdings, Inc. and its subsidiaries (“SPH”). Under the administration agreement with SPH, or the SPH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60" w:right="25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respective staff. For the fiscal years ended September 30, 2011 and 2010, PennantPark Investment was reimbursed $0.5 million and $0.1 million, respectively, from SPH expenses it incurred on behalf of the Administrator for the services described above.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PennantPark Investment, in February 2011. Unless terminated earlier as described below, our Investment Management Agreement will continue in effect for a period of one year through February 2012. It will remain in effect if approved annually by our board of directors, or by the affirmative vote of the holders of a majority of our outstanding voting securities, including, in either case, approval by a majority of our directors who are not interested persons. In considering whether to re-approve the Investment Management Agreement, the board requests information from the Investment Adviser that enables it to evaluate a number of factors relevant to its determination. These factors include the nature, quality and extent of services performed by the Investment Adviser, our ability to effectively manage conflicts of interest, our short and long-term performance, our costs and profitability and any economies of scale.</w:t>
      </w:r>
    </w:p>
    <w:p>
      <w:pPr>
        <w:spacing w:after="0" w:line="118"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PennantPark Investment Advisers’ key personnel for our future success, and if we are unable to hire and retain qualified personnel or if we lose any member of our management team, our ability to achieve our investment objectives could be significantly harmed” for more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As a business development company,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First lien secured debt, subordinated debt and other debt investments with maturities greater than 60 days generally are valued by an independent pricing service or at the bid prices from at least two broker/dealers (if available, otherwise by a principal market maker or a primary market dealer). Investments, of sufficient credit quality, purchased within 60 days of maturity are valued at cost plus accreted discount, or minus amortized premium, which approximates value.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fair value of our investments may differ significantly from the values that would have been used had a readily available market value existed for such investments, and the differences could be material. See Note 5 to the Consolidated Financial Statements.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 reviews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at the reporting period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will be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446"/>
        <w:spacing w:after="0" w:line="306"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and we may undertake such an offering. See “Sales Of Common Stock Below Net Asset Value” for more information.</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net asset value of the common stock if our board of directors determines that such sale is in our best interests and the best interests of our common stockholders. In any such case, the price at which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4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P.O. Box 922, Wall Street Station, New York, New York 10269, or by the plan administrator’s Interactive Voice Response System at 1-888-777-0324.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of September 30, 2011,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last reported closing market price of our common stock on December 16, 2011 was $10.16 per share. As of September 30, 2011, we had 13 stockholders of record.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September 30,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Amount Held by</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89"/>
              </w:rPr>
              <w:t>Title of Class</w:t>
            </w:r>
          </w:p>
        </w:tc>
        <w:tc>
          <w:tcPr>
            <w:tcW w:w="6400" w:type="dxa"/>
            <w:vAlign w:val="bottom"/>
            <w:vMerge w:val="restart"/>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Amount</w:t>
            </w:r>
          </w:p>
        </w:tc>
        <w:tc>
          <w:tcPr>
            <w:tcW w:w="16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Us or for Our</w:t>
            </w: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6400" w:type="dxa"/>
            <w:vAlign w:val="bottom"/>
            <w:vMerge w:val="continue"/>
          </w:tcPr>
          <w:p>
            <w:pPr>
              <w:spacing w:after="0"/>
              <w:rPr>
                <w:sz w:val="14"/>
                <w:szCs w:val="14"/>
                <w:color w:val="auto"/>
              </w:rPr>
            </w:pPr>
          </w:p>
        </w:tc>
        <w:tc>
          <w:tcPr>
            <w:tcW w:w="166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7"/>
              </w:rPr>
              <w:t>Authorized</w:t>
            </w:r>
          </w:p>
        </w:tc>
        <w:tc>
          <w:tcPr>
            <w:tcW w:w="1620" w:type="dxa"/>
            <w:vAlign w:val="bottom"/>
            <w:gridSpan w:val="2"/>
          </w:tcPr>
          <w:p>
            <w:pPr>
              <w:jc w:val="center"/>
              <w:ind w:right="620"/>
              <w:spacing w:after="0" w:line="148" w:lineRule="exact"/>
              <w:rPr>
                <w:sz w:val="20"/>
                <w:szCs w:val="20"/>
                <w:color w:val="auto"/>
              </w:rPr>
            </w:pPr>
            <w:r>
              <w:rPr>
                <w:rFonts w:ascii="Arial" w:cs="Arial" w:eastAsia="Arial" w:hAnsi="Arial"/>
                <w:sz w:val="14"/>
                <w:szCs w:val="14"/>
                <w:b w:val="1"/>
                <w:bCs w:val="1"/>
                <w:color w:val="auto"/>
                <w:w w:val="85"/>
              </w:rPr>
              <w:t>Account</w:t>
            </w:r>
          </w:p>
        </w:tc>
        <w:tc>
          <w:tcPr>
            <w:tcW w:w="94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7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 par value $0.001 per share</w:t>
            </w: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100,000,000</w:t>
            </w:r>
          </w:p>
        </w:tc>
        <w:tc>
          <w:tcPr>
            <w:tcW w:w="6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800"/>
              <w:spacing w:after="0" w:line="203" w:lineRule="exact"/>
              <w:rPr>
                <w:sz w:val="20"/>
                <w:szCs w:val="20"/>
                <w:color w:val="auto"/>
              </w:rPr>
            </w:pPr>
            <w:r>
              <w:rPr>
                <w:rFonts w:ascii="Arial" w:cs="Arial" w:eastAsia="Arial" w:hAnsi="Arial"/>
                <w:sz w:val="18"/>
                <w:szCs w:val="18"/>
                <w:color w:val="auto"/>
                <w:w w:val="88"/>
              </w:rPr>
              <w:t>—</w:t>
            </w: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45,689,781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limited liability company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benefits of these provisions outweigh the potential disadvantages of discouraging any such acquisition proposals because, among other things, the negotiation of such proposals may improve their terms.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board of directors is divided into three classes of directors serving staggered three-year terms. The terms of the first, second and third classes will expire in 2014, 2012, and 2013, respectively, and in each case, those directors will serve until their successors are duly elected and qualify. Beginning in 2008, upon expiration of their current terms, directors of each class have been or are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5620" w:right="3580" w:hanging="5166"/>
        <w:spacing w:after="0" w:line="440" w:lineRule="auto"/>
        <w:tabs>
          <w:tab w:leader="none" w:pos="893"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 98</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20"/>
          </w:cols>
          <w:pgMar w:left="240" w:top="460"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60" w:right="2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4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shall expire (subject to any extension);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our asset coverage, as defined in the 1940 Act, equals at least 200% after each issuance of debt, excluding the SBA debentures due to SEC exemptive relief granted June 1, 2011. Unless the prospectus supplement states otherwise, principal (and premium, if any) and interest, if any, will be paid by us in immediately available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60"/>
          </w:cols>
          <w:pgMar w:left="240" w:top="460" w:right="2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62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80" w:hanging="446"/>
        <w:spacing w:after="0" w:line="259"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 w:lineRule="exact"/>
        <w:rPr>
          <w:rFonts w:ascii="Arial" w:cs="Arial" w:eastAsia="Arial" w:hAnsi="Arial"/>
          <w:sz w:val="16"/>
          <w:szCs w:val="16"/>
          <w:color w:val="auto"/>
        </w:rPr>
      </w:pPr>
    </w:p>
    <w:p>
      <w:pPr>
        <w:ind w:left="900" w:right="120" w:hanging="446"/>
        <w:spacing w:after="0" w:line="306"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within five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we do not deposit any sinking fund payment in respect of debt securities of the series on its due date and we do not cure this default within five days;</w:t>
      </w:r>
    </w:p>
    <w:p>
      <w:pPr>
        <w:spacing w:after="0" w:line="113" w:lineRule="exact"/>
        <w:rPr>
          <w:rFonts w:ascii="Arial" w:cs="Arial" w:eastAsia="Arial" w:hAnsi="Arial"/>
          <w:sz w:val="16"/>
          <w:szCs w:val="16"/>
          <w:color w:val="auto"/>
        </w:rPr>
      </w:pPr>
    </w:p>
    <w:p>
      <w:pPr>
        <w:ind w:left="900" w:right="180" w:hanging="446"/>
        <w:spacing w:after="0" w:line="33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66.66%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280" w:hanging="446"/>
        <w:spacing w:after="0" w:line="357" w:lineRule="auto"/>
        <w:tabs>
          <w:tab w:leader="none" w:pos="90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160" w:hanging="446"/>
        <w:spacing w:after="0" w:line="294"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we do not survive such transaction or we convey, transfer or lease our properties and assets substantially as an entirety, the acquiring company must be a corporation, limited liability company, partnership or trust, or other corporate form, organized under the laws of any state of the United States or the District of Columbia, any country comprising the European Union, the United Kingdom or Japan and such company must agree to be legally responsible for our debt securities, and, if not already subject to the jurisdiction of any state of the United States or the District of Columbia, the new company must submit to such jurisdiction for all purposes with respect to the debt securities and appoint an agent for service of process;</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at any time after a change of control has occurred, reduce the premium payable upon a change of control;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13" w:lineRule="exact"/>
        <w:rPr>
          <w:rFonts w:ascii="Arial" w:cs="Arial" w:eastAsia="Arial" w:hAnsi="Arial"/>
          <w:sz w:val="16"/>
          <w:szCs w:val="16"/>
          <w:color w:val="auto"/>
        </w:rPr>
      </w:pPr>
    </w:p>
    <w:p>
      <w:pPr>
        <w:ind w:left="900" w:right="400" w:hanging="446"/>
        <w:spacing w:after="0" w:line="332"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right="10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00" w:hanging="446"/>
        <w:spacing w:after="0" w:line="25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446"/>
        <w:spacing w:after="0" w:line="259"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hanging="446"/>
        <w:spacing w:after="0" w:line="318" w:lineRule="auto"/>
        <w:tabs>
          <w:tab w:leader="none" w:pos="90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60" w:right="2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38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60"/>
          </w:cols>
          <w:pgMar w:left="240" w:top="459" w:right="2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360" w:hanging="446"/>
        <w:spacing w:after="0" w:line="256"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62" w:lineRule="exact"/>
        <w:rPr>
          <w:sz w:val="20"/>
          <w:szCs w:val="20"/>
          <w:color w:val="auto"/>
        </w:rPr>
      </w:pPr>
    </w:p>
    <w:p>
      <w:pPr>
        <w:ind w:left="900" w:right="440" w:hanging="446"/>
        <w:spacing w:after="0" w:line="268"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 unit includes a share of common stock, the public offering price for the unit will reflect a price per share of common stock that equals or exceeds our then current net asset value per share, unless the requirements of Section 63 of the 1940 Act have been satisfied. Section 63 permits us to sell shares of common stock below our then current net asset value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net asset value per share in the 12 months preceding the offering and (3) the offering price closely approximates the market value of the common stock. If the Section 63 requirements are met, the price per share of common stock included in a unit may be below the Company’s then current net asset value per share. See “Sales of Common Stock Below Net Asset Value” for more information.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 (3) the exercise prices is not less than the then current net asset value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Units may also include subscription rights to purchase shares of our common stock. We will not offer transferable subscription rights in a unit providing for subscription at a price below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net asset value per share of our common stock at the time of issuance of the unit (unless the Section 63 requirements are met).</w:t>
      </w:r>
    </w:p>
    <w:p>
      <w:pPr>
        <w:spacing w:after="0" w:line="85"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40" w:hanging="567"/>
        <w:spacing w:after="0" w:line="332" w:lineRule="auto"/>
        <w:tabs>
          <w:tab w:leader="none" w:pos="148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 w:lineRule="exact"/>
        <w:rPr>
          <w:rFonts w:ascii="Arial" w:cs="Arial" w:eastAsia="Arial" w:hAnsi="Arial"/>
          <w:sz w:val="16"/>
          <w:szCs w:val="16"/>
          <w:color w:val="auto"/>
        </w:rPr>
      </w:pPr>
    </w:p>
    <w:p>
      <w:pPr>
        <w:ind w:left="1480" w:right="540" w:hanging="567"/>
        <w:spacing w:after="0" w:line="259" w:lineRule="auto"/>
        <w:tabs>
          <w:tab w:leader="none" w:pos="14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 has any class of securities listed on a national securities exchange subject to a market capitalization maximum of $250.0 million; or is controlled by us which has an affiliated person who is a director of such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0" w:lineRule="exact"/>
        <w:rPr>
          <w:rFonts w:ascii="Arial" w:cs="Arial" w:eastAsia="Arial" w:hAnsi="Arial"/>
          <w:sz w:val="18"/>
          <w:szCs w:val="18"/>
          <w:color w:val="auto"/>
        </w:rPr>
      </w:pPr>
    </w:p>
    <w:p>
      <w:pPr>
        <w:ind w:left="900" w:right="160" w:hanging="446"/>
        <w:spacing w:after="0" w:line="306" w:lineRule="auto"/>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We received exemptive relief from the SEC allowing us to modify the asset coverage requirement to exclude the SBA debentures from the calculation. For a discussion of the risks associated with leverage, see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60" w:right="2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“Risk Factors—Risks Relating to our Business and Structure—Regulations governing our operation as a business development company will affect our ability to, and the way in which we, raise additional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You may also obtain a copy of our joint code of ethics, after paying a duplicating fee, by electronic request at the following email address: publicinfo@sec.gov,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shareholder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You may obtain information about how we voted proxies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filed as an exhibit to our annual report on Form 10-K (File No. 814-00736), filed on November 16, 2011. You may also obtain copies of our privacy policy, after paying a duplicating fee, by electronic request at the following email address: publicinfo@sec.gov,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our board of independent directors and, in some cases, prior approval by the SEC.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460" w:right="2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900" w:right="38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which must be audited by our independent registered public accounting firm; and</w:t>
      </w:r>
    </w:p>
    <w:p>
      <w:pPr>
        <w:spacing w:after="0" w:line="37"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SBIC LP is licensed under the SBA as a SBIC under Section 301(c) of the 1958 Act. SBIC LP received its license in July 2010.</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Small Business Investment Companies are designed to stimulate the flow of capital to businesses that meet specified eligibility requirements discussed below. Under SBA regulations, SBIC LP is subject to regulatory requirements including making investments in SBA eligible businesses, investing at least 25% of regulatory capital in eligible smaller businesses, placing certain limitations on the financing terms of investments, prohibiting investing in certain industries, required capitalization thresholds, and is subject to periodic audits and examinations among other regulations. If SBIC LP subsidiary fails to comply with applicable SBA regulations, the SBA could, depending on the severity of the violation, limit or prohibit its use of debentures, declare outstanding debentures immediately due and payable, and/or limit SBIC LP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SBIC LP subsidiary is our wholly owned subsidiary.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SBIC LP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LP has invested in a company, it may continue to make follow-on investments in the company, regardless of the size of the business, up and until the time a business offers its securities in a public market.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SBA prohibits an SBIC from financing small businesses in certain industries such as relending, gambling, oil and gas exploration and other passive businesses. Additional SBA prohibitions include investing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outside the United States, investing more than 20% of regulatory capital in one company and lending money to any officer, director or employee or to invest in any affiliate thereof. The SBA places certain limits on the financing terms of investments by SBIC LP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SBA also prohibits, without prior written approval, a “change in control” of an SBIC LP or transfers that would result in any person or group owning 10% or more of a class of capital stock (or its equivalent in the case of a partnership) of a licensed Small Business Investment Company. A “change of control” is any event which would result in the transfer of power, direct or indirect, to direct management and policies of a Small Business Investment Company, whether through ownership, contractual arrangements or otherwise.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90" w:lineRule="exact"/>
        <w:rPr>
          <w:sz w:val="20"/>
          <w:szCs w:val="20"/>
          <w:color w:val="auto"/>
        </w:rPr>
      </w:pPr>
    </w:p>
    <w:p>
      <w:pPr>
        <w:ind w:left="900" w:right="240" w:hanging="446"/>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5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SBIC LP may borrow to a maximum of $150 million, which is up to twice its regulatory capital.</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RIC tax benefits, we must, among other requirements, meet certain source-of-income and quarterly asset diversification requirements (as described below). We also must annually distribute dividends of at least 90% of the sum of our ordinary income and realized net short-term capital gains, if any, out of the assets legally available for distribution (the “Annual Distribution Requirement”). Although not required for us to maintain our RIC tax status, in order to preclude the imposition of a 4% nondeductible federal excise tax imposed on RICs, we may distribute during each calendar year an amount at least equal to the sum of</w:t>
      </w:r>
    </w:p>
    <w:p>
      <w:pPr>
        <w:spacing w:after="0" w:line="2" w:lineRule="exact"/>
        <w:rPr>
          <w:sz w:val="20"/>
          <w:szCs w:val="20"/>
          <w:color w:val="auto"/>
        </w:rPr>
      </w:pPr>
    </w:p>
    <w:p>
      <w:pPr>
        <w:ind w:right="20" w:firstLine="8"/>
        <w:spacing w:after="0" w:line="253" w:lineRule="auto"/>
        <w:tabs>
          <w:tab w:leader="none" w:pos="24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98% of our ordinary income for the calendar year, (2) 98.2% of our realized net capital gains for the one-year period ending on October 31 of the calendar year and (3) any ordinary income and net capital gains for preceding years that were not distributed during such years (the “Excise Tax Avoidance Requirement”). In addition, although we may distribute realized net capital gains (i.e., net long-term capital gains in excess of short-term capital losses), if any, at least annually, out of the assets legally available for such distributions, we have retained and may continue to retain such net capital gains or ordinary income to provide us with additional liquidity.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9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distributions, interest, payments with respect to certain securities loans, gains from the sale of stock or other securities, net income from certain qualified publicly traded partnerships or other income derived with respect to our business of investing in such stock or securities (the “90% Income Test”);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80" w:right="380" w:hanging="567"/>
        <w:spacing w:after="0" w:line="259" w:lineRule="auto"/>
        <w:tabs>
          <w:tab w:leader="none" w:pos="1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113"/>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 (the “Diversification Tests”).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(such as debt instruments with pay in kind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Because any original issue discount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In January 2010, the Internal Revenue Service extended a revenue procedure that temporarily allows a RIC to distribute its own stock as a dividend for the purpose of fulfilling its distribution requirements. Pursuant to this revenue procedure, a RIC may treat a distribution of its own stock as a dividend if (1) the stock is publicly traded on an established securities market, (2) the distribution is declared with respect to a taxable year ending on or before December 31, 2011 and</w:t>
      </w:r>
    </w:p>
    <w:p>
      <w:pPr>
        <w:spacing w:after="0" w:line="1" w:lineRule="exact"/>
        <w:rPr>
          <w:sz w:val="20"/>
          <w:szCs w:val="20"/>
          <w:color w:val="auto"/>
        </w:rPr>
      </w:pPr>
    </w:p>
    <w:p>
      <w:pPr>
        <w:ind w:right="20" w:firstLine="8"/>
        <w:spacing w:after="0" w:line="253" w:lineRule="auto"/>
        <w:tabs>
          <w:tab w:leader="none" w:pos="24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shareholder may elect to receive his or her entire distribution in either cash or stock of the RIC subject to a limitation on the aggregate amount of cash to be distributed to all shareholders, which must be at least 10% of the aggregate declared distribution. If too many shareholders elect to receive cash, each shareholder electing to receive cash will receive a pro rata amount of cash (with the balance of the distribution paid in stock). In no event will any shareholder electing to receive cash receive less than 10% of his or her entire distribution in cash. We have not elected to distribute stock as a dividend but reserve the right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we are unable to maintain our status as a RIC, we would be subject to tax on all of our taxable income at regular corporate rates. We would not be able to deduct distributions to stockholders, nor would they be required to be made. Distributions would generally be taxable to our stockholders as ordinary distribution income eligible for the 15% maximum rate to the extent of our current and accumulated earnings and profits. Subject to certain limitations under the Code, dividends paid by us to corporate distributees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60" w:right="2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for taxable years beginning before 2013 (but not for taxable years beginning thereafter unless the relevant provisions are extended by legislation),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62"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general, individual U.S. stockholders currently are subject to a maximum federal income tax rate of 15% on their net capital gain (through 2012),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0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15% maximum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(until 2013 when a higher rate may apply)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A Non-U.S. stockholder will also be subject to backup withholding unless the distributions are effectively connected with a U.S. trade or business of the Non-U.S. stockholder, and, if an income tax treaty applies, attributable to a permanent establishment in the United States, in which case the distributions will be subject to federal income tax at the rates applicable to U.S. persons. In that case, a withholding agent will not be required to withhold federal tax if the Non-U.S. stockholder complies with applicable certification and disclosure requirements. Special certification requirements apply to a Non-U.S. stockholder that is a foreign partnership or a foreign trust, and such entities are urged to consult their own tax advisors.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After December 31, 2012, withholding at a rate of 30% on dividends in respect of, and gross proceeds from the sale of, our common stock held by or through certain foreign financial institutions (including investment funds will be required), unless such institution enters into an agreement with the Secretary of the Treasury to report, on an annual basis, information with respect to shares in, and accounts maintained by, the institution to the extent such shares or accounts are held by certain United States persons or by certain non-U.S. entities that are wholly or partially owned by United States persons. Accordingly, the entity through which our common stock is held will affect the determination of whether such withholding is required. Similarly, dividends in respect of, and gross proceeds from the sale of, our common stock held by an investor that is a non-financial non-U.S. entity will be subject to withholding at a rate of 30%, unless such entity either (i) certifies to us that such entity does not have any “substantial United States owners” or (ii) provides certain information regarding the entity’s “substantial United States owners,” which will in turn provide to the Secretary of the Treasury. Non-U.S. stockholders are encouraged to consult with their tax advisers regarding the possible implications of these requirements on their investment in our common stock.</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60"/>
          </w:cols>
          <w:pgMar w:left="240" w:top="460" w:right="2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jc w:val="both"/>
        <w:ind w:right="700" w:firstLine="456"/>
        <w:spacing w:after="0" w:line="259"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BNY Mellon Investment Servicing (US) Inc. (formerly PNC Global Investment Servicing, Inc.), a subsidiary of The Bank of New York Mellon, provides administrative and accounting services to us under a sub-administration and accounting services agreement. The Bank of New York Mellon (successor in interest of PFPC Trust Company) provides custodian services to us pursuant to a custodian services agreement. The principal business address of The Bank of New York Mellon is One Wall Street, New York, NY 10286. American Stock Transfer &amp; Trust Company acts as our transfer agent, distribution paying agent and registrar.</w:t>
      </w:r>
    </w:p>
    <w:p>
      <w:pPr>
        <w:spacing w:after="0" w:line="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 principal business address of American Stock Transfer &amp; Trust Company, LLC is P.O. Box 922, Wall Street Station, New York, New York 10269, telephone number: (800) 937-5449. American Stock Transfer &amp; Trust Company may also serve as trustee for offerings of our debt securities.</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Investment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40"/>
          </w:cols>
          <w:pgMar w:left="240" w:top="460" w:right="3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6160" w:type="dxa"/>
            <w:vAlign w:val="bottom"/>
            <w:gridSpan w:val="9"/>
          </w:tcPr>
          <w:p>
            <w:pPr>
              <w:jc w:val="center"/>
              <w:ind w:right="14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820" w:type="dxa"/>
            <w:vAlign w:val="bottom"/>
          </w:tcPr>
          <w:p>
            <w:pPr>
              <w:spacing w:after="0"/>
              <w:rPr>
                <w:sz w:val="19"/>
                <w:szCs w:val="19"/>
                <w:color w:val="auto"/>
              </w:rPr>
            </w:pPr>
          </w:p>
        </w:tc>
      </w:tr>
      <w:tr>
        <w:trPr>
          <w:trHeight w:val="419"/>
        </w:trPr>
        <w:tc>
          <w:tcPr>
            <w:tcW w:w="9500" w:type="dxa"/>
            <w:vAlign w:val="bottom"/>
            <w:gridSpan w:val="10"/>
          </w:tcPr>
          <w:p>
            <w:pPr>
              <w:spacing w:after="0"/>
              <w:rPr>
                <w:sz w:val="20"/>
                <w:szCs w:val="20"/>
                <w:color w:val="auto"/>
              </w:rPr>
            </w:pPr>
            <w:r>
              <w:rPr>
                <w:rFonts w:ascii="Arial" w:cs="Arial" w:eastAsia="Arial" w:hAnsi="Arial"/>
                <w:sz w:val="18"/>
                <w:szCs w:val="18"/>
                <w:b w:val="1"/>
                <w:bCs w:val="1"/>
                <w:color w:val="auto"/>
              </w:rPr>
              <w:t>PennantPark Investment Corporation and subsidiaries</w:t>
            </w:r>
          </w:p>
        </w:tc>
        <w:tc>
          <w:tcPr>
            <w:tcW w:w="1820" w:type="dxa"/>
            <w:vAlign w:val="bottom"/>
          </w:tcPr>
          <w:p>
            <w:pPr>
              <w:spacing w:after="0"/>
              <w:rPr>
                <w:sz w:val="24"/>
                <w:szCs w:val="24"/>
                <w:color w:val="auto"/>
              </w:rPr>
            </w:pPr>
          </w:p>
        </w:tc>
      </w:tr>
      <w:tr>
        <w:trPr>
          <w:trHeight w:val="324"/>
        </w:trPr>
        <w:tc>
          <w:tcPr>
            <w:tcW w:w="9500" w:type="dxa"/>
            <w:vAlign w:val="bottom"/>
            <w:gridSpan w:val="10"/>
          </w:tcPr>
          <w:p>
            <w:pPr>
              <w:spacing w:after="0"/>
              <w:rPr>
                <w:sz w:val="20"/>
                <w:szCs w:val="20"/>
                <w:color w:val="auto"/>
              </w:rPr>
            </w:pPr>
            <w:r>
              <w:rPr>
                <w:rFonts w:ascii="Arial" w:cs="Arial" w:eastAsia="Arial" w:hAnsi="Arial"/>
                <w:sz w:val="18"/>
                <w:szCs w:val="18"/>
                <w:b w:val="1"/>
                <w:bCs w:val="1"/>
                <w:color w:val="auto"/>
              </w:rPr>
              <w:t>Annual Financial Statements</w:t>
            </w:r>
          </w:p>
        </w:tc>
        <w:tc>
          <w:tcPr>
            <w:tcW w:w="1820" w:type="dxa"/>
            <w:vAlign w:val="bottom"/>
          </w:tcPr>
          <w:p>
            <w:pPr>
              <w:spacing w:after="0"/>
              <w:rPr>
                <w:sz w:val="24"/>
                <w:szCs w:val="24"/>
                <w:color w:val="auto"/>
              </w:rPr>
            </w:pPr>
          </w:p>
        </w:tc>
      </w:tr>
      <w:tr>
        <w:trPr>
          <w:trHeight w:val="286"/>
        </w:trPr>
        <w:tc>
          <w:tcPr>
            <w:tcW w:w="47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22">
              <w:r>
                <w:rPr>
                  <w:rFonts w:ascii="Arial" w:cs="Arial" w:eastAsia="Arial" w:hAnsi="Arial"/>
                  <w:sz w:val="18"/>
                  <w:szCs w:val="18"/>
                  <w:color w:val="0000EE"/>
                  <w:w w:val="89"/>
                </w:rPr>
                <w:t>Management’s Report on Internal Control over Financial Reporting</w:t>
              </w:r>
            </w:hyperlink>
          </w:p>
        </w:tc>
        <w:tc>
          <w:tcPr>
            <w:tcW w:w="4740" w:type="dxa"/>
            <w:vAlign w:val="bottom"/>
            <w:gridSpan w:val="7"/>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Report of Independent Registered Public Accounting Firm</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Report of Independent Registered Public Accounting Firm On Internal Control Over Financial Reporting</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60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225">
              <w:r>
                <w:rPr>
                  <w:rFonts w:ascii="Arial" w:cs="Arial" w:eastAsia="Arial" w:hAnsi="Arial"/>
                  <w:sz w:val="18"/>
                  <w:szCs w:val="18"/>
                  <w:color w:val="0000EE"/>
                  <w:w w:val="87"/>
                </w:rPr>
                <w:t>Consolidated Statements of Assets and Liabilities as of September 30, 2011 and 2010</w:t>
              </w:r>
            </w:hyperlink>
          </w:p>
        </w:tc>
        <w:tc>
          <w:tcPr>
            <w:tcW w:w="1360" w:type="dxa"/>
            <w:vAlign w:val="bottom"/>
            <w:tcBorders>
              <w:top w:val="single" w:sz="8" w:color="0000EE"/>
            </w:tcBorders>
            <w:gridSpan w:val="3"/>
          </w:tcPr>
          <w:p>
            <w:pPr>
              <w:spacing w:after="0"/>
              <w:rPr>
                <w:sz w:val="24"/>
                <w:szCs w:val="24"/>
                <w:color w:val="auto"/>
              </w:rPr>
            </w:pPr>
          </w:p>
        </w:tc>
        <w:tc>
          <w:tcPr>
            <w:tcW w:w="2120" w:type="dxa"/>
            <w:vAlign w:val="bottom"/>
            <w:gridSpan w:val="2"/>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67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226">
              <w:r>
                <w:rPr>
                  <w:rFonts w:ascii="Arial" w:cs="Arial" w:eastAsia="Arial" w:hAnsi="Arial"/>
                  <w:sz w:val="18"/>
                  <w:szCs w:val="18"/>
                  <w:color w:val="0000EE"/>
                  <w:w w:val="86"/>
                </w:rPr>
                <w:t>Consolidated Statements of Operations for the years ended September 30, 2011, 2010 and 2009</w:t>
              </w:r>
            </w:hyperlink>
          </w:p>
        </w:tc>
        <w:tc>
          <w:tcPr>
            <w:tcW w:w="2780" w:type="dxa"/>
            <w:vAlign w:val="bottom"/>
            <w:gridSpan w:val="4"/>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75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27">
              <w:r>
                <w:rPr>
                  <w:rFonts w:ascii="Arial" w:cs="Arial" w:eastAsia="Arial" w:hAnsi="Arial"/>
                  <w:sz w:val="18"/>
                  <w:szCs w:val="18"/>
                  <w:color w:val="0000EE"/>
                  <w:w w:val="87"/>
                </w:rPr>
                <w:t>Consolidated Statements of Changes in Net Assets for the years ended September 30, 2011, 2010 and 2009</w:t>
              </w:r>
            </w:hyperlink>
          </w:p>
        </w:tc>
        <w:tc>
          <w:tcPr>
            <w:tcW w:w="19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228">
              <w:r>
                <w:rPr>
                  <w:rFonts w:ascii="Arial" w:cs="Arial" w:eastAsia="Arial" w:hAnsi="Arial"/>
                  <w:sz w:val="18"/>
                  <w:szCs w:val="18"/>
                  <w:color w:val="0000EE"/>
                </w:rPr>
                <w:t>Consolidated Statements of Cash Flows for the years ended September 30, 2011, 2010 and 2009</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5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233">
              <w:r>
                <w:rPr>
                  <w:rFonts w:ascii="Arial" w:cs="Arial" w:eastAsia="Arial" w:hAnsi="Arial"/>
                  <w:sz w:val="18"/>
                  <w:szCs w:val="18"/>
                  <w:color w:val="0000EE"/>
                  <w:w w:val="86"/>
                </w:rPr>
                <w:t>Consolidated Schedules of Investments as of September 30, 2011 and 2010</w:t>
              </w:r>
            </w:hyperlink>
          </w:p>
        </w:tc>
        <w:tc>
          <w:tcPr>
            <w:tcW w:w="1460" w:type="dxa"/>
            <w:vAlign w:val="bottom"/>
            <w:tcBorders>
              <w:top w:val="single" w:sz="8" w:color="0000EE"/>
            </w:tcBorders>
            <w:gridSpan w:val="3"/>
          </w:tcPr>
          <w:p>
            <w:pPr>
              <w:spacing w:after="0"/>
              <w:rPr>
                <w:sz w:val="24"/>
                <w:szCs w:val="24"/>
                <w:color w:val="auto"/>
              </w:rPr>
            </w:pPr>
          </w:p>
        </w:tc>
        <w:tc>
          <w:tcPr>
            <w:tcW w:w="2740" w:type="dxa"/>
            <w:vAlign w:val="bottom"/>
            <w:gridSpan w:val="3"/>
          </w:tcPr>
          <w:p>
            <w:pPr>
              <w:spacing w:after="0"/>
              <w:rPr>
                <w:sz w:val="24"/>
                <w:szCs w:val="24"/>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304"/>
        </w:trPr>
        <w:tc>
          <w:tcPr>
            <w:tcW w:w="9500" w:type="dxa"/>
            <w:vAlign w:val="bottom"/>
            <w:gridSpan w:val="10"/>
          </w:tcPr>
          <w:p>
            <w:pPr>
              <w:spacing w:after="0"/>
              <w:rPr>
                <w:rFonts w:ascii="Arial" w:cs="Arial" w:eastAsia="Arial" w:hAnsi="Arial"/>
                <w:sz w:val="18"/>
                <w:szCs w:val="18"/>
                <w:color w:val="0000EE"/>
              </w:rPr>
            </w:pPr>
            <w:hyperlink w:anchor="page237">
              <w:r>
                <w:rPr>
                  <w:rFonts w:ascii="Arial" w:cs="Arial" w:eastAsia="Arial" w:hAnsi="Arial"/>
                  <w:sz w:val="18"/>
                  <w:szCs w:val="18"/>
                  <w:color w:val="0000EE"/>
                </w:rPr>
                <w:t>Notes to the Consolidated Financial Statements</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F-17</w:t>
            </w:r>
          </w:p>
        </w:tc>
      </w:tr>
      <w:tr>
        <w:trPr>
          <w:trHeight w:val="383"/>
        </w:trPr>
        <w:tc>
          <w:tcPr>
            <w:tcW w:w="33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0" w:type="dxa"/>
            <w:vAlign w:val="bottom"/>
            <w:gridSpan w:val="6"/>
          </w:tcPr>
          <w:p>
            <w:pPr>
              <w:jc w:val="center"/>
              <w:ind w:right="3360"/>
              <w:spacing w:after="0"/>
              <w:rPr>
                <w:sz w:val="20"/>
                <w:szCs w:val="20"/>
                <w:color w:val="auto"/>
              </w:rPr>
            </w:pPr>
            <w:r>
              <w:rPr>
                <w:rFonts w:ascii="Arial" w:cs="Arial" w:eastAsia="Arial" w:hAnsi="Arial"/>
                <w:sz w:val="18"/>
                <w:szCs w:val="18"/>
                <w:color w:val="auto"/>
                <w:w w:val="88"/>
              </w:rPr>
              <w:t>F-1</w:t>
            </w:r>
          </w:p>
        </w:tc>
        <w:tc>
          <w:tcPr>
            <w:tcW w:w="18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management of PennantPark Investment Corporation and its Subsidiaries, (except where the context suggests otherwise, the terms “we,” “us,” “our” and “PennantPark Investment” refer to PennantPark Investment Corporation and its Subsidiaries), are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2011.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2011,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PennantPark Investment’s independent registered public accounting firm that audited the financial statements has issued an audit report on the effectiveness of our internal control over financial reporting as of September 30, 2011. This report appears on page F-3.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2011 and 2010, and the related consolidated statements of operations, changes in net assets, and cash flows for the years ended September 30, 2011, 2010 and 2009. These consolidated financial statements are the responsibility of the Company’s management. Our responsibility is to express an opinion on these consolidated financial statements based on our audits.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PennantPark Investment Corporation and its Subsidiaries as of September 30, 2011 and 2010, and the results of their operations and their cash flows for the years ended September 30, 2011, 2010 and 2009, in conformity with U.S. generally accepted accounting principles.</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and our report dated November 16, 2011 expressed an 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8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2011,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63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 xml:space="preserve">In our opinion, PennantPark Investment Corporation and its Subsidiaries maintained, in all material respects, effective internal control over financial reporting as of September 30,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2011 and 2010, and the related statements of operations, changes in net assets, and cash flows for the years ended September 30, 2011, 2010 and 2009, and our report dated November 16, 2011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773,375,381</w:t>
            </w:r>
          </w:p>
        </w:tc>
        <w:tc>
          <w:tcPr>
            <w:tcW w:w="44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641,290,626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(cost—$816,078,311 and $631,280,755, respectively)</w:t>
            </w: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Non-controlled, affiliated investments, at fair value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640"/>
              <w:spacing w:after="0"/>
              <w:rPr>
                <w:sz w:val="20"/>
                <w:szCs w:val="20"/>
                <w:color w:val="auto"/>
              </w:rPr>
            </w:pPr>
            <w:r>
              <w:rPr>
                <w:rFonts w:ascii="Arial" w:cs="Arial" w:eastAsia="Arial" w:hAnsi="Arial"/>
                <w:sz w:val="18"/>
                <w:szCs w:val="18"/>
                <w:color w:val="auto"/>
              </w:rPr>
              <w:t>(cost—$36,744,425 and $17,427,648,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40,673,133</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15,433,680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Controlled, affiliated investments, at fair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(cost—$13,500,100 and $8,000,100, respectively)</w:t>
            </w: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13,500,001</w:t>
            </w:r>
          </w:p>
        </w:tc>
        <w:tc>
          <w:tcPr>
            <w:tcW w:w="4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Total of Investments, at fair value (cost—$866,322,836 and $656,708,503, respectively)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827,548,515</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664,724,406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 (See Note 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71,604,519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10,878,236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12,814,096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13,118,967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30,254,774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5,587,977</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928,738,214</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12,336,241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18,572,499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52,785,000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37,132,151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22,203,434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Credit facility payable (cost—$240,900,000 and $233,100,000, respectively), (See Notes 5 and 11)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238,792,125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219,141,125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(cost—$150,000,000 and $14,500,000, respectively), (See Notes 5 and 11)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687,362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215,135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4,008,054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3,286,816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Performance-based incentive fee payable (See Note 3)</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3,773,829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2,239,011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778,757</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466,081,018</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324,918,623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Common stock, 45,689,781 and 36,158,772 shares are issued and outstanding, respectively.</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780" w:type="dxa"/>
            <w:vAlign w:val="bottom"/>
            <w:gridSpan w:val="2"/>
          </w:tcPr>
          <w:p>
            <w:pPr>
              <w:spacing w:after="0"/>
              <w:rPr>
                <w:sz w:val="20"/>
                <w:szCs w:val="20"/>
                <w:color w:val="auto"/>
              </w:rPr>
            </w:pPr>
            <w:r>
              <w:rPr>
                <w:rFonts w:ascii="Arial" w:cs="Arial" w:eastAsia="Arial" w:hAnsi="Arial"/>
                <w:sz w:val="18"/>
                <w:szCs w:val="18"/>
                <w:color w:val="auto"/>
              </w:rPr>
              <w:t>Par value is $0.001 per share and 100,000,000 shares are authorized.</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45,690</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540,603,020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428,675,184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8,326,854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(49,651,922)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(65,911,544)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2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(38,774,321)</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8,015,903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2,107,875</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13,958,875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462,657,196</w:t>
            </w:r>
          </w:p>
        </w:tc>
        <w:tc>
          <w:tcPr>
            <w:tcW w:w="4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386,575,223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928,738,214</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711,493,846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89"/>
              </w:rPr>
              <w:t>Years ended September 30,</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83,632,455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57,467,862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43,613,233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4,726,387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1,069,514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2,217,320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1,392,381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1,162,333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210,000</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investment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91,738,495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60,139,757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45,118,771</w:t>
            </w:r>
          </w:p>
        </w:tc>
        <w:tc>
          <w:tcPr>
            <w:tcW w:w="0" w:type="dxa"/>
            <w:vAlign w:val="bottom"/>
          </w:tcPr>
          <w:p>
            <w:pPr>
              <w:spacing w:after="0"/>
              <w:rPr>
                <w:sz w:val="1"/>
                <w:szCs w:val="1"/>
                <w:color w:val="auto"/>
              </w:rPr>
            </w:pPr>
          </w:p>
        </w:tc>
      </w:tr>
      <w:tr>
        <w:trPr>
          <w:trHeight w:val="33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14,899,983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11,618,773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13,161,597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8,018,309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5,683,388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and SBA debentures (See Note 11)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5,322,231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3,672,444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4,628,564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2,596,756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2,328,210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2,319,759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2,884,029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2,329,110</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Expenses before income tax</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38,864,596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27,966,846</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22,399,856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98,294</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39,093,420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28,065,140</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22,399,856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52,645,075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32,074,617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22,718,915</w:t>
            </w:r>
          </w:p>
        </w:tc>
        <w:tc>
          <w:tcPr>
            <w:tcW w:w="0" w:type="dxa"/>
            <w:vAlign w:val="bottom"/>
          </w:tcPr>
          <w:p>
            <w:pPr>
              <w:spacing w:after="0"/>
              <w:rPr>
                <w:sz w:val="1"/>
                <w:szCs w:val="1"/>
                <w:color w:val="auto"/>
              </w:rPr>
            </w:pPr>
          </w:p>
        </w:tc>
      </w:tr>
      <w:tr>
        <w:trPr>
          <w:trHeight w:val="221"/>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16,259,622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(15,417,097)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(45,350,345)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36,275,341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46,954,325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Non-controlled and controlled, affiliated investments</w:t>
            </w: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(1,439,878)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(731,625)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(2,455,952)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(appreciation) depreciation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(See Note 5 and 11)</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(11,851,000)</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(35,665,745)</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7,828,620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change in unrealized (depreciation) appreciation</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(58,641,223)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(122,029)</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52,326,993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(42,381,601)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(15,539,126)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13,083,114</w:t>
            </w:r>
          </w:p>
        </w:tc>
        <w:tc>
          <w:tcPr>
            <w:tcW w:w="0" w:type="dxa"/>
            <w:vAlign w:val="bottom"/>
          </w:tcPr>
          <w:p>
            <w:pPr>
              <w:spacing w:after="0"/>
              <w:rPr>
                <w:sz w:val="1"/>
                <w:szCs w:val="1"/>
                <w:color w:val="auto"/>
              </w:rPr>
            </w:pPr>
          </w:p>
        </w:tc>
      </w:tr>
      <w:tr>
        <w:trPr>
          <w:trHeight w:val="222"/>
        </w:trPr>
        <w:tc>
          <w:tcPr>
            <w:tcW w:w="736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10,263,474</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16,535,491</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35,802,029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 (See Note 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7"/>
              </w:rPr>
              <w:t>Years ended September 30,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4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52,645,075</w:t>
            </w:r>
          </w:p>
        </w:tc>
        <w:tc>
          <w:tcPr>
            <w:tcW w:w="1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32,074,617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22,718,915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gain(loss) on investments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16,259,622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(15,417,097)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(39,243,879)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Net change in unrealized (depreciation) appreciation on investments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(46,790,223)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35,543,716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44,498,373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(11,851,000)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(35,665,745)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7,828,620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10,263,474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16,535,491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35,802,029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Distributions from net investment income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(46,347,691)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(32,264,036)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(20,226,021)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3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Public offering</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114,080,000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107,710,000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34,400,000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(5,743,800)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(5,986,500)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Reinvestment of dividends</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3,829,990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76,081,973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85,994,955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48,056,008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386,575,223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300,580,268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210,728,260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Cumulative effect of adoption of fair value option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(See Note 5)</w:t>
            </w: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41,796,000</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Adjusted beginning of year balance</w:t>
            </w: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386,575,223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300,580,268</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252,524,260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960" w:type="dxa"/>
            <w:vAlign w:val="bottom"/>
            <w:gridSpan w:val="2"/>
          </w:tcPr>
          <w:p>
            <w:pPr>
              <w:spacing w:after="0"/>
              <w:rPr>
                <w:sz w:val="20"/>
                <w:szCs w:val="20"/>
                <w:color w:val="auto"/>
              </w:rPr>
            </w:pPr>
            <w:r>
              <w:rPr>
                <w:rFonts w:ascii="Arial" w:cs="Arial" w:eastAsia="Arial" w:hAnsi="Arial"/>
                <w:sz w:val="18"/>
                <w:szCs w:val="18"/>
                <w:color w:val="auto"/>
              </w:rPr>
              <w:t>End of year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462,657,196</w:t>
            </w:r>
          </w:p>
        </w:tc>
        <w:tc>
          <w:tcPr>
            <w:tcW w:w="14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386,575,223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300,580,268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 at year end</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8,326,854</w:t>
            </w:r>
          </w:p>
        </w:tc>
        <w:tc>
          <w:tcPr>
            <w:tcW w:w="1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1,800,646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1,890,235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Share Activity:</w:t>
            </w: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public offerings</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10,790,000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Shares issued from reinvestment of dividends</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331,011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2"/>
              </w:rPr>
              <w:t>Years ended September 30,</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10,263,474</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16,535,491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35,802,029</w:t>
            </w:r>
          </w:p>
        </w:tc>
        <w:tc>
          <w:tcPr>
            <w:tcW w:w="0" w:type="dxa"/>
            <w:vAlign w:val="bottom"/>
          </w:tcPr>
          <w:p>
            <w:pPr>
              <w:spacing w:after="0"/>
              <w:rPr>
                <w:sz w:val="1"/>
                <w:szCs w:val="1"/>
                <w:color w:val="auto"/>
              </w:rPr>
            </w:pPr>
          </w:p>
        </w:tc>
      </w:tr>
      <w:tr>
        <w:trPr>
          <w:trHeight w:val="208"/>
        </w:trPr>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Adjustments to reconcile net increase in net assets resulting from operations to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used for operating activities:</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Net change in net unrealized depreciation (appreciation) on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46,790,223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(35,543,716)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(44,498,373)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35,665,745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(7,828,620)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(16,259,622)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15,417,097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39,243,879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(6,745,834)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(4,203,920)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(2,890,687)</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(479,733,669)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(309,455,078)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(112,693,490)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(10,883,750)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(6,416,075)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(4,729,590)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304,008,543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145,237,359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27,956,008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1,935,860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(7,275,040)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507,143</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Decrease (Increase) in receivables for investments sold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17,135,807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(27,528,767)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(2,726,007)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payables for investments purchased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(34,212,501)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33,295,475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19,489,525</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Increase in unfunded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14,928,717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15,872,049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6,331,385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7"/>
              </w:rPr>
              <w:t>Increase (Decrease) in interest payable on credit facility and SBA debentures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472,227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142,347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(652,529)</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Decrease (Increase) in prepaid expenses and other assets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749,017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(90,927)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258,912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721,238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1,066,706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2,134,214</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1,534,818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730,847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1,385,131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accrued other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(368,064)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(500,423)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555,556</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1300"/>
              <w:spacing w:after="0"/>
              <w:rPr>
                <w:sz w:val="20"/>
                <w:szCs w:val="20"/>
                <w:color w:val="auto"/>
              </w:rPr>
            </w:pPr>
            <w:r>
              <w:rPr>
                <w:rFonts w:ascii="Arial" w:cs="Arial" w:eastAsia="Arial" w:hAnsi="Arial"/>
                <w:sz w:val="18"/>
                <w:szCs w:val="18"/>
                <w:color w:val="auto"/>
              </w:rPr>
              <w:t>Net cash used for operating activities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(137,812,516)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(127,050,830)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(42,355,514)</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Public offering</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114,080,000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w w:val="91"/>
              </w:rPr>
              <w:t>107,710,000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34,400,000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Offering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(5,743,800)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(5,986,500)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(1,920,000)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Distributions paid</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(39,582,741)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(27,919,260)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(20,226,021)</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SBA debentures (See Note 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135,500,000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Capitalized borrowing costs</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(4,450,875)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(686,625)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 11)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701,900,000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256,000,000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169,600,000</w:t>
            </w: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 11)</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(694,100,000)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(248,000,000)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(146,500,000)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207,602,584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95,617,615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35,353,979</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Net increase (decrease) in cash equivalents</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69,790,068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(31,433,215)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(7,001,535)</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year</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33,247,666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40,249,201</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Cash equivalents, end of year</w:t>
            </w: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71,604,519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1,814,451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33,247,666</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Supplemental disclosure of cash flow information and non-cash activity (See Note 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4,149,149</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3,161,048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5,014,055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123,824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98,294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Dividend reinvested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3,829,990</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 on credit facility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41,796,000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6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0"/>
              </w:rPr>
              <w:t>Current</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4"/>
                <w:szCs w:val="14"/>
                <w:b w:val="1"/>
                <w:bCs w:val="1"/>
                <w:color w:val="auto"/>
                <w:w w:val="98"/>
              </w:rPr>
              <w:t>Above</w:t>
            </w:r>
          </w:p>
        </w:tc>
        <w:tc>
          <w:tcPr>
            <w:tcW w:w="2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60" w:type="dxa"/>
            <w:vAlign w:val="bottom"/>
          </w:tcPr>
          <w:p>
            <w:pPr>
              <w:spacing w:after="0"/>
              <w:rPr>
                <w:sz w:val="12"/>
                <w:szCs w:val="12"/>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Maturity</w:t>
            </w:r>
          </w:p>
        </w:tc>
        <w:tc>
          <w:tcPr>
            <w:tcW w:w="920" w:type="dxa"/>
            <w:vAlign w:val="bottom"/>
          </w:tcPr>
          <w:p>
            <w:pPr>
              <w:spacing w:after="0"/>
              <w:rPr>
                <w:sz w:val="12"/>
                <w:szCs w:val="12"/>
                <w:color w:val="auto"/>
              </w:rPr>
            </w:pPr>
          </w:p>
        </w:tc>
        <w:tc>
          <w:tcPr>
            <w:tcW w:w="1460" w:type="dxa"/>
            <w:vAlign w:val="bottom"/>
            <w:gridSpan w:val="2"/>
          </w:tcPr>
          <w:p>
            <w:pPr>
              <w:jc w:val="center"/>
              <w:ind w:right="960"/>
              <w:spacing w:after="0" w:line="129" w:lineRule="exact"/>
              <w:rPr>
                <w:sz w:val="20"/>
                <w:szCs w:val="20"/>
                <w:color w:val="auto"/>
              </w:rPr>
            </w:pPr>
            <w:r>
              <w:rPr>
                <w:rFonts w:ascii="Arial" w:cs="Arial" w:eastAsia="Arial" w:hAnsi="Arial"/>
                <w:sz w:val="14"/>
                <w:szCs w:val="14"/>
                <w:b w:val="1"/>
                <w:bCs w:val="1"/>
                <w:color w:val="auto"/>
                <w:w w:val="90"/>
              </w:rPr>
              <w:t>Industry</w:t>
            </w:r>
          </w:p>
        </w:tc>
        <w:tc>
          <w:tcPr>
            <w:tcW w:w="80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6"/>
              </w:rPr>
              <w:t>Coupon</w:t>
            </w:r>
          </w:p>
        </w:tc>
        <w:tc>
          <w:tcPr>
            <w:tcW w:w="720" w:type="dxa"/>
            <w:vAlign w:val="bottom"/>
            <w:gridSpan w:val="2"/>
          </w:tcPr>
          <w:p>
            <w:pPr>
              <w:jc w:val="center"/>
              <w:ind w:right="20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20" w:type="dxa"/>
            <w:vAlign w:val="bottom"/>
          </w:tcPr>
          <w:p>
            <w:pPr>
              <w:spacing w:after="0"/>
              <w:rPr>
                <w:sz w:val="12"/>
                <w:szCs w:val="12"/>
                <w:color w:val="auto"/>
              </w:rPr>
            </w:pPr>
          </w:p>
        </w:tc>
        <w:tc>
          <w:tcPr>
            <w:tcW w:w="62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90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 Companies</w:t>
            </w:r>
          </w:p>
        </w:tc>
        <w:tc>
          <w:tcPr>
            <w:tcW w:w="1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—167.2%</w:t>
            </w:r>
            <w:r>
              <w:rPr>
                <w:rFonts w:ascii="Arial" w:cs="Arial" w:eastAsia="Arial" w:hAnsi="Arial"/>
                <w:sz w:val="20"/>
                <w:szCs w:val="20"/>
                <w:b w:val="1"/>
                <w:bCs w:val="1"/>
                <w:color w:val="auto"/>
                <w:vertAlign w:val="superscript"/>
              </w:rPr>
              <w:t>(1),(2)</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Debt—60.6%</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American Surgical Holdings, Inc.</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3/23/2015</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$20,300,000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$ 19,748,930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$ 20,300,000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9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10/1/2016</w:t>
            </w:r>
          </w:p>
        </w:tc>
        <w:tc>
          <w:tcPr>
            <w:tcW w:w="920" w:type="dxa"/>
            <w:vAlign w:val="bottom"/>
          </w:tcPr>
          <w:p>
            <w:pPr>
              <w:spacing w:after="0"/>
              <w:rPr>
                <w:sz w:val="12"/>
                <w:szCs w:val="12"/>
                <w:color w:val="auto"/>
              </w:rPr>
            </w:pPr>
          </w:p>
        </w:tc>
        <w:tc>
          <w:tcPr>
            <w:tcW w:w="146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88"/>
              </w:rPr>
              <w:t>Logistics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7,328,729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7,331,250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9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4/1/2018</w:t>
            </w:r>
          </w:p>
        </w:tc>
        <w:tc>
          <w:tcPr>
            <w:tcW w:w="9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940"/>
              <w:spacing w:after="0" w:line="149" w:lineRule="exact"/>
              <w:rPr>
                <w:sz w:val="20"/>
                <w:szCs w:val="20"/>
                <w:color w:val="auto"/>
              </w:rPr>
            </w:pPr>
            <w:r>
              <w:rPr>
                <w:rFonts w:ascii="Arial" w:cs="Arial" w:eastAsia="Arial" w:hAnsi="Arial"/>
                <w:sz w:val="14"/>
                <w:szCs w:val="14"/>
                <w:color w:val="auto"/>
                <w:w w:val="88"/>
              </w:rPr>
              <w:t>Logistics</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988,872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Chester Downs and Marina, LLC</w:t>
            </w: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7/29/2016</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Hotels, Motels, Inns and Gaming</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12.38%</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L+988</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11,358,254</w:t>
            </w:r>
          </w:p>
        </w:tc>
        <w:tc>
          <w:tcPr>
            <w:tcW w:w="9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11,024,166</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11,310,924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9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11/20/2014</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Communications</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Covad Communications Group, Inc.</w:t>
            </w:r>
            <w:r>
              <w:rPr>
                <w:rFonts w:ascii="Arial" w:cs="Arial" w:eastAsia="Arial" w:hAnsi="Arial"/>
                <w:sz w:val="17"/>
                <w:szCs w:val="17"/>
                <w:color w:val="auto"/>
                <w:vertAlign w:val="superscript"/>
              </w:rPr>
              <w:t>(5)</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11/3/2015</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Telecommunications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6,475,000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6,362,696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6,345,500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Good Sam Enterprises, LLC</w:t>
            </w:r>
            <w:r>
              <w:rPr>
                <w:rFonts w:ascii="Arial" w:cs="Arial" w:eastAsia="Arial" w:hAnsi="Arial"/>
                <w:sz w:val="15"/>
                <w:szCs w:val="15"/>
                <w:color w:val="auto"/>
                <w:vertAlign w:val="superscript"/>
              </w:rPr>
              <w:t>(5)</w:t>
            </w: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0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(f/k/a Affinity Group Holdings Inc.)</w:t>
            </w:r>
          </w:p>
        </w:tc>
        <w:tc>
          <w:tcPr>
            <w:tcW w:w="94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9"/>
              </w:rPr>
              <w:t>12/1/2016</w:t>
            </w:r>
          </w:p>
        </w:tc>
        <w:tc>
          <w:tcPr>
            <w:tcW w:w="23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11.50%</w:t>
            </w:r>
          </w:p>
        </w:tc>
        <w:tc>
          <w:tcPr>
            <w:tcW w:w="72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12,000,000</w:t>
            </w:r>
          </w:p>
        </w:tc>
        <w:tc>
          <w:tcPr>
            <w:tcW w:w="920" w:type="dxa"/>
            <w:vAlign w:val="bottom"/>
            <w:gridSpan w:val="5"/>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11,759,625</w:t>
            </w: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11,220,000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3/10/2014</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2.56%</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L+225</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8,662,500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8,662,500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4,222,969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7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8"/>
              </w:rPr>
              <w:t>8/7/2014</w:t>
            </w: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Printing and Publishing</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24,625,000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24,227,464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25,683,875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tcPr>
          <w:p>
            <w:pPr>
              <w:spacing w:after="0" w:line="138" w:lineRule="exact"/>
              <w:rPr>
                <w:sz w:val="20"/>
                <w:szCs w:val="20"/>
                <w:color w:val="auto"/>
              </w:rPr>
            </w:pPr>
            <w:r>
              <w:rPr>
                <w:rFonts w:ascii="Arial" w:cs="Arial" w:eastAsia="Arial" w:hAnsi="Arial"/>
                <w:sz w:val="14"/>
                <w:szCs w:val="14"/>
                <w:color w:val="auto"/>
              </w:rPr>
              <w:t>Interactive Health Solutions, Inc.</w:t>
            </w:r>
          </w:p>
        </w:tc>
        <w:tc>
          <w:tcPr>
            <w:tcW w:w="94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9"/>
              </w:rPr>
              <w:t>10/4/2016</w:t>
            </w:r>
          </w:p>
        </w:tc>
        <w:tc>
          <w:tcPr>
            <w:tcW w:w="23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7"/>
              </w:rPr>
              <w:t>Healthcare, Education</w:t>
            </w:r>
          </w:p>
        </w:tc>
        <w:tc>
          <w:tcPr>
            <w:tcW w:w="8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11.50%</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L+950</w:t>
            </w:r>
            <w:r>
              <w:rPr>
                <w:rFonts w:ascii="Arial" w:cs="Arial" w:eastAsia="Arial" w:hAnsi="Arial"/>
                <w:sz w:val="15"/>
                <w:szCs w:val="15"/>
                <w:color w:val="auto"/>
                <w:vertAlign w:val="superscript"/>
              </w:rPr>
              <w:t>(8)</w:t>
            </w:r>
          </w:p>
        </w:tc>
        <w:tc>
          <w:tcPr>
            <w:tcW w:w="8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19,000,000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18,572,500</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18,572,500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3"/>
          </w:tcPr>
          <w:p>
            <w:pPr>
              <w:jc w:val="center"/>
              <w:ind w:right="20"/>
              <w:spacing w:after="0"/>
              <w:rPr>
                <w:sz w:val="20"/>
                <w:szCs w:val="20"/>
                <w:color w:val="auto"/>
              </w:rPr>
            </w:pPr>
            <w:r>
              <w:rPr>
                <w:rFonts w:ascii="Arial" w:cs="Arial" w:eastAsia="Arial" w:hAnsi="Arial"/>
                <w:sz w:val="14"/>
                <w:szCs w:val="14"/>
                <w:color w:val="auto"/>
                <w:w w:val="87"/>
              </w:rPr>
              <w:t>and Childcare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Jacuzzi Brands Corp.</w:t>
            </w:r>
          </w:p>
        </w:tc>
        <w:tc>
          <w:tcPr>
            <w:tcW w:w="72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8"/>
              </w:rPr>
              <w:t>2/7/2014</w:t>
            </w: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39" w:lineRule="exact"/>
              <w:rPr>
                <w:sz w:val="20"/>
                <w:szCs w:val="20"/>
                <w:color w:val="auto"/>
              </w:rPr>
            </w:pPr>
            <w:r>
              <w:rPr>
                <w:rFonts w:ascii="Arial" w:cs="Arial" w:eastAsia="Arial" w:hAnsi="Arial"/>
                <w:sz w:val="14"/>
                <w:szCs w:val="14"/>
                <w:color w:val="auto"/>
                <w:w w:val="87"/>
              </w:rPr>
              <w:t>Home and Office</w:t>
            </w:r>
          </w:p>
        </w:tc>
        <w:tc>
          <w:tcPr>
            <w:tcW w:w="80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4"/>
                <w:szCs w:val="14"/>
                <w:color w:val="auto"/>
              </w:rPr>
              <w:t>2.51%</w:t>
            </w:r>
          </w:p>
        </w:tc>
        <w:tc>
          <w:tcPr>
            <w:tcW w:w="720" w:type="dxa"/>
            <w:vAlign w:val="bottom"/>
            <w:gridSpan w:val="2"/>
            <w:shd w:val="clear" w:color="auto" w:fill="CCEEFF"/>
          </w:tcPr>
          <w:p>
            <w:pPr>
              <w:jc w:val="right"/>
              <w:ind w:right="200"/>
              <w:spacing w:after="0" w:line="139" w:lineRule="exact"/>
              <w:rPr>
                <w:sz w:val="20"/>
                <w:szCs w:val="20"/>
                <w:color w:val="auto"/>
              </w:rPr>
            </w:pPr>
            <w:r>
              <w:rPr>
                <w:rFonts w:ascii="Arial" w:cs="Arial" w:eastAsia="Arial" w:hAnsi="Arial"/>
                <w:sz w:val="14"/>
                <w:szCs w:val="14"/>
                <w:color w:val="auto"/>
              </w:rPr>
              <w:t>L+225</w:t>
            </w:r>
          </w:p>
        </w:tc>
        <w:tc>
          <w:tcPr>
            <w:tcW w:w="840" w:type="dxa"/>
            <w:vAlign w:val="bottom"/>
            <w:gridSpan w:val="3"/>
            <w:shd w:val="clear" w:color="auto" w:fill="CCEEFF"/>
          </w:tcPr>
          <w:p>
            <w:pPr>
              <w:jc w:val="right"/>
              <w:ind w:right="80"/>
              <w:spacing w:after="0" w:line="139" w:lineRule="exact"/>
              <w:rPr>
                <w:sz w:val="20"/>
                <w:szCs w:val="20"/>
                <w:color w:val="auto"/>
              </w:rPr>
            </w:pPr>
            <w:r>
              <w:rPr>
                <w:rFonts w:ascii="Arial" w:cs="Arial" w:eastAsia="Arial" w:hAnsi="Arial"/>
                <w:sz w:val="14"/>
                <w:szCs w:val="14"/>
                <w:color w:val="auto"/>
              </w:rPr>
              <w:t>9,671,622</w:t>
            </w: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9,671,622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6,866,851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Furnishings, Housewares</w:t>
            </w: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and Durable Consumer</w:t>
            </w: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w w:val="86"/>
              </w:rPr>
              <w:t>Products</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00" w:type="dxa"/>
            <w:vAlign w:val="bottom"/>
            <w:gridSpan w:val="2"/>
          </w:tcPr>
          <w:p>
            <w:pPr>
              <w:spacing w:after="0" w:line="138" w:lineRule="exact"/>
              <w:rPr>
                <w:sz w:val="20"/>
                <w:szCs w:val="20"/>
                <w:color w:val="auto"/>
              </w:rPr>
            </w:pPr>
            <w:r>
              <w:rPr>
                <w:rFonts w:ascii="Arial" w:cs="Arial" w:eastAsia="Arial" w:hAnsi="Arial"/>
                <w:sz w:val="14"/>
                <w:szCs w:val="14"/>
                <w:color w:val="auto"/>
              </w:rPr>
              <w:t>K2 Pure Solutions NoCal, L.P.</w:t>
            </w:r>
          </w:p>
        </w:tc>
        <w:tc>
          <w:tcPr>
            <w:tcW w:w="94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9"/>
              </w:rPr>
              <w:t>9/10/2015</w:t>
            </w:r>
          </w:p>
        </w:tc>
        <w:tc>
          <w:tcPr>
            <w:tcW w:w="23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6"/>
              </w:rPr>
              <w:t>Chemicals, Plastics and</w:t>
            </w:r>
          </w:p>
        </w:tc>
        <w:tc>
          <w:tcPr>
            <w:tcW w:w="8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10.00%</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P+675</w:t>
            </w:r>
            <w:r>
              <w:rPr>
                <w:rFonts w:ascii="Arial" w:cs="Arial" w:eastAsia="Arial" w:hAnsi="Arial"/>
                <w:sz w:val="15"/>
                <w:szCs w:val="15"/>
                <w:color w:val="auto"/>
                <w:vertAlign w:val="superscript"/>
              </w:rPr>
              <w:t>(8)</w:t>
            </w:r>
          </w:p>
        </w:tc>
        <w:tc>
          <w:tcPr>
            <w:tcW w:w="8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18,952,500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18,002,959</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18,004,875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gridSpan w:val="2"/>
          </w:tcPr>
          <w:p>
            <w:pPr>
              <w:jc w:val="center"/>
              <w:ind w:right="940"/>
              <w:spacing w:after="0"/>
              <w:rPr>
                <w:sz w:val="20"/>
                <w:szCs w:val="20"/>
                <w:color w:val="auto"/>
              </w:rPr>
            </w:pPr>
            <w:r>
              <w:rPr>
                <w:rFonts w:ascii="Arial" w:cs="Arial" w:eastAsia="Arial" w:hAnsi="Arial"/>
                <w:sz w:val="14"/>
                <w:szCs w:val="14"/>
                <w:color w:val="auto"/>
                <w:w w:val="87"/>
              </w:rPr>
              <w:t>Rubber</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Kadmon Pharmaceuticals, LLC</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39" w:lineRule="exact"/>
              <w:rPr>
                <w:sz w:val="20"/>
                <w:szCs w:val="20"/>
                <w:color w:val="auto"/>
              </w:rPr>
            </w:pPr>
            <w:r>
              <w:rPr>
                <w:rFonts w:ascii="Arial" w:cs="Arial" w:eastAsia="Arial" w:hAnsi="Arial"/>
                <w:sz w:val="14"/>
                <w:szCs w:val="14"/>
                <w:color w:val="auto"/>
                <w:w w:val="87"/>
              </w:rPr>
              <w:t>Healthcare, Education</w:t>
            </w: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w w:val="89"/>
              </w:rPr>
              <w:t>L+1,300</w:t>
            </w:r>
            <w:r>
              <w:rPr>
                <w:rFonts w:ascii="Arial" w:cs="Arial" w:eastAsia="Arial" w:hAnsi="Arial"/>
                <w:sz w:val="22"/>
                <w:szCs w:val="22"/>
                <w:color w:val="auto"/>
                <w:w w:val="89"/>
                <w:vertAlign w:val="superscript"/>
              </w:rPr>
              <w:t>(8)</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(f/k/a Three Rivers Pharmaceutical, L.L.C.)</w:t>
            </w:r>
          </w:p>
        </w:tc>
        <w:tc>
          <w:tcPr>
            <w:tcW w:w="940" w:type="dxa"/>
            <w:vAlign w:val="bottom"/>
            <w:gridSpan w:val="3"/>
            <w:shd w:val="clear" w:color="auto" w:fill="CCEEFF"/>
          </w:tcPr>
          <w:p>
            <w:pPr>
              <w:jc w:val="center"/>
              <w:ind w:right="20"/>
              <w:spacing w:after="0"/>
              <w:rPr>
                <w:sz w:val="20"/>
                <w:szCs w:val="20"/>
                <w:color w:val="auto"/>
              </w:rPr>
            </w:pPr>
            <w:r>
              <w:rPr>
                <w:rFonts w:ascii="Arial" w:cs="Arial" w:eastAsia="Arial" w:hAnsi="Arial"/>
                <w:sz w:val="14"/>
                <w:szCs w:val="14"/>
                <w:color w:val="auto"/>
                <w:w w:val="85"/>
              </w:rPr>
              <w:t>10/22/2011</w:t>
            </w:r>
          </w:p>
        </w:tc>
        <w:tc>
          <w:tcPr>
            <w:tcW w:w="2380" w:type="dxa"/>
            <w:vAlign w:val="bottom"/>
            <w:gridSpan w:val="3"/>
            <w:shd w:val="clear" w:color="auto" w:fill="CCEEFF"/>
          </w:tcPr>
          <w:p>
            <w:pPr>
              <w:jc w:val="center"/>
              <w:ind w:right="20"/>
              <w:spacing w:after="0"/>
              <w:rPr>
                <w:sz w:val="20"/>
                <w:szCs w:val="20"/>
                <w:color w:val="auto"/>
              </w:rPr>
            </w:pPr>
            <w:r>
              <w:rPr>
                <w:rFonts w:ascii="Arial" w:cs="Arial" w:eastAsia="Arial" w:hAnsi="Arial"/>
                <w:sz w:val="14"/>
                <w:szCs w:val="14"/>
                <w:color w:val="auto"/>
                <w:w w:val="87"/>
              </w:rPr>
              <w:t>and Childcare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15.00%</w:t>
            </w:r>
          </w:p>
        </w:tc>
        <w:tc>
          <w:tcPr>
            <w:tcW w:w="720" w:type="dxa"/>
            <w:vAlign w:val="bottom"/>
            <w:gridSpan w:val="2"/>
            <w:vMerge w:val="continue"/>
            <w:shd w:val="clear" w:color="auto" w:fill="CCEEFF"/>
          </w:tcPr>
          <w:p>
            <w:pPr>
              <w:spacing w:after="0"/>
              <w:rPr>
                <w:sz w:val="15"/>
                <w:szCs w:val="15"/>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29,066,987</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27,940,332</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30,811,006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00" w:type="dxa"/>
            <w:vAlign w:val="bottom"/>
            <w:gridSpan w:val="2"/>
          </w:tcPr>
          <w:p>
            <w:pPr>
              <w:spacing w:after="0" w:line="122" w:lineRule="exact"/>
              <w:rPr>
                <w:sz w:val="20"/>
                <w:szCs w:val="20"/>
                <w:color w:val="auto"/>
              </w:rPr>
            </w:pPr>
            <w:r>
              <w:rPr>
                <w:rFonts w:ascii="Arial" w:cs="Arial" w:eastAsia="Arial" w:hAnsi="Arial"/>
                <w:sz w:val="14"/>
                <w:szCs w:val="14"/>
                <w:color w:val="auto"/>
              </w:rPr>
              <w:t>Learning Care Group, Inc.</w:t>
            </w:r>
          </w:p>
        </w:tc>
        <w:tc>
          <w:tcPr>
            <w:tcW w:w="94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89"/>
              </w:rPr>
              <w:t>4/27/2016</w:t>
            </w:r>
          </w:p>
        </w:tc>
        <w:tc>
          <w:tcPr>
            <w:tcW w:w="2380" w:type="dxa"/>
            <w:vAlign w:val="bottom"/>
            <w:gridSpan w:val="3"/>
          </w:tcPr>
          <w:p>
            <w:pPr>
              <w:jc w:val="center"/>
              <w:ind w:right="20"/>
              <w:spacing w:after="0" w:line="122" w:lineRule="exact"/>
              <w:rPr>
                <w:sz w:val="20"/>
                <w:szCs w:val="20"/>
                <w:color w:val="auto"/>
              </w:rPr>
            </w:pPr>
            <w:r>
              <w:rPr>
                <w:rFonts w:ascii="Arial" w:cs="Arial" w:eastAsia="Arial" w:hAnsi="Arial"/>
                <w:sz w:val="14"/>
                <w:szCs w:val="14"/>
                <w:color w:val="auto"/>
                <w:w w:val="89"/>
              </w:rPr>
              <w:t>Education</w:t>
            </w:r>
          </w:p>
        </w:tc>
        <w:tc>
          <w:tcPr>
            <w:tcW w:w="80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280"/>
              <w:spacing w:after="0" w:line="122"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22" w:lineRule="exact"/>
              <w:rPr>
                <w:sz w:val="20"/>
                <w:szCs w:val="20"/>
                <w:color w:val="auto"/>
              </w:rPr>
            </w:pPr>
            <w:r>
              <w:rPr>
                <w:rFonts w:ascii="Arial" w:cs="Arial" w:eastAsia="Arial" w:hAnsi="Arial"/>
                <w:sz w:val="14"/>
                <w:szCs w:val="14"/>
                <w:color w:val="auto"/>
              </w:rPr>
              <w:t>26,052,632</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25,555,967</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25,401,316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7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8"/>
              </w:rPr>
              <w:t>8/1/2014</w:t>
            </w:r>
          </w:p>
        </w:tc>
        <w:tc>
          <w:tcPr>
            <w:tcW w:w="220" w:type="dxa"/>
            <w:vAlign w:val="bottom"/>
          </w:tcPr>
          <w:p>
            <w:pPr>
              <w:spacing w:after="0"/>
              <w:rPr>
                <w:sz w:val="12"/>
                <w:szCs w:val="12"/>
                <w:color w:val="auto"/>
              </w:rPr>
            </w:pP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37,779,699</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32,241,162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26,130,971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Prepaid Legal Services, Inc., Tranche A</w:t>
            </w:r>
          </w:p>
        </w:tc>
        <w:tc>
          <w:tcPr>
            <w:tcW w:w="940" w:type="dxa"/>
            <w:vAlign w:val="bottom"/>
            <w:gridSpan w:val="3"/>
          </w:tcPr>
          <w:p>
            <w:pPr>
              <w:jc w:val="center"/>
              <w:spacing w:after="0"/>
              <w:rPr>
                <w:sz w:val="20"/>
                <w:szCs w:val="20"/>
                <w:color w:val="auto"/>
              </w:rPr>
            </w:pPr>
            <w:r>
              <w:rPr>
                <w:rFonts w:ascii="Arial" w:cs="Arial" w:eastAsia="Arial" w:hAnsi="Arial"/>
                <w:sz w:val="14"/>
                <w:szCs w:val="14"/>
                <w:color w:val="auto"/>
                <w:w w:val="88"/>
              </w:rPr>
              <w:t>12/30/2016</w:t>
            </w:r>
          </w:p>
        </w:tc>
        <w:tc>
          <w:tcPr>
            <w:tcW w:w="2380" w:type="dxa"/>
            <w:vAlign w:val="bottom"/>
            <w:gridSpan w:val="3"/>
          </w:tcPr>
          <w:p>
            <w:pPr>
              <w:jc w:val="center"/>
              <w:ind w:right="20"/>
              <w:spacing w:after="0"/>
              <w:rPr>
                <w:sz w:val="20"/>
                <w:szCs w:val="20"/>
                <w:color w:val="auto"/>
              </w:rPr>
            </w:pPr>
            <w:r>
              <w:rPr>
                <w:rFonts w:ascii="Arial" w:cs="Arial" w:eastAsia="Arial" w:hAnsi="Arial"/>
                <w:sz w:val="14"/>
                <w:szCs w:val="14"/>
                <w:color w:val="auto"/>
                <w:w w:val="85"/>
              </w:rPr>
              <w:t>Personal, Food and</w:t>
            </w:r>
          </w:p>
        </w:tc>
        <w:tc>
          <w:tcPr>
            <w:tcW w:w="800" w:type="dxa"/>
            <w:vAlign w:val="bottom"/>
            <w:gridSpan w:val="2"/>
          </w:tcPr>
          <w:p>
            <w:pPr>
              <w:jc w:val="right"/>
              <w:ind w:right="80"/>
              <w:spacing w:after="0" w:line="165" w:lineRule="exact"/>
              <w:rPr>
                <w:sz w:val="20"/>
                <w:szCs w:val="20"/>
                <w:color w:val="auto"/>
              </w:rPr>
            </w:pPr>
            <w:r>
              <w:rPr>
                <w:rFonts w:ascii="Arial" w:cs="Arial" w:eastAsia="Arial" w:hAnsi="Arial"/>
                <w:sz w:val="12"/>
                <w:szCs w:val="12"/>
                <w:color w:val="auto"/>
              </w:rPr>
              <w:t>7.50%</w:t>
            </w:r>
            <w:r>
              <w:rPr>
                <w:rFonts w:ascii="Arial" w:cs="Arial" w:eastAsia="Arial" w:hAnsi="Arial"/>
                <w:sz w:val="19"/>
                <w:szCs w:val="19"/>
                <w:color w:val="auto"/>
                <w:vertAlign w:val="superscript"/>
              </w:rPr>
              <w:t>(6)</w:t>
            </w:r>
          </w:p>
        </w:tc>
        <w:tc>
          <w:tcPr>
            <w:tcW w:w="720" w:type="dxa"/>
            <w:vAlign w:val="bottom"/>
            <w:gridSpan w:val="2"/>
          </w:tcPr>
          <w:p>
            <w:pPr>
              <w:jc w:val="right"/>
              <w:ind w:right="80"/>
              <w:spacing w:after="0" w:line="165" w:lineRule="exact"/>
              <w:rPr>
                <w:sz w:val="20"/>
                <w:szCs w:val="20"/>
                <w:color w:val="auto"/>
              </w:rPr>
            </w:pPr>
            <w:r>
              <w:rPr>
                <w:rFonts w:ascii="Arial" w:cs="Arial" w:eastAsia="Arial" w:hAnsi="Arial"/>
                <w:sz w:val="12"/>
                <w:szCs w:val="12"/>
                <w:color w:val="auto"/>
              </w:rPr>
              <w:t>L+600</w:t>
            </w:r>
            <w:r>
              <w:rPr>
                <w:rFonts w:ascii="Arial" w:cs="Arial" w:eastAsia="Arial" w:hAnsi="Arial"/>
                <w:sz w:val="19"/>
                <w:szCs w:val="19"/>
                <w:color w:val="auto"/>
                <w:vertAlign w:val="superscript"/>
              </w:rPr>
              <w:t>(8)</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2,000,000</w:t>
            </w: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1,970,966</w:t>
            </w:r>
          </w:p>
        </w:tc>
        <w:tc>
          <w:tcPr>
            <w:tcW w:w="8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1,900,000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3"/>
          </w:tcPr>
          <w:p>
            <w:pPr>
              <w:jc w:val="center"/>
              <w:ind w:right="20"/>
              <w:spacing w:after="0"/>
              <w:rPr>
                <w:sz w:val="20"/>
                <w:szCs w:val="20"/>
                <w:color w:val="auto"/>
              </w:rPr>
            </w:pPr>
            <w:r>
              <w:rPr>
                <w:rFonts w:ascii="Arial" w:cs="Arial" w:eastAsia="Arial" w:hAnsi="Arial"/>
                <w:sz w:val="14"/>
                <w:szCs w:val="14"/>
                <w:color w:val="auto"/>
                <w:w w:val="87"/>
              </w:rPr>
              <w:t>Miscellaneous Services</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11.00%</w:t>
            </w:r>
            <w:r>
              <w:rPr>
                <w:rFonts w:ascii="Arial" w:cs="Arial" w:eastAsia="Arial" w:hAnsi="Arial"/>
                <w:sz w:val="22"/>
                <w:szCs w:val="22"/>
                <w:color w:val="auto"/>
                <w:vertAlign w:val="superscript"/>
              </w:rPr>
              <w:t>(6)</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L+950</w:t>
            </w:r>
            <w:r>
              <w:rPr>
                <w:rFonts w:ascii="Arial" w:cs="Arial" w:eastAsia="Arial" w:hAnsi="Arial"/>
                <w:sz w:val="22"/>
                <w:szCs w:val="22"/>
                <w:color w:val="auto"/>
                <w:vertAlign w:val="superscript"/>
              </w:rPr>
              <w:t>(8)</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900" w:type="dxa"/>
            <w:vAlign w:val="bottom"/>
            <w:gridSpan w:val="2"/>
          </w:tcPr>
          <w:p>
            <w:pPr>
              <w:spacing w:after="0" w:line="139" w:lineRule="exact"/>
              <w:rPr>
                <w:sz w:val="20"/>
                <w:szCs w:val="20"/>
                <w:color w:val="auto"/>
              </w:rPr>
            </w:pPr>
            <w:r>
              <w:rPr>
                <w:rFonts w:ascii="Arial" w:cs="Arial" w:eastAsia="Arial" w:hAnsi="Arial"/>
                <w:sz w:val="14"/>
                <w:szCs w:val="14"/>
                <w:color w:val="auto"/>
              </w:rPr>
              <w:t>Prepaid Legal Services, Inc., Tranche B</w:t>
            </w:r>
          </w:p>
        </w:tc>
        <w:tc>
          <w:tcPr>
            <w:tcW w:w="940" w:type="dxa"/>
            <w:vAlign w:val="bottom"/>
            <w:gridSpan w:val="3"/>
          </w:tcPr>
          <w:p>
            <w:pPr>
              <w:jc w:val="center"/>
              <w:spacing w:after="0" w:line="139" w:lineRule="exact"/>
              <w:rPr>
                <w:sz w:val="20"/>
                <w:szCs w:val="20"/>
                <w:color w:val="auto"/>
              </w:rPr>
            </w:pPr>
            <w:r>
              <w:rPr>
                <w:rFonts w:ascii="Arial" w:cs="Arial" w:eastAsia="Arial" w:hAnsi="Arial"/>
                <w:sz w:val="14"/>
                <w:szCs w:val="14"/>
                <w:color w:val="auto"/>
                <w:w w:val="88"/>
              </w:rPr>
              <w:t>12/30/2016</w:t>
            </w:r>
          </w:p>
        </w:tc>
        <w:tc>
          <w:tcPr>
            <w:tcW w:w="2380" w:type="dxa"/>
            <w:vAlign w:val="bottom"/>
            <w:gridSpan w:val="3"/>
          </w:tcPr>
          <w:p>
            <w:pPr>
              <w:jc w:val="center"/>
              <w:ind w:right="20"/>
              <w:spacing w:after="0" w:line="139" w:lineRule="exact"/>
              <w:rPr>
                <w:sz w:val="20"/>
                <w:szCs w:val="20"/>
                <w:color w:val="auto"/>
              </w:rPr>
            </w:pPr>
            <w:r>
              <w:rPr>
                <w:rFonts w:ascii="Arial" w:cs="Arial" w:eastAsia="Arial" w:hAnsi="Arial"/>
                <w:sz w:val="14"/>
                <w:szCs w:val="14"/>
                <w:color w:val="auto"/>
                <w:w w:val="85"/>
              </w:rPr>
              <w:t>Personal, Food and</w:t>
            </w:r>
          </w:p>
        </w:tc>
        <w:tc>
          <w:tcPr>
            <w:tcW w:w="8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40" w:type="dxa"/>
            <w:vAlign w:val="bottom"/>
            <w:gridSpan w:val="3"/>
          </w:tcPr>
          <w:p>
            <w:pPr>
              <w:jc w:val="right"/>
              <w:ind w:right="80"/>
              <w:spacing w:after="0" w:line="139" w:lineRule="exact"/>
              <w:rPr>
                <w:sz w:val="20"/>
                <w:szCs w:val="20"/>
                <w:color w:val="auto"/>
              </w:rPr>
            </w:pPr>
            <w:r>
              <w:rPr>
                <w:rFonts w:ascii="Arial" w:cs="Arial" w:eastAsia="Arial" w:hAnsi="Arial"/>
                <w:sz w:val="14"/>
                <w:szCs w:val="14"/>
                <w:color w:val="auto"/>
              </w:rPr>
              <w:t>35,000,000</w:t>
            </w:r>
          </w:p>
        </w:tc>
        <w:tc>
          <w:tcPr>
            <w:tcW w:w="840" w:type="dxa"/>
            <w:vAlign w:val="bottom"/>
            <w:gridSpan w:val="4"/>
          </w:tcPr>
          <w:p>
            <w:pPr>
              <w:jc w:val="right"/>
              <w:spacing w:after="0" w:line="139" w:lineRule="exact"/>
              <w:rPr>
                <w:sz w:val="20"/>
                <w:szCs w:val="20"/>
                <w:color w:val="auto"/>
              </w:rPr>
            </w:pPr>
            <w:r>
              <w:rPr>
                <w:rFonts w:ascii="Arial" w:cs="Arial" w:eastAsia="Arial" w:hAnsi="Arial"/>
                <w:sz w:val="14"/>
                <w:szCs w:val="14"/>
                <w:color w:val="auto"/>
              </w:rPr>
              <w:t>33,978,263</w:t>
            </w:r>
          </w:p>
        </w:tc>
        <w:tc>
          <w:tcPr>
            <w:tcW w:w="80" w:type="dxa"/>
            <w:vAlign w:val="bottom"/>
          </w:tcPr>
          <w:p>
            <w:pPr>
              <w:spacing w:after="0"/>
              <w:rPr>
                <w:sz w:val="12"/>
                <w:szCs w:val="12"/>
                <w:color w:val="auto"/>
              </w:rPr>
            </w:pPr>
          </w:p>
        </w:tc>
        <w:tc>
          <w:tcPr>
            <w:tcW w:w="840" w:type="dxa"/>
            <w:vAlign w:val="bottom"/>
            <w:gridSpan w:val="4"/>
          </w:tcPr>
          <w:p>
            <w:pPr>
              <w:jc w:val="right"/>
              <w:spacing w:after="0" w:line="139" w:lineRule="exact"/>
              <w:rPr>
                <w:sz w:val="20"/>
                <w:szCs w:val="20"/>
                <w:color w:val="auto"/>
              </w:rPr>
            </w:pPr>
            <w:r>
              <w:rPr>
                <w:rFonts w:ascii="Arial" w:cs="Arial" w:eastAsia="Arial" w:hAnsi="Arial"/>
                <w:sz w:val="14"/>
                <w:szCs w:val="14"/>
                <w:color w:val="auto"/>
              </w:rPr>
              <w:t>33,250,000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3"/>
          </w:tcPr>
          <w:p>
            <w:pPr>
              <w:jc w:val="center"/>
              <w:ind w:right="20"/>
              <w:spacing w:after="0"/>
              <w:rPr>
                <w:sz w:val="20"/>
                <w:szCs w:val="20"/>
                <w:color w:val="auto"/>
              </w:rPr>
            </w:pPr>
            <w:r>
              <w:rPr>
                <w:rFonts w:ascii="Arial" w:cs="Arial" w:eastAsia="Arial" w:hAnsi="Arial"/>
                <w:sz w:val="14"/>
                <w:szCs w:val="14"/>
                <w:color w:val="auto"/>
                <w:w w:val="87"/>
              </w:rPr>
              <w:t>Miscellaneous Services</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12/16/2012</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10.50%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26,721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26,721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12/16/2012</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240,485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240,485</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240,485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VPSI, Inc.</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12/23/2015</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Personal Transportation</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17,302,083</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17,047,133</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17,215,572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9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7/15/2016</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Hotels, Motels, Inns and Gaming</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11.38%</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4,391,231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4,590,000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289,742,323</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280,144,815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Debt—32.9%</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tcPr>
          <w:p>
            <w:pPr>
              <w:spacing w:after="0"/>
              <w:rPr>
                <w:sz w:val="12"/>
                <w:szCs w:val="12"/>
                <w:color w:val="auto"/>
              </w:rPr>
            </w:pP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6.30%</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13,600,000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13,300,431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11,832,000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7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8"/>
              </w:rPr>
              <w:t>2/7/2015</w:t>
            </w: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7.33%</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L+700</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12,000,000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11,821,275</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10,680,000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w:t>
            </w:r>
          </w:p>
        </w:tc>
        <w:tc>
          <w:tcPr>
            <w:tcW w:w="7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8"/>
              </w:rPr>
              <w:t>2/1/2017</w:t>
            </w:r>
          </w:p>
        </w:tc>
        <w:tc>
          <w:tcPr>
            <w:tcW w:w="220" w:type="dxa"/>
            <w:vAlign w:val="bottom"/>
          </w:tcPr>
          <w:p>
            <w:pPr>
              <w:spacing w:after="0"/>
              <w:rPr>
                <w:sz w:val="12"/>
                <w:szCs w:val="12"/>
                <w:color w:val="auto"/>
              </w:rPr>
            </w:pP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31,944,865</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10,710,000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9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8/16/2018</w:t>
            </w:r>
          </w:p>
        </w:tc>
        <w:tc>
          <w:tcPr>
            <w:tcW w:w="23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12.50%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1"/>
                <w:szCs w:val="11"/>
                <w:color w:val="auto"/>
              </w:rPr>
              <w:t>Eureka Hunter Pipeline, LLC</w:t>
            </w:r>
            <w:r>
              <w:rPr>
                <w:rFonts w:ascii="Arial" w:cs="Arial" w:eastAsia="Arial" w:hAnsi="Arial"/>
                <w:sz w:val="17"/>
                <w:szCs w:val="17"/>
                <w:color w:val="auto"/>
                <w:vertAlign w:val="superscript"/>
              </w:rPr>
              <w:t>(9)</w:t>
            </w: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8/15/2012</w:t>
            </w:r>
          </w:p>
        </w:tc>
        <w:tc>
          <w:tcPr>
            <w:tcW w:w="23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Energy/Utilities</w:t>
            </w: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18,525,000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18,525,000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720" w:type="dxa"/>
            <w:vAlign w:val="bottom"/>
            <w:gridSpan w:val="2"/>
            <w:shd w:val="clear" w:color="auto" w:fill="CCEEFF"/>
          </w:tcPr>
          <w:p>
            <w:pPr>
              <w:jc w:val="center"/>
              <w:ind w:left="132"/>
              <w:spacing w:after="0" w:line="149" w:lineRule="exact"/>
              <w:rPr>
                <w:sz w:val="20"/>
                <w:szCs w:val="20"/>
                <w:color w:val="auto"/>
              </w:rPr>
            </w:pPr>
            <w:r>
              <w:rPr>
                <w:rFonts w:ascii="Arial" w:cs="Arial" w:eastAsia="Arial" w:hAnsi="Arial"/>
                <w:sz w:val="14"/>
                <w:szCs w:val="14"/>
                <w:color w:val="auto"/>
                <w:w w:val="88"/>
              </w:rPr>
              <w:t>3/1/2014</w:t>
            </w:r>
          </w:p>
        </w:tc>
        <w:tc>
          <w:tcPr>
            <w:tcW w:w="220" w:type="dxa"/>
            <w:vAlign w:val="bottom"/>
            <w:shd w:val="clear" w:color="auto" w:fill="CCEEFF"/>
          </w:tcPr>
          <w:p>
            <w:pPr>
              <w:spacing w:after="0"/>
              <w:rPr>
                <w:sz w:val="12"/>
                <w:szCs w:val="12"/>
                <w:color w:val="auto"/>
              </w:rPr>
            </w:pP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Cargo Transport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2,860,871</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2,860,871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2,860,871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12/15/2014</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2,971,450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2,971,450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2,692,134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12/15/2015</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Other Media</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L+750</w:t>
            </w:r>
            <w:r>
              <w:rPr>
                <w:rFonts w:ascii="Arial" w:cs="Arial" w:eastAsia="Arial" w:hAnsi="Arial"/>
                <w:sz w:val="17"/>
                <w:szCs w:val="17"/>
                <w:color w:val="auto"/>
                <w:vertAlign w:val="superscript"/>
              </w:rPr>
              <w:t>(8)</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1,990,370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1,990,370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1,737,593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RAM Energy Resources, Inc.</w:t>
            </w:r>
          </w:p>
        </w:tc>
        <w:tc>
          <w:tcPr>
            <w:tcW w:w="9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9/13/2016</w:t>
            </w: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Oil and Gas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L+900</w:t>
            </w:r>
            <w:r>
              <w:rPr>
                <w:rFonts w:ascii="Arial" w:cs="Arial" w:eastAsia="Arial" w:hAnsi="Arial"/>
                <w:sz w:val="17"/>
                <w:szCs w:val="17"/>
                <w:color w:val="auto"/>
                <w:vertAlign w:val="superscript"/>
              </w:rPr>
              <w:t>(8)</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16,672,749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16,830,000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9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10/15/2017</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Buildings and Real Estate</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13.50%</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9,760,000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72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8"/>
              </w:rPr>
              <w:t>9/1/2018</w:t>
            </w:r>
          </w:p>
        </w:tc>
        <w:tc>
          <w:tcPr>
            <w:tcW w:w="220" w:type="dxa"/>
            <w:vAlign w:val="bottom"/>
          </w:tcPr>
          <w:p>
            <w:pPr>
              <w:spacing w:after="0"/>
              <w:rPr>
                <w:sz w:val="12"/>
                <w:szCs w:val="12"/>
                <w:color w:val="auto"/>
              </w:rPr>
            </w:pPr>
          </w:p>
        </w:tc>
        <w:tc>
          <w:tcPr>
            <w:tcW w:w="23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Hotels, Motels, Inns and Gaming</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12.13%</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16,000,000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15,726,668</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16,160,000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Sheridan Holdings, Inc.</w:t>
            </w:r>
          </w:p>
        </w:tc>
        <w:tc>
          <w:tcPr>
            <w:tcW w:w="94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6/15/2015</w:t>
            </w:r>
          </w:p>
        </w:tc>
        <w:tc>
          <w:tcPr>
            <w:tcW w:w="23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6.07%</w:t>
            </w:r>
            <w:r>
              <w:rPr>
                <w:rFonts w:ascii="Arial" w:cs="Arial" w:eastAsia="Arial" w:hAnsi="Arial"/>
                <w:sz w:val="17"/>
                <w:szCs w:val="17"/>
                <w:color w:val="auto"/>
                <w:vertAlign w:val="superscript"/>
              </w:rPr>
              <w:t>(6)</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L+575</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13,500,000</w:t>
            </w:r>
          </w:p>
        </w:tc>
        <w:tc>
          <w:tcPr>
            <w:tcW w:w="92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11,856,253</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12,521,250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940" w:type="dxa"/>
            <w:vAlign w:val="bottom"/>
            <w:tcBorders>
              <w:bottom w:val="single" w:sz="8" w:color="CCEEFF"/>
            </w:tcBorders>
            <w:gridSpan w:val="3"/>
          </w:tcPr>
          <w:p>
            <w:pPr>
              <w:jc w:val="center"/>
              <w:ind w:right="20"/>
              <w:spacing w:after="0" w:line="149" w:lineRule="exact"/>
              <w:rPr>
                <w:sz w:val="20"/>
                <w:szCs w:val="20"/>
                <w:color w:val="auto"/>
              </w:rPr>
            </w:pPr>
            <w:r>
              <w:rPr>
                <w:rFonts w:ascii="Arial" w:cs="Arial" w:eastAsia="Arial" w:hAnsi="Arial"/>
                <w:sz w:val="14"/>
                <w:szCs w:val="14"/>
                <w:color w:val="auto"/>
                <w:w w:val="89"/>
              </w:rPr>
              <w:t>6/15/2015</w:t>
            </w:r>
          </w:p>
        </w:tc>
        <w:tc>
          <w:tcPr>
            <w:tcW w:w="2380" w:type="dxa"/>
            <w:vAlign w:val="bottom"/>
            <w:tcBorders>
              <w:bottom w:val="single" w:sz="8" w:color="CCEEFF"/>
            </w:tcBorders>
            <w:gridSpan w:val="3"/>
          </w:tcPr>
          <w:p>
            <w:pPr>
              <w:jc w:val="center"/>
              <w:ind w:right="20"/>
              <w:spacing w:after="0" w:line="149" w:lineRule="exact"/>
              <w:rPr>
                <w:sz w:val="20"/>
                <w:szCs w:val="20"/>
                <w:color w:val="auto"/>
              </w:rPr>
            </w:pPr>
            <w:r>
              <w:rPr>
                <w:rFonts w:ascii="Arial" w:cs="Arial" w:eastAsia="Arial" w:hAnsi="Arial"/>
                <w:sz w:val="14"/>
                <w:szCs w:val="14"/>
                <w:color w:val="auto"/>
                <w:w w:val="87"/>
              </w:rPr>
              <w:t>Financial Services</w:t>
            </w:r>
          </w:p>
        </w:tc>
        <w:tc>
          <w:tcPr>
            <w:tcW w:w="800" w:type="dxa"/>
            <w:vAlign w:val="bottom"/>
            <w:tcBorders>
              <w:bottom w:val="single" w:sz="8" w:color="CCEEFF"/>
            </w:tcBorders>
            <w:gridSpan w:val="2"/>
          </w:tcPr>
          <w:p>
            <w:pPr>
              <w:jc w:val="right"/>
              <w:ind w:right="80"/>
              <w:spacing w:after="0" w:line="149" w:lineRule="exact"/>
              <w:rPr>
                <w:sz w:val="20"/>
                <w:szCs w:val="20"/>
                <w:color w:val="auto"/>
              </w:rPr>
            </w:pPr>
            <w:r>
              <w:rPr>
                <w:rFonts w:ascii="Arial" w:cs="Arial" w:eastAsia="Arial" w:hAnsi="Arial"/>
                <w:sz w:val="11"/>
                <w:szCs w:val="11"/>
                <w:color w:val="auto"/>
              </w:rPr>
              <w:t>6.24%</w:t>
            </w:r>
            <w:r>
              <w:rPr>
                <w:rFonts w:ascii="Arial" w:cs="Arial" w:eastAsia="Arial" w:hAnsi="Arial"/>
                <w:sz w:val="17"/>
                <w:szCs w:val="17"/>
                <w:color w:val="auto"/>
                <w:vertAlign w:val="superscript"/>
              </w:rPr>
              <w:t>(6)</w:t>
            </w:r>
          </w:p>
        </w:tc>
        <w:tc>
          <w:tcPr>
            <w:tcW w:w="720" w:type="dxa"/>
            <w:vAlign w:val="bottom"/>
            <w:tcBorders>
              <w:bottom w:val="single" w:sz="8" w:color="CCEEFF"/>
            </w:tcBorders>
            <w:gridSpan w:val="2"/>
          </w:tcPr>
          <w:p>
            <w:pPr>
              <w:jc w:val="right"/>
              <w:ind w:right="200"/>
              <w:spacing w:after="0" w:line="149" w:lineRule="exact"/>
              <w:rPr>
                <w:sz w:val="20"/>
                <w:szCs w:val="20"/>
                <w:color w:val="auto"/>
              </w:rPr>
            </w:pPr>
            <w:r>
              <w:rPr>
                <w:rFonts w:ascii="Arial" w:cs="Arial" w:eastAsia="Arial" w:hAnsi="Arial"/>
                <w:sz w:val="14"/>
                <w:szCs w:val="14"/>
                <w:color w:val="auto"/>
              </w:rPr>
              <w:t>L+600</w:t>
            </w:r>
          </w:p>
        </w:tc>
        <w:tc>
          <w:tcPr>
            <w:tcW w:w="840" w:type="dxa"/>
            <w:vAlign w:val="bottom"/>
            <w:tcBorders>
              <w:bottom w:val="single" w:sz="8" w:color="CCEEFF"/>
            </w:tcBorders>
            <w:gridSpan w:val="3"/>
          </w:tcPr>
          <w:p>
            <w:pPr>
              <w:jc w:val="right"/>
              <w:ind w:right="80"/>
              <w:spacing w:after="0" w:line="149" w:lineRule="exact"/>
              <w:rPr>
                <w:sz w:val="20"/>
                <w:szCs w:val="20"/>
                <w:color w:val="auto"/>
              </w:rPr>
            </w:pPr>
            <w:r>
              <w:rPr>
                <w:rFonts w:ascii="Arial" w:cs="Arial" w:eastAsia="Arial" w:hAnsi="Arial"/>
                <w:sz w:val="14"/>
                <w:szCs w:val="14"/>
                <w:color w:val="auto"/>
              </w:rPr>
              <w:t>7,811,488</w:t>
            </w:r>
          </w:p>
        </w:tc>
        <w:tc>
          <w:tcPr>
            <w:tcW w:w="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7,422,480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6,756,937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w w:val="92"/>
              </w:rPr>
              <w:t>176,092,412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w w:val="95"/>
              </w:rPr>
              <w:t>152,065,785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-2434590</wp:posOffset>
            </wp:positionV>
            <wp:extent cx="7246620" cy="946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-2143125</wp:posOffset>
            </wp:positionV>
            <wp:extent cx="7246620" cy="1974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2"/>
                <w:szCs w:val="12"/>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0"/>
              </w:rPr>
              <w:t>Current</w:t>
            </w:r>
          </w:p>
        </w:tc>
        <w:tc>
          <w:tcPr>
            <w:tcW w:w="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40" w:type="dxa"/>
            <w:vAlign w:val="bottom"/>
          </w:tcPr>
          <w:p>
            <w:pPr>
              <w:spacing w:after="0"/>
              <w:rPr>
                <w:sz w:val="12"/>
                <w:szCs w:val="12"/>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Maturity</w:t>
            </w:r>
          </w:p>
        </w:tc>
        <w:tc>
          <w:tcPr>
            <w:tcW w:w="740" w:type="dxa"/>
            <w:vAlign w:val="bottom"/>
          </w:tcPr>
          <w:p>
            <w:pPr>
              <w:spacing w:after="0"/>
              <w:rPr>
                <w:sz w:val="12"/>
                <w:szCs w:val="12"/>
                <w:color w:val="auto"/>
              </w:rPr>
            </w:pPr>
          </w:p>
        </w:tc>
        <w:tc>
          <w:tcPr>
            <w:tcW w:w="1480" w:type="dxa"/>
            <w:vAlign w:val="bottom"/>
            <w:gridSpan w:val="2"/>
          </w:tcPr>
          <w:p>
            <w:pPr>
              <w:jc w:val="center"/>
              <w:ind w:right="940"/>
              <w:spacing w:after="0" w:line="129" w:lineRule="exact"/>
              <w:rPr>
                <w:sz w:val="20"/>
                <w:szCs w:val="20"/>
                <w:color w:val="auto"/>
              </w:rPr>
            </w:pPr>
            <w:r>
              <w:rPr>
                <w:rFonts w:ascii="Arial" w:cs="Arial" w:eastAsia="Arial" w:hAnsi="Arial"/>
                <w:sz w:val="14"/>
                <w:szCs w:val="14"/>
                <w:b w:val="1"/>
                <w:bCs w:val="1"/>
                <w:color w:val="auto"/>
                <w:w w:val="90"/>
              </w:rPr>
              <w:t>Industry</w:t>
            </w:r>
          </w:p>
        </w:tc>
        <w:tc>
          <w:tcPr>
            <w:tcW w:w="80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6"/>
              </w:rPr>
              <w:t>Coupon</w:t>
            </w:r>
          </w:p>
        </w:tc>
        <w:tc>
          <w:tcPr>
            <w:tcW w:w="50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160" w:type="dxa"/>
            <w:vAlign w:val="bottom"/>
          </w:tcPr>
          <w:p>
            <w:pPr>
              <w:spacing w:after="0"/>
              <w:rPr>
                <w:sz w:val="12"/>
                <w:szCs w:val="12"/>
                <w:color w:val="auto"/>
              </w:rPr>
            </w:pPr>
          </w:p>
        </w:tc>
        <w:tc>
          <w:tcPr>
            <w:tcW w:w="64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Notes—65.0%</w:t>
            </w: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88"/>
              </w:rPr>
              <w:t>11/15/2015</w:t>
            </w:r>
          </w:p>
        </w:tc>
        <w:tc>
          <w:tcPr>
            <w:tcW w:w="22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5"/>
              </w:rPr>
              <w:t>Consumer Products</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87"/>
              </w:rPr>
              <w:t>$26,345,000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$ 26,391,240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$ 20,285,650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Aquilex Holdings, LLC</w:t>
            </w:r>
            <w:r>
              <w:rPr>
                <w:rFonts w:ascii="Arial" w:cs="Arial" w:eastAsia="Arial" w:hAnsi="Arial"/>
                <w:sz w:val="15"/>
                <w:szCs w:val="15"/>
                <w:color w:val="auto"/>
                <w:vertAlign w:val="superscript"/>
              </w:rPr>
              <w:t>(5)</w:t>
            </w:r>
          </w:p>
        </w:tc>
        <w:tc>
          <w:tcPr>
            <w:tcW w:w="1020" w:type="dxa"/>
            <w:vAlign w:val="bottom"/>
            <w:gridSpan w:val="3"/>
            <w:shd w:val="clear" w:color="auto" w:fill="CCEEFF"/>
          </w:tcPr>
          <w:p>
            <w:pPr>
              <w:jc w:val="center"/>
              <w:ind w:right="160"/>
              <w:spacing w:after="0" w:line="138" w:lineRule="exact"/>
              <w:rPr>
                <w:sz w:val="20"/>
                <w:szCs w:val="20"/>
                <w:color w:val="auto"/>
              </w:rPr>
            </w:pPr>
            <w:r>
              <w:rPr>
                <w:rFonts w:ascii="Arial" w:cs="Arial" w:eastAsia="Arial" w:hAnsi="Arial"/>
                <w:sz w:val="14"/>
                <w:szCs w:val="14"/>
                <w:color w:val="auto"/>
                <w:w w:val="88"/>
              </w:rPr>
              <w:t>12/15/2016</w:t>
            </w:r>
          </w:p>
        </w:tc>
        <w:tc>
          <w:tcPr>
            <w:tcW w:w="2220" w:type="dxa"/>
            <w:vAlign w:val="bottom"/>
            <w:gridSpan w:val="3"/>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9"/>
              </w:rPr>
              <w:t>Diversified / Conglomerate</w:t>
            </w:r>
          </w:p>
        </w:tc>
        <w:tc>
          <w:tcPr>
            <w:tcW w:w="80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11.13%</w:t>
            </w:r>
          </w:p>
        </w:tc>
        <w:tc>
          <w:tcPr>
            <w:tcW w:w="5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96"/>
              </w:rPr>
              <w:t>18,885,000</w:t>
            </w:r>
          </w:p>
        </w:tc>
        <w:tc>
          <w:tcPr>
            <w:tcW w:w="86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18,440,262</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8,309,400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w w:val="85"/>
              </w:rPr>
              <w:t>Services</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Consolidated Foundries, Inc.</w:t>
            </w:r>
          </w:p>
        </w:tc>
        <w:tc>
          <w:tcPr>
            <w:tcW w:w="720" w:type="dxa"/>
            <w:vAlign w:val="bottom"/>
            <w:gridSpan w:val="2"/>
          </w:tcPr>
          <w:p>
            <w:pPr>
              <w:jc w:val="center"/>
              <w:ind w:left="72"/>
              <w:spacing w:after="0" w:line="138" w:lineRule="exact"/>
              <w:rPr>
                <w:sz w:val="20"/>
                <w:szCs w:val="20"/>
                <w:color w:val="auto"/>
              </w:rPr>
            </w:pPr>
            <w:r>
              <w:rPr>
                <w:rFonts w:ascii="Arial" w:cs="Arial" w:eastAsia="Arial" w:hAnsi="Arial"/>
                <w:sz w:val="14"/>
                <w:szCs w:val="14"/>
                <w:color w:val="auto"/>
                <w:w w:val="86"/>
              </w:rPr>
              <w:t>4/17/2015</w:t>
            </w:r>
          </w:p>
        </w:tc>
        <w:tc>
          <w:tcPr>
            <w:tcW w:w="300" w:type="dxa"/>
            <w:vAlign w:val="bottom"/>
          </w:tcPr>
          <w:p>
            <w:pPr>
              <w:spacing w:after="0"/>
              <w:rPr>
                <w:sz w:val="11"/>
                <w:szCs w:val="11"/>
                <w:color w:val="auto"/>
              </w:rPr>
            </w:pPr>
          </w:p>
        </w:tc>
        <w:tc>
          <w:tcPr>
            <w:tcW w:w="2220" w:type="dxa"/>
            <w:vAlign w:val="bottom"/>
            <w:gridSpan w:val="3"/>
          </w:tcPr>
          <w:p>
            <w:pPr>
              <w:jc w:val="center"/>
              <w:ind w:right="220"/>
              <w:spacing w:after="0" w:line="138" w:lineRule="exact"/>
              <w:rPr>
                <w:sz w:val="20"/>
                <w:szCs w:val="20"/>
                <w:color w:val="auto"/>
              </w:rPr>
            </w:pPr>
            <w:r>
              <w:rPr>
                <w:rFonts w:ascii="Arial" w:cs="Arial" w:eastAsia="Arial" w:hAnsi="Arial"/>
                <w:sz w:val="14"/>
                <w:szCs w:val="14"/>
                <w:color w:val="auto"/>
                <w:w w:val="84"/>
              </w:rPr>
              <w:t>Aerospace and</w:t>
            </w: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14.25%</w:t>
            </w:r>
            <w:r>
              <w:rPr>
                <w:rFonts w:ascii="Arial" w:cs="Arial" w:eastAsia="Arial" w:hAnsi="Arial"/>
                <w:sz w:val="15"/>
                <w:szCs w:val="15"/>
                <w:color w:val="auto"/>
                <w:vertAlign w:val="superscript"/>
              </w:rPr>
              <w:t>(6)</w:t>
            </w:r>
          </w:p>
        </w:tc>
        <w:tc>
          <w:tcPr>
            <w:tcW w:w="50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8,109,468</w:t>
            </w:r>
          </w:p>
        </w:tc>
        <w:tc>
          <w:tcPr>
            <w:tcW w:w="8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7,997,216</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8,109,468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gridSpan w:val="2"/>
          </w:tcPr>
          <w:p>
            <w:pPr>
              <w:jc w:val="center"/>
              <w:ind w:right="960"/>
              <w:spacing w:after="0"/>
              <w:rPr>
                <w:sz w:val="20"/>
                <w:szCs w:val="20"/>
                <w:color w:val="auto"/>
              </w:rPr>
            </w:pPr>
            <w:r>
              <w:rPr>
                <w:rFonts w:ascii="Arial" w:cs="Arial" w:eastAsia="Arial" w:hAnsi="Arial"/>
                <w:sz w:val="14"/>
                <w:szCs w:val="14"/>
                <w:color w:val="auto"/>
                <w:w w:val="84"/>
              </w:rPr>
              <w:t>Defense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Diversitech Corporation</w:t>
            </w:r>
          </w:p>
        </w:tc>
        <w:tc>
          <w:tcPr>
            <w:tcW w:w="720" w:type="dxa"/>
            <w:vAlign w:val="bottom"/>
            <w:gridSpan w:val="2"/>
            <w:shd w:val="clear" w:color="auto" w:fill="CCEEFF"/>
          </w:tcPr>
          <w:p>
            <w:pPr>
              <w:jc w:val="center"/>
              <w:ind w:left="72"/>
              <w:spacing w:after="0" w:line="139" w:lineRule="exact"/>
              <w:rPr>
                <w:sz w:val="20"/>
                <w:szCs w:val="20"/>
                <w:color w:val="auto"/>
              </w:rPr>
            </w:pPr>
            <w:r>
              <w:rPr>
                <w:rFonts w:ascii="Arial" w:cs="Arial" w:eastAsia="Arial" w:hAnsi="Arial"/>
                <w:sz w:val="14"/>
                <w:szCs w:val="14"/>
                <w:color w:val="auto"/>
                <w:w w:val="86"/>
              </w:rPr>
              <w:t>1/29/2017</w:t>
            </w:r>
          </w:p>
        </w:tc>
        <w:tc>
          <w:tcPr>
            <w:tcW w:w="30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center"/>
              <w:ind w:right="200"/>
              <w:spacing w:after="0" w:line="139" w:lineRule="exact"/>
              <w:rPr>
                <w:sz w:val="20"/>
                <w:szCs w:val="20"/>
                <w:color w:val="auto"/>
              </w:rPr>
            </w:pPr>
            <w:r>
              <w:rPr>
                <w:rFonts w:ascii="Arial" w:cs="Arial" w:eastAsia="Arial" w:hAnsi="Arial"/>
                <w:sz w:val="14"/>
                <w:szCs w:val="14"/>
                <w:color w:val="auto"/>
                <w:w w:val="89"/>
              </w:rPr>
              <w:t>Manufacturing/Basic</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1"/>
                <w:szCs w:val="11"/>
                <w:color w:val="auto"/>
              </w:rPr>
              <w:t>13.50%</w:t>
            </w:r>
            <w:r>
              <w:rPr>
                <w:rFonts w:ascii="Arial" w:cs="Arial" w:eastAsia="Arial" w:hAnsi="Arial"/>
                <w:sz w:val="16"/>
                <w:szCs w:val="16"/>
                <w:color w:val="auto"/>
                <w:vertAlign w:val="superscript"/>
              </w:rPr>
              <w:t>(6)</w:t>
            </w:r>
          </w:p>
        </w:tc>
        <w:tc>
          <w:tcPr>
            <w:tcW w:w="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w w:val="96"/>
              </w:rPr>
              <w:t>11,000,000</w:t>
            </w:r>
          </w:p>
        </w:tc>
        <w:tc>
          <w:tcPr>
            <w:tcW w:w="86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10,783,491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10,780,000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w w:val="92"/>
              </w:rPr>
              <w:t>Industry</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Escort, Inc.</w:t>
            </w:r>
          </w:p>
        </w:tc>
        <w:tc>
          <w:tcPr>
            <w:tcW w:w="7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8"/>
              </w:rPr>
              <w:t>6/1/2016</w:t>
            </w:r>
          </w:p>
        </w:tc>
        <w:tc>
          <w:tcPr>
            <w:tcW w:w="300" w:type="dxa"/>
            <w:vAlign w:val="bottom"/>
          </w:tcPr>
          <w:p>
            <w:pPr>
              <w:spacing w:after="0"/>
              <w:rPr>
                <w:sz w:val="12"/>
                <w:szCs w:val="12"/>
                <w:color w:val="auto"/>
              </w:rPr>
            </w:pPr>
          </w:p>
        </w:tc>
        <w:tc>
          <w:tcPr>
            <w:tcW w:w="22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0"/>
              </w:rPr>
              <w:t>Electronics</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6"/>
              </w:rPr>
              <w:t>24,560,142</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23,964,150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24,314,541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Last Mile Funding, Corp.</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14.50%</w:t>
            </w:r>
            <w:r>
              <w:rPr>
                <w:rFonts w:ascii="Arial" w:cs="Arial" w:eastAsia="Arial" w:hAnsi="Arial"/>
                <w:sz w:val="22"/>
                <w:szCs w:val="22"/>
                <w:color w:val="auto"/>
                <w:vertAlign w:val="superscript"/>
              </w:rPr>
              <w:t>(6)</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(3PD, Inc.)</w:t>
            </w:r>
          </w:p>
        </w:tc>
        <w:tc>
          <w:tcPr>
            <w:tcW w:w="720" w:type="dxa"/>
            <w:vAlign w:val="bottom"/>
            <w:gridSpan w:val="2"/>
            <w:shd w:val="clear" w:color="auto" w:fill="CCEEFF"/>
          </w:tcPr>
          <w:p>
            <w:pPr>
              <w:jc w:val="center"/>
              <w:ind w:left="72"/>
              <w:spacing w:after="0" w:line="159" w:lineRule="exact"/>
              <w:rPr>
                <w:sz w:val="20"/>
                <w:szCs w:val="20"/>
                <w:color w:val="auto"/>
              </w:rPr>
            </w:pPr>
            <w:r>
              <w:rPr>
                <w:rFonts w:ascii="Arial" w:cs="Arial" w:eastAsia="Arial" w:hAnsi="Arial"/>
                <w:sz w:val="14"/>
                <w:szCs w:val="14"/>
                <w:color w:val="auto"/>
                <w:w w:val="86"/>
              </w:rPr>
              <w:t>6/30/2016</w:t>
            </w:r>
          </w:p>
        </w:tc>
        <w:tc>
          <w:tcPr>
            <w:tcW w:w="300" w:type="dxa"/>
            <w:vAlign w:val="bottom"/>
            <w:shd w:val="clear" w:color="auto" w:fill="CCEEFF"/>
          </w:tcPr>
          <w:p>
            <w:pPr>
              <w:spacing w:after="0"/>
              <w:rPr>
                <w:sz w:val="13"/>
                <w:szCs w:val="13"/>
                <w:color w:val="auto"/>
              </w:rPr>
            </w:pPr>
          </w:p>
        </w:tc>
        <w:tc>
          <w:tcPr>
            <w:tcW w:w="2220" w:type="dxa"/>
            <w:vAlign w:val="bottom"/>
            <w:gridSpan w:val="3"/>
            <w:shd w:val="clear" w:color="auto" w:fill="CCEEFF"/>
          </w:tcPr>
          <w:p>
            <w:pPr>
              <w:jc w:val="center"/>
              <w:ind w:right="220"/>
              <w:spacing w:after="0" w:line="159" w:lineRule="exact"/>
              <w:rPr>
                <w:sz w:val="20"/>
                <w:szCs w:val="20"/>
                <w:color w:val="auto"/>
              </w:rPr>
            </w:pPr>
            <w:r>
              <w:rPr>
                <w:rFonts w:ascii="Arial" w:cs="Arial" w:eastAsia="Arial" w:hAnsi="Arial"/>
                <w:sz w:val="14"/>
                <w:szCs w:val="14"/>
                <w:color w:val="auto"/>
                <w:w w:val="86"/>
              </w:rPr>
              <w:t>Cargo Transport</w:t>
            </w:r>
          </w:p>
        </w:tc>
        <w:tc>
          <w:tcPr>
            <w:tcW w:w="800" w:type="dxa"/>
            <w:vAlign w:val="bottom"/>
            <w:gridSpan w:val="2"/>
            <w:vMerge w:val="continue"/>
            <w:shd w:val="clear" w:color="auto" w:fill="CCEEFF"/>
          </w:tcPr>
          <w:p>
            <w:pPr>
              <w:spacing w:after="0"/>
              <w:rPr>
                <w:sz w:val="13"/>
                <w:szCs w:val="13"/>
                <w:color w:val="auto"/>
              </w:rPr>
            </w:pPr>
          </w:p>
        </w:tc>
        <w:tc>
          <w:tcPr>
            <w:tcW w:w="5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44,456,391</w:t>
            </w:r>
          </w:p>
        </w:tc>
        <w:tc>
          <w:tcPr>
            <w:tcW w:w="8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43,380,579</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43,344,981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720" w:type="dxa"/>
            <w:vAlign w:val="bottom"/>
            <w:gridSpan w:val="2"/>
          </w:tcPr>
          <w:p>
            <w:pPr>
              <w:jc w:val="center"/>
              <w:ind w:left="72"/>
              <w:spacing w:after="0" w:line="149" w:lineRule="exact"/>
              <w:rPr>
                <w:sz w:val="20"/>
                <w:szCs w:val="20"/>
                <w:color w:val="auto"/>
              </w:rPr>
            </w:pPr>
            <w:r>
              <w:rPr>
                <w:rFonts w:ascii="Arial" w:cs="Arial" w:eastAsia="Arial" w:hAnsi="Arial"/>
                <w:sz w:val="14"/>
                <w:szCs w:val="14"/>
                <w:color w:val="auto"/>
                <w:w w:val="86"/>
              </w:rPr>
              <w:t>6/30/2016</w:t>
            </w:r>
          </w:p>
        </w:tc>
        <w:tc>
          <w:tcPr>
            <w:tcW w:w="300" w:type="dxa"/>
            <w:vAlign w:val="bottom"/>
          </w:tcPr>
          <w:p>
            <w:pPr>
              <w:spacing w:after="0"/>
              <w:rPr>
                <w:sz w:val="12"/>
                <w:szCs w:val="12"/>
                <w:color w:val="auto"/>
              </w:rPr>
            </w:pPr>
          </w:p>
        </w:tc>
        <w:tc>
          <w:tcPr>
            <w:tcW w:w="22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6"/>
              </w:rPr>
              <w:t>Education</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4,566,982</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3,891,689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4,133,119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LTI Flexible Products, Inc.</w:t>
            </w:r>
          </w:p>
        </w:tc>
        <w:tc>
          <w:tcPr>
            <w:tcW w:w="720" w:type="dxa"/>
            <w:vAlign w:val="bottom"/>
            <w:gridSpan w:val="2"/>
            <w:shd w:val="clear" w:color="auto" w:fill="CCEEFF"/>
          </w:tcPr>
          <w:p>
            <w:pPr>
              <w:jc w:val="center"/>
              <w:ind w:left="72"/>
              <w:spacing w:after="0" w:line="138" w:lineRule="exact"/>
              <w:rPr>
                <w:sz w:val="20"/>
                <w:szCs w:val="20"/>
                <w:color w:val="auto"/>
              </w:rPr>
            </w:pPr>
            <w:r>
              <w:rPr>
                <w:rFonts w:ascii="Arial" w:cs="Arial" w:eastAsia="Arial" w:hAnsi="Arial"/>
                <w:sz w:val="14"/>
                <w:szCs w:val="14"/>
                <w:color w:val="auto"/>
                <w:w w:val="86"/>
              </w:rPr>
              <w:t>1/26/2017</w:t>
            </w:r>
          </w:p>
        </w:tc>
        <w:tc>
          <w:tcPr>
            <w:tcW w:w="30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jc w:val="center"/>
              <w:ind w:right="200"/>
              <w:spacing w:after="0" w:line="138" w:lineRule="exact"/>
              <w:rPr>
                <w:sz w:val="20"/>
                <w:szCs w:val="20"/>
                <w:color w:val="auto"/>
              </w:rPr>
            </w:pPr>
            <w:r>
              <w:rPr>
                <w:rFonts w:ascii="Arial" w:cs="Arial" w:eastAsia="Arial" w:hAnsi="Arial"/>
                <w:sz w:val="14"/>
                <w:szCs w:val="14"/>
                <w:color w:val="auto"/>
                <w:w w:val="87"/>
              </w:rPr>
              <w:t>Chemical, Plastic and</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0"/>
                <w:szCs w:val="10"/>
                <w:color w:val="auto"/>
              </w:rPr>
              <w:t>13.88%</w:t>
            </w:r>
            <w:r>
              <w:rPr>
                <w:rFonts w:ascii="Arial" w:cs="Arial" w:eastAsia="Arial" w:hAnsi="Arial"/>
                <w:sz w:val="15"/>
                <w:szCs w:val="15"/>
                <w:color w:val="auto"/>
                <w:vertAlign w:val="superscript"/>
              </w:rPr>
              <w:t>(6)</w:t>
            </w:r>
          </w:p>
        </w:tc>
        <w:tc>
          <w:tcPr>
            <w:tcW w:w="5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96"/>
              </w:rPr>
              <w:t>33,937,985</w:t>
            </w:r>
          </w:p>
        </w:tc>
        <w:tc>
          <w:tcPr>
            <w:tcW w:w="940" w:type="dxa"/>
            <w:vAlign w:val="bottom"/>
            <w:gridSpan w:val="5"/>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33,119,280</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33,768,295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w w:val="87"/>
              </w:rPr>
              <w:t>Rubber</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Mailsouth, Inc.</w:t>
            </w:r>
          </w:p>
        </w:tc>
        <w:tc>
          <w:tcPr>
            <w:tcW w:w="720" w:type="dxa"/>
            <w:vAlign w:val="bottom"/>
            <w:gridSpan w:val="2"/>
          </w:tcPr>
          <w:p>
            <w:pPr>
              <w:jc w:val="center"/>
              <w:ind w:left="72"/>
              <w:spacing w:after="0" w:line="138" w:lineRule="exact"/>
              <w:rPr>
                <w:sz w:val="20"/>
                <w:szCs w:val="20"/>
                <w:color w:val="auto"/>
              </w:rPr>
            </w:pPr>
            <w:r>
              <w:rPr>
                <w:rFonts w:ascii="Arial" w:cs="Arial" w:eastAsia="Arial" w:hAnsi="Arial"/>
                <w:sz w:val="14"/>
                <w:szCs w:val="14"/>
                <w:color w:val="auto"/>
                <w:w w:val="86"/>
              </w:rPr>
              <w:t>6/15/2017</w:t>
            </w:r>
          </w:p>
        </w:tc>
        <w:tc>
          <w:tcPr>
            <w:tcW w:w="300" w:type="dxa"/>
            <w:vAlign w:val="bottom"/>
          </w:tcPr>
          <w:p>
            <w:pPr>
              <w:spacing w:after="0"/>
              <w:rPr>
                <w:sz w:val="11"/>
                <w:szCs w:val="11"/>
                <w:color w:val="auto"/>
              </w:rPr>
            </w:pPr>
          </w:p>
        </w:tc>
        <w:tc>
          <w:tcPr>
            <w:tcW w:w="2220" w:type="dxa"/>
            <w:vAlign w:val="bottom"/>
            <w:gridSpan w:val="3"/>
          </w:tcPr>
          <w:p>
            <w:pPr>
              <w:jc w:val="center"/>
              <w:ind w:right="200"/>
              <w:spacing w:after="0" w:line="138" w:lineRule="exact"/>
              <w:rPr>
                <w:sz w:val="20"/>
                <w:szCs w:val="20"/>
                <w:color w:val="auto"/>
              </w:rPr>
            </w:pPr>
            <w:r>
              <w:rPr>
                <w:rFonts w:ascii="Arial" w:cs="Arial" w:eastAsia="Arial" w:hAnsi="Arial"/>
                <w:sz w:val="14"/>
                <w:szCs w:val="14"/>
                <w:color w:val="auto"/>
                <w:w w:val="88"/>
              </w:rPr>
              <w:t>Printing and</w:t>
            </w: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14.50%</w:t>
            </w:r>
            <w:r>
              <w:rPr>
                <w:rFonts w:ascii="Arial" w:cs="Arial" w:eastAsia="Arial" w:hAnsi="Arial"/>
                <w:sz w:val="15"/>
                <w:szCs w:val="15"/>
                <w:color w:val="auto"/>
                <w:vertAlign w:val="superscript"/>
              </w:rPr>
              <w:t>(6)</w:t>
            </w:r>
          </w:p>
        </w:tc>
        <w:tc>
          <w:tcPr>
            <w:tcW w:w="50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w w:val="96"/>
              </w:rPr>
              <w:t>15,000,000</w:t>
            </w:r>
          </w:p>
        </w:tc>
        <w:tc>
          <w:tcPr>
            <w:tcW w:w="8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14,579,991</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14,640,000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20" w:type="dxa"/>
            <w:vAlign w:val="bottom"/>
            <w:gridSpan w:val="3"/>
          </w:tcPr>
          <w:p>
            <w:pPr>
              <w:jc w:val="center"/>
              <w:ind w:right="200"/>
              <w:spacing w:after="0"/>
              <w:rPr>
                <w:sz w:val="20"/>
                <w:szCs w:val="20"/>
                <w:color w:val="auto"/>
              </w:rPr>
            </w:pPr>
            <w:r>
              <w:rPr>
                <w:rFonts w:ascii="Arial" w:cs="Arial" w:eastAsia="Arial" w:hAnsi="Arial"/>
                <w:sz w:val="14"/>
                <w:szCs w:val="14"/>
                <w:color w:val="auto"/>
                <w:w w:val="89"/>
              </w:rPr>
              <w:t>Publishing</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02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10/14/2016</w:t>
            </w:r>
          </w:p>
        </w:tc>
        <w:tc>
          <w:tcPr>
            <w:tcW w:w="222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shd w:val="clear" w:color="auto" w:fill="CCEEFF"/>
          </w:tcPr>
          <w:p>
            <w:pPr>
              <w:jc w:val="right"/>
              <w:ind w:right="80"/>
              <w:spacing w:after="0" w:line="150" w:lineRule="exact"/>
              <w:rPr>
                <w:sz w:val="20"/>
                <w:szCs w:val="20"/>
                <w:color w:val="auto"/>
              </w:rPr>
            </w:pPr>
            <w:r>
              <w:rPr>
                <w:rFonts w:ascii="Arial" w:cs="Arial" w:eastAsia="Arial" w:hAnsi="Arial"/>
                <w:sz w:val="11"/>
                <w:szCs w:val="11"/>
                <w:color w:val="auto"/>
              </w:rPr>
              <w:t>13.00%</w:t>
            </w:r>
            <w:r>
              <w:rPr>
                <w:rFonts w:ascii="Arial" w:cs="Arial" w:eastAsia="Arial" w:hAnsi="Arial"/>
                <w:sz w:val="17"/>
                <w:szCs w:val="17"/>
                <w:color w:val="auto"/>
                <w:vertAlign w:val="superscript"/>
              </w:rPr>
              <w:t>(6)</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19,000,000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18,492,685</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19,950,000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PAS Technologies, Inc.</w:t>
            </w:r>
          </w:p>
        </w:tc>
        <w:tc>
          <w:tcPr>
            <w:tcW w:w="720" w:type="dxa"/>
            <w:vAlign w:val="bottom"/>
            <w:gridSpan w:val="2"/>
          </w:tcPr>
          <w:p>
            <w:pPr>
              <w:jc w:val="center"/>
              <w:ind w:left="72"/>
              <w:spacing w:after="0" w:line="138" w:lineRule="exact"/>
              <w:rPr>
                <w:sz w:val="20"/>
                <w:szCs w:val="20"/>
                <w:color w:val="auto"/>
              </w:rPr>
            </w:pPr>
            <w:r>
              <w:rPr>
                <w:rFonts w:ascii="Arial" w:cs="Arial" w:eastAsia="Arial" w:hAnsi="Arial"/>
                <w:sz w:val="14"/>
                <w:szCs w:val="14"/>
                <w:color w:val="auto"/>
                <w:w w:val="86"/>
              </w:rPr>
              <w:t>5/12/2017</w:t>
            </w:r>
          </w:p>
        </w:tc>
        <w:tc>
          <w:tcPr>
            <w:tcW w:w="300" w:type="dxa"/>
            <w:vAlign w:val="bottom"/>
          </w:tcPr>
          <w:p>
            <w:pPr>
              <w:spacing w:after="0"/>
              <w:rPr>
                <w:sz w:val="11"/>
                <w:szCs w:val="11"/>
                <w:color w:val="auto"/>
              </w:rPr>
            </w:pPr>
          </w:p>
        </w:tc>
        <w:tc>
          <w:tcPr>
            <w:tcW w:w="2220" w:type="dxa"/>
            <w:vAlign w:val="bottom"/>
            <w:gridSpan w:val="3"/>
          </w:tcPr>
          <w:p>
            <w:pPr>
              <w:jc w:val="center"/>
              <w:ind w:right="220"/>
              <w:spacing w:after="0" w:line="138" w:lineRule="exact"/>
              <w:rPr>
                <w:sz w:val="20"/>
                <w:szCs w:val="20"/>
                <w:color w:val="auto"/>
              </w:rPr>
            </w:pPr>
            <w:r>
              <w:rPr>
                <w:rFonts w:ascii="Arial" w:cs="Arial" w:eastAsia="Arial" w:hAnsi="Arial"/>
                <w:sz w:val="14"/>
                <w:szCs w:val="14"/>
                <w:color w:val="auto"/>
                <w:w w:val="84"/>
              </w:rPr>
              <w:t>Aerospace and</w:t>
            </w: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0"/>
                <w:szCs w:val="10"/>
                <w:color w:val="auto"/>
              </w:rPr>
              <w:t>14.02%</w:t>
            </w:r>
            <w:r>
              <w:rPr>
                <w:rFonts w:ascii="Arial" w:cs="Arial" w:eastAsia="Arial" w:hAnsi="Arial"/>
                <w:sz w:val="15"/>
                <w:szCs w:val="15"/>
                <w:color w:val="auto"/>
                <w:vertAlign w:val="superscript"/>
              </w:rPr>
              <w:t>(6)</w:t>
            </w:r>
          </w:p>
        </w:tc>
        <w:tc>
          <w:tcPr>
            <w:tcW w:w="50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w w:val="96"/>
              </w:rPr>
              <w:t>16,785,000</w:t>
            </w:r>
          </w:p>
        </w:tc>
        <w:tc>
          <w:tcPr>
            <w:tcW w:w="8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16,400,403</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16,600,365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gridSpan w:val="2"/>
          </w:tcPr>
          <w:p>
            <w:pPr>
              <w:jc w:val="center"/>
              <w:ind w:right="960"/>
              <w:spacing w:after="0"/>
              <w:rPr>
                <w:sz w:val="20"/>
                <w:szCs w:val="20"/>
                <w:color w:val="auto"/>
              </w:rPr>
            </w:pPr>
            <w:r>
              <w:rPr>
                <w:rFonts w:ascii="Arial" w:cs="Arial" w:eastAsia="Arial" w:hAnsi="Arial"/>
                <w:sz w:val="14"/>
                <w:szCs w:val="14"/>
                <w:color w:val="auto"/>
                <w:w w:val="84"/>
              </w:rPr>
              <w:t>Defense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Prince Mineral Holdings Corp.</w:t>
            </w:r>
          </w:p>
        </w:tc>
        <w:tc>
          <w:tcPr>
            <w:tcW w:w="720" w:type="dxa"/>
            <w:vAlign w:val="bottom"/>
            <w:gridSpan w:val="2"/>
            <w:shd w:val="clear" w:color="auto" w:fill="CCEEFF"/>
          </w:tcPr>
          <w:p>
            <w:pPr>
              <w:jc w:val="center"/>
              <w:ind w:left="72"/>
              <w:spacing w:after="0" w:line="139" w:lineRule="exact"/>
              <w:rPr>
                <w:sz w:val="20"/>
                <w:szCs w:val="20"/>
                <w:color w:val="auto"/>
              </w:rPr>
            </w:pPr>
            <w:r>
              <w:rPr>
                <w:rFonts w:ascii="Arial" w:cs="Arial" w:eastAsia="Arial" w:hAnsi="Arial"/>
                <w:sz w:val="14"/>
                <w:szCs w:val="14"/>
                <w:color w:val="auto"/>
                <w:w w:val="86"/>
              </w:rPr>
              <w:t>12/3/2016</w:t>
            </w:r>
          </w:p>
        </w:tc>
        <w:tc>
          <w:tcPr>
            <w:tcW w:w="30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center"/>
              <w:ind w:right="200"/>
              <w:spacing w:after="0" w:line="139" w:lineRule="exact"/>
              <w:rPr>
                <w:sz w:val="20"/>
                <w:szCs w:val="20"/>
                <w:color w:val="auto"/>
              </w:rPr>
            </w:pPr>
            <w:r>
              <w:rPr>
                <w:rFonts w:ascii="Arial" w:cs="Arial" w:eastAsia="Arial" w:hAnsi="Arial"/>
                <w:sz w:val="14"/>
                <w:szCs w:val="14"/>
                <w:color w:val="auto"/>
                <w:w w:val="90"/>
              </w:rPr>
              <w:t>Mining, Steel, Iron</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1"/>
                <w:szCs w:val="11"/>
                <w:color w:val="auto"/>
              </w:rPr>
              <w:t>13.50%</w:t>
            </w:r>
            <w:r>
              <w:rPr>
                <w:rFonts w:ascii="Arial" w:cs="Arial" w:eastAsia="Arial" w:hAnsi="Arial"/>
                <w:sz w:val="16"/>
                <w:szCs w:val="16"/>
                <w:color w:val="auto"/>
                <w:vertAlign w:val="superscript"/>
              </w:rPr>
              <w:t>(6)</w:t>
            </w:r>
          </w:p>
        </w:tc>
        <w:tc>
          <w:tcPr>
            <w:tcW w:w="5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w w:val="96"/>
              </w:rPr>
              <w:t>26,169,195</w:t>
            </w:r>
          </w:p>
        </w:tc>
        <w:tc>
          <w:tcPr>
            <w:tcW w:w="86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25,667,843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39" w:lineRule="exact"/>
              <w:rPr>
                <w:sz w:val="20"/>
                <w:szCs w:val="20"/>
                <w:color w:val="auto"/>
              </w:rPr>
            </w:pPr>
            <w:r>
              <w:rPr>
                <w:rFonts w:ascii="Arial" w:cs="Arial" w:eastAsia="Arial" w:hAnsi="Arial"/>
                <w:sz w:val="14"/>
                <w:szCs w:val="14"/>
                <w:color w:val="auto"/>
              </w:rPr>
              <w:t>25,645,811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7"/>
              </w:rPr>
              <w:t>and Non-Precious</w:t>
            </w: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40"/>
              <w:spacing w:after="0"/>
              <w:rPr>
                <w:sz w:val="20"/>
                <w:szCs w:val="20"/>
                <w:color w:val="auto"/>
              </w:rPr>
            </w:pPr>
            <w:r>
              <w:rPr>
                <w:rFonts w:ascii="Arial" w:cs="Arial" w:eastAsia="Arial" w:hAnsi="Arial"/>
                <w:sz w:val="14"/>
                <w:szCs w:val="14"/>
                <w:color w:val="auto"/>
                <w:w w:val="92"/>
              </w:rPr>
              <w:t>Metals</w:t>
            </w: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Realogy Corp.</w:t>
            </w:r>
          </w:p>
        </w:tc>
        <w:tc>
          <w:tcPr>
            <w:tcW w:w="720" w:type="dxa"/>
            <w:vAlign w:val="bottom"/>
            <w:gridSpan w:val="2"/>
          </w:tcPr>
          <w:p>
            <w:pPr>
              <w:jc w:val="center"/>
              <w:ind w:left="72"/>
              <w:spacing w:after="0" w:line="138" w:lineRule="exact"/>
              <w:rPr>
                <w:sz w:val="20"/>
                <w:szCs w:val="20"/>
                <w:color w:val="auto"/>
              </w:rPr>
            </w:pPr>
            <w:r>
              <w:rPr>
                <w:rFonts w:ascii="Arial" w:cs="Arial" w:eastAsia="Arial" w:hAnsi="Arial"/>
                <w:sz w:val="14"/>
                <w:szCs w:val="14"/>
                <w:color w:val="auto"/>
                <w:w w:val="86"/>
              </w:rPr>
              <w:t>4/15/2018</w:t>
            </w:r>
          </w:p>
        </w:tc>
        <w:tc>
          <w:tcPr>
            <w:tcW w:w="300" w:type="dxa"/>
            <w:vAlign w:val="bottom"/>
          </w:tcPr>
          <w:p>
            <w:pPr>
              <w:spacing w:after="0"/>
              <w:rPr>
                <w:sz w:val="11"/>
                <w:szCs w:val="11"/>
                <w:color w:val="auto"/>
              </w:rPr>
            </w:pPr>
          </w:p>
        </w:tc>
        <w:tc>
          <w:tcPr>
            <w:tcW w:w="2220" w:type="dxa"/>
            <w:vAlign w:val="bottom"/>
            <w:gridSpan w:val="3"/>
          </w:tcPr>
          <w:p>
            <w:pPr>
              <w:jc w:val="center"/>
              <w:ind w:right="200"/>
              <w:spacing w:after="0" w:line="138" w:lineRule="exact"/>
              <w:rPr>
                <w:sz w:val="20"/>
                <w:szCs w:val="20"/>
                <w:color w:val="auto"/>
              </w:rPr>
            </w:pPr>
            <w:r>
              <w:rPr>
                <w:rFonts w:ascii="Arial" w:cs="Arial" w:eastAsia="Arial" w:hAnsi="Arial"/>
                <w:sz w:val="14"/>
                <w:szCs w:val="14"/>
                <w:color w:val="auto"/>
                <w:w w:val="87"/>
              </w:rPr>
              <w:t>Buildings and Real</w:t>
            </w:r>
          </w:p>
        </w:tc>
        <w:tc>
          <w:tcPr>
            <w:tcW w:w="80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11.00%</w:t>
            </w:r>
          </w:p>
        </w:tc>
        <w:tc>
          <w:tcPr>
            <w:tcW w:w="500" w:type="dxa"/>
            <w:vAlign w:val="bottom"/>
          </w:tcPr>
          <w:p>
            <w:pPr>
              <w:ind w:left="14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w w:val="96"/>
              </w:rPr>
              <w:t>10,000,000</w:t>
            </w:r>
          </w:p>
        </w:tc>
        <w:tc>
          <w:tcPr>
            <w:tcW w:w="8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9,159,259</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7,800,000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gridSpan w:val="2"/>
          </w:tcPr>
          <w:p>
            <w:pPr>
              <w:jc w:val="center"/>
              <w:ind w:right="940"/>
              <w:spacing w:after="0"/>
              <w:rPr>
                <w:sz w:val="20"/>
                <w:szCs w:val="20"/>
                <w:color w:val="auto"/>
              </w:rPr>
            </w:pPr>
            <w:r>
              <w:rPr>
                <w:rFonts w:ascii="Arial" w:cs="Arial" w:eastAsia="Arial" w:hAnsi="Arial"/>
                <w:sz w:val="14"/>
                <w:szCs w:val="14"/>
                <w:color w:val="auto"/>
                <w:w w:val="85"/>
              </w:rPr>
              <w:t>Estate</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02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12/29/2015</w:t>
            </w:r>
          </w:p>
        </w:tc>
        <w:tc>
          <w:tcPr>
            <w:tcW w:w="222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shd w:val="clear" w:color="auto" w:fill="CCEEFF"/>
          </w:tcPr>
          <w:p>
            <w:pPr>
              <w:jc w:val="right"/>
              <w:ind w:right="80"/>
              <w:spacing w:after="0" w:line="150"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12,020,950</w:t>
            </w:r>
          </w:p>
        </w:tc>
        <w:tc>
          <w:tcPr>
            <w:tcW w:w="94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11,683,548</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11,984,887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UP Support Services, Inc.</w:t>
            </w:r>
          </w:p>
        </w:tc>
        <w:tc>
          <w:tcPr>
            <w:tcW w:w="7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8"/>
              </w:rPr>
              <w:t>2/8/2015</w:t>
            </w:r>
          </w:p>
        </w:tc>
        <w:tc>
          <w:tcPr>
            <w:tcW w:w="300" w:type="dxa"/>
            <w:vAlign w:val="bottom"/>
          </w:tcPr>
          <w:p>
            <w:pPr>
              <w:spacing w:after="0"/>
              <w:rPr>
                <w:sz w:val="12"/>
                <w:szCs w:val="12"/>
                <w:color w:val="auto"/>
              </w:rPr>
            </w:pPr>
          </w:p>
        </w:tc>
        <w:tc>
          <w:tcPr>
            <w:tcW w:w="22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9"/>
              </w:rPr>
              <w:t>Oil and Gas</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19.00%</w:t>
            </w:r>
            <w:r>
              <w:rPr>
                <w:rFonts w:ascii="Arial" w:cs="Arial" w:eastAsia="Arial" w:hAnsi="Arial"/>
                <w:sz w:val="17"/>
                <w:szCs w:val="17"/>
                <w:color w:val="auto"/>
                <w:vertAlign w:val="superscript"/>
              </w:rPr>
              <w:t>(6)</w:t>
            </w:r>
          </w:p>
        </w:tc>
        <w:tc>
          <w:tcPr>
            <w:tcW w:w="5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6"/>
              </w:rPr>
              <w:t>26,276,070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26,063,224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24,173,984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1020" w:type="dxa"/>
            <w:vAlign w:val="bottom"/>
            <w:gridSpan w:val="3"/>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12/31/2015</w:t>
            </w:r>
          </w:p>
        </w:tc>
        <w:tc>
          <w:tcPr>
            <w:tcW w:w="222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5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15,000,000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14,686,238</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020" w:type="dxa"/>
            <w:vAlign w:val="bottom"/>
            <w:tcBorders>
              <w:bottom w:val="single" w:sz="8" w:color="CCEEFF"/>
            </w:tcBorders>
            <w:gridSpan w:val="3"/>
          </w:tcPr>
          <w:p>
            <w:pPr>
              <w:jc w:val="center"/>
              <w:ind w:right="160"/>
              <w:spacing w:after="0" w:line="149" w:lineRule="exact"/>
              <w:rPr>
                <w:sz w:val="20"/>
                <w:szCs w:val="20"/>
                <w:color w:val="auto"/>
              </w:rPr>
            </w:pPr>
            <w:r>
              <w:rPr>
                <w:rFonts w:ascii="Arial" w:cs="Arial" w:eastAsia="Arial" w:hAnsi="Arial"/>
                <w:sz w:val="14"/>
                <w:szCs w:val="14"/>
                <w:color w:val="auto"/>
                <w:w w:val="88"/>
              </w:rPr>
              <w:t>12/31/2012</w:t>
            </w:r>
          </w:p>
        </w:tc>
        <w:tc>
          <w:tcPr>
            <w:tcW w:w="2220" w:type="dxa"/>
            <w:vAlign w:val="bottom"/>
            <w:tcBorders>
              <w:bottom w:val="single" w:sz="8" w:color="CCEEFF"/>
            </w:tcBorders>
            <w:gridSpan w:val="3"/>
          </w:tcPr>
          <w:p>
            <w:pPr>
              <w:jc w:val="center"/>
              <w:ind w:right="20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tcBorders>
              <w:bottom w:val="single" w:sz="8" w:color="CCEEFF"/>
            </w:tcBorders>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tcPr>
          <w:p>
            <w:pPr>
              <w:ind w:left="140"/>
              <w:spacing w:after="0" w:line="14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3"/>
          </w:tcPr>
          <w:p>
            <w:pPr>
              <w:jc w:val="right"/>
              <w:ind w:right="100"/>
              <w:spacing w:after="0" w:line="149" w:lineRule="exact"/>
              <w:rPr>
                <w:sz w:val="20"/>
                <w:szCs w:val="20"/>
                <w:color w:val="auto"/>
              </w:rPr>
            </w:pPr>
            <w:r>
              <w:rPr>
                <w:rFonts w:ascii="Arial" w:cs="Arial" w:eastAsia="Arial" w:hAnsi="Arial"/>
                <w:sz w:val="14"/>
                <w:szCs w:val="14"/>
                <w:color w:val="auto"/>
                <w:w w:val="96"/>
              </w:rPr>
              <w:t>12,000,000</w:t>
            </w:r>
          </w:p>
        </w:tc>
        <w:tc>
          <w:tcPr>
            <w:tcW w:w="1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11,700,000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gridSpan w:val="4"/>
            <w:shd w:val="clear" w:color="auto" w:fill="CCEEFF"/>
          </w:tcPr>
          <w:p>
            <w:pPr>
              <w:jc w:val="right"/>
              <w:spacing w:after="0" w:line="155" w:lineRule="exact"/>
              <w:rPr>
                <w:sz w:val="20"/>
                <w:szCs w:val="20"/>
                <w:color w:val="auto"/>
              </w:rPr>
            </w:pPr>
            <w:r>
              <w:rPr>
                <w:rFonts w:ascii="Arial" w:cs="Arial" w:eastAsia="Arial" w:hAnsi="Arial"/>
                <w:sz w:val="14"/>
                <w:szCs w:val="14"/>
                <w:color w:val="auto"/>
              </w:rPr>
              <w:t>316,401,098</w:t>
            </w:r>
          </w:p>
        </w:tc>
        <w:tc>
          <w:tcPr>
            <w:tcW w:w="8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spacing w:after="0" w:line="155" w:lineRule="exact"/>
              <w:rPr>
                <w:sz w:val="20"/>
                <w:szCs w:val="20"/>
                <w:color w:val="auto"/>
              </w:rPr>
            </w:pPr>
            <w:r>
              <w:rPr>
                <w:rFonts w:ascii="Arial" w:cs="Arial" w:eastAsia="Arial" w:hAnsi="Arial"/>
                <w:sz w:val="14"/>
                <w:szCs w:val="14"/>
                <w:color w:val="auto"/>
              </w:rPr>
              <w:t>300,840,501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Borders>
              <w:top w:val="single" w:sz="8" w:color="CCEEFF"/>
            </w:tcBorders>
            <w:gridSpan w:val="2"/>
          </w:tcPr>
          <w:p>
            <w:pPr>
              <w:spacing w:after="0" w:line="149" w:lineRule="exact"/>
              <w:rPr>
                <w:sz w:val="20"/>
                <w:szCs w:val="20"/>
                <w:color w:val="auto"/>
              </w:rPr>
            </w:pPr>
            <w:r>
              <w:rPr>
                <w:rFonts w:ascii="Arial" w:cs="Arial" w:eastAsia="Arial" w:hAnsi="Arial"/>
                <w:sz w:val="11"/>
                <w:szCs w:val="11"/>
                <w:b w:val="1"/>
                <w:bCs w:val="1"/>
                <w:color w:val="auto"/>
              </w:rPr>
              <w:t>Preferred Equity/Partnership Interests—1.7%</w:t>
            </w:r>
            <w:r>
              <w:rPr>
                <w:rFonts w:ascii="Arial" w:cs="Arial" w:eastAsia="Arial" w:hAnsi="Arial"/>
                <w:sz w:val="17"/>
                <w:szCs w:val="17"/>
                <w:b w:val="1"/>
                <w:bCs w:val="1"/>
                <w:color w:val="auto"/>
                <w:vertAlign w:val="superscript"/>
              </w:rPr>
              <w:t>(7)</w:t>
            </w:r>
          </w:p>
        </w:tc>
        <w:tc>
          <w:tcPr>
            <w:tcW w:w="1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AH Holdings, Inc.</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7"/>
              </w:rPr>
              <w:t>Healthcare, Education</w:t>
            </w: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(American Surgical Holdings, Inc.)</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222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85"/>
              </w:rPr>
              <w:t>and Childcare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6.00%</w:t>
            </w:r>
          </w:p>
        </w:tc>
        <w:tc>
          <w:tcPr>
            <w:tcW w:w="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211</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491,004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140" w:type="dxa"/>
            <w:vAlign w:val="bottom"/>
          </w:tcPr>
          <w:p>
            <w:pPr>
              <w:spacing w:after="0"/>
              <w:rPr>
                <w:sz w:val="13"/>
                <w:szCs w:val="13"/>
                <w:color w:val="auto"/>
              </w:rPr>
            </w:pPr>
          </w:p>
        </w:tc>
        <w:tc>
          <w:tcPr>
            <w:tcW w:w="8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2220" w:type="dxa"/>
            <w:vAlign w:val="bottom"/>
            <w:gridSpan w:val="3"/>
          </w:tcPr>
          <w:p>
            <w:pPr>
              <w:jc w:val="center"/>
              <w:ind w:right="200"/>
              <w:spacing w:after="0" w:line="159" w:lineRule="exact"/>
              <w:rPr>
                <w:sz w:val="20"/>
                <w:szCs w:val="20"/>
                <w:color w:val="auto"/>
              </w:rPr>
            </w:pPr>
            <w:r>
              <w:rPr>
                <w:rFonts w:ascii="Arial" w:cs="Arial" w:eastAsia="Arial" w:hAnsi="Arial"/>
                <w:sz w:val="14"/>
                <w:szCs w:val="14"/>
                <w:color w:val="auto"/>
                <w:w w:val="90"/>
              </w:rPr>
              <w:t>Other Media</w:t>
            </w:r>
          </w:p>
        </w:tc>
        <w:tc>
          <w:tcPr>
            <w:tcW w:w="8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7,505</w:t>
            </w:r>
          </w:p>
        </w:tc>
        <w:tc>
          <w:tcPr>
            <w:tcW w:w="8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318,896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20" w:type="dxa"/>
            <w:vAlign w:val="bottom"/>
            <w:gridSpan w:val="3"/>
            <w:shd w:val="clear" w:color="auto" w:fill="CCEEFF"/>
          </w:tcPr>
          <w:p>
            <w:pPr>
              <w:jc w:val="center"/>
              <w:ind w:right="220"/>
              <w:spacing w:after="0" w:line="138" w:lineRule="exact"/>
              <w:rPr>
                <w:sz w:val="20"/>
                <w:szCs w:val="20"/>
                <w:color w:val="auto"/>
              </w:rPr>
            </w:pPr>
            <w:r>
              <w:rPr>
                <w:rFonts w:ascii="Arial" w:cs="Arial" w:eastAsia="Arial" w:hAnsi="Arial"/>
                <w:sz w:val="14"/>
                <w:szCs w:val="14"/>
                <w:color w:val="auto"/>
                <w:w w:val="84"/>
              </w:rPr>
              <w:t>Aerospace and</w:t>
            </w: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(Consolidated Foundries, Inc.)</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center"/>
              <w:ind w:right="960"/>
              <w:spacing w:after="0"/>
              <w:rPr>
                <w:sz w:val="20"/>
                <w:szCs w:val="20"/>
                <w:color w:val="auto"/>
              </w:rPr>
            </w:pPr>
            <w:r>
              <w:rPr>
                <w:rFonts w:ascii="Arial" w:cs="Arial" w:eastAsia="Arial" w:hAnsi="Arial"/>
                <w:sz w:val="14"/>
                <w:szCs w:val="14"/>
                <w:color w:val="auto"/>
                <w:w w:val="84"/>
              </w:rPr>
              <w:t>Defense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12.00%</w:t>
            </w:r>
          </w:p>
        </w:tc>
        <w:tc>
          <w:tcPr>
            <w:tcW w:w="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909</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909,248</w:t>
            </w:r>
          </w:p>
        </w:tc>
        <w:tc>
          <w:tcPr>
            <w:tcW w:w="8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1,328,977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PAS Tech Holdings, Inc., Series A-1</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20" w:type="dxa"/>
            <w:vAlign w:val="bottom"/>
            <w:gridSpan w:val="3"/>
          </w:tcPr>
          <w:p>
            <w:pPr>
              <w:jc w:val="center"/>
              <w:ind w:right="220"/>
              <w:spacing w:after="0" w:line="138" w:lineRule="exact"/>
              <w:rPr>
                <w:sz w:val="20"/>
                <w:szCs w:val="20"/>
                <w:color w:val="auto"/>
              </w:rPr>
            </w:pPr>
            <w:r>
              <w:rPr>
                <w:rFonts w:ascii="Arial" w:cs="Arial" w:eastAsia="Arial" w:hAnsi="Arial"/>
                <w:sz w:val="14"/>
                <w:szCs w:val="14"/>
                <w:color w:val="auto"/>
                <w:w w:val="84"/>
              </w:rPr>
              <w:t>Aerospace and</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20" w:type="dxa"/>
            <w:vAlign w:val="bottom"/>
            <w:gridSpan w:val="2"/>
          </w:tcPr>
          <w:p>
            <w:pPr>
              <w:ind w:left="200"/>
              <w:spacing w:after="0"/>
              <w:rPr>
                <w:sz w:val="20"/>
                <w:szCs w:val="20"/>
                <w:color w:val="auto"/>
              </w:rPr>
            </w:pPr>
            <w:r>
              <w:rPr>
                <w:rFonts w:ascii="Arial" w:cs="Arial" w:eastAsia="Arial" w:hAnsi="Arial"/>
                <w:sz w:val="14"/>
                <w:szCs w:val="14"/>
                <w:color w:val="auto"/>
              </w:rPr>
              <w:t>(PAS Technologies)</w:t>
            </w:r>
          </w:p>
        </w:tc>
        <w:tc>
          <w:tcPr>
            <w:tcW w:w="14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1480" w:type="dxa"/>
            <w:vAlign w:val="bottom"/>
            <w:gridSpan w:val="2"/>
          </w:tcPr>
          <w:p>
            <w:pPr>
              <w:jc w:val="center"/>
              <w:ind w:right="960"/>
              <w:spacing w:after="0"/>
              <w:rPr>
                <w:sz w:val="20"/>
                <w:szCs w:val="20"/>
                <w:color w:val="auto"/>
              </w:rPr>
            </w:pPr>
            <w:r>
              <w:rPr>
                <w:rFonts w:ascii="Arial" w:cs="Arial" w:eastAsia="Arial" w:hAnsi="Arial"/>
                <w:sz w:val="14"/>
                <w:szCs w:val="14"/>
                <w:color w:val="auto"/>
                <w:w w:val="84"/>
              </w:rPr>
              <w:t>Defense</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8.00%</w:t>
            </w:r>
          </w:p>
        </w:tc>
        <w:tc>
          <w:tcPr>
            <w:tcW w:w="500" w:type="dxa"/>
            <w:vAlign w:val="bottom"/>
          </w:tcPr>
          <w:p>
            <w:pPr>
              <w:ind w:left="14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4"/>
                <w:szCs w:val="14"/>
                <w:color w:val="auto"/>
              </w:rPr>
              <w:t>20,000</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1,980,000</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2,026,969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center"/>
              <w:ind w:right="940"/>
              <w:spacing w:after="0" w:line="159" w:lineRule="exact"/>
              <w:rPr>
                <w:sz w:val="20"/>
                <w:szCs w:val="20"/>
                <w:color w:val="auto"/>
              </w:rPr>
            </w:pPr>
            <w:r>
              <w:rPr>
                <w:rFonts w:ascii="Arial" w:cs="Arial" w:eastAsia="Arial" w:hAnsi="Arial"/>
                <w:sz w:val="14"/>
                <w:szCs w:val="14"/>
                <w:color w:val="auto"/>
                <w:w w:val="87"/>
              </w:rPr>
              <w:t>Insurance</w:t>
            </w:r>
          </w:p>
        </w:tc>
        <w:tc>
          <w:tcPr>
            <w:tcW w:w="8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686</w:t>
            </w:r>
          </w:p>
        </w:tc>
        <w:tc>
          <w:tcPr>
            <w:tcW w:w="8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B</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140" w:type="dxa"/>
            <w:vAlign w:val="bottom"/>
          </w:tcPr>
          <w:p>
            <w:pPr>
              <w:spacing w:after="0"/>
              <w:rPr>
                <w:sz w:val="13"/>
                <w:szCs w:val="13"/>
                <w:color w:val="auto"/>
              </w:rPr>
            </w:pPr>
          </w:p>
        </w:tc>
        <w:tc>
          <w:tcPr>
            <w:tcW w:w="8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spacing w:after="0"/>
              <w:rPr>
                <w:sz w:val="13"/>
                <w:szCs w:val="13"/>
                <w:color w:val="auto"/>
              </w:rPr>
            </w:pPr>
          </w:p>
        </w:tc>
        <w:tc>
          <w:tcPr>
            <w:tcW w:w="1480" w:type="dxa"/>
            <w:vAlign w:val="bottom"/>
            <w:gridSpan w:val="2"/>
          </w:tcPr>
          <w:p>
            <w:pPr>
              <w:jc w:val="center"/>
              <w:ind w:right="940"/>
              <w:spacing w:after="0" w:line="159" w:lineRule="exact"/>
              <w:rPr>
                <w:sz w:val="20"/>
                <w:szCs w:val="20"/>
                <w:color w:val="auto"/>
              </w:rPr>
            </w:pPr>
            <w:r>
              <w:rPr>
                <w:rFonts w:ascii="Arial" w:cs="Arial" w:eastAsia="Arial" w:hAnsi="Arial"/>
                <w:sz w:val="14"/>
                <w:szCs w:val="14"/>
                <w:color w:val="auto"/>
                <w:w w:val="87"/>
              </w:rPr>
              <w:t>Insurance</w:t>
            </w: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6.50%</w:t>
            </w:r>
          </w:p>
        </w:tc>
        <w:tc>
          <w:tcPr>
            <w:tcW w:w="500" w:type="dxa"/>
            <w:vAlign w:val="bottom"/>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1,312</w:t>
            </w:r>
          </w:p>
        </w:tc>
        <w:tc>
          <w:tcPr>
            <w:tcW w:w="86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1,312,006</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1,581,165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2220" w:type="dxa"/>
            <w:vAlign w:val="bottom"/>
            <w:gridSpan w:val="3"/>
            <w:shd w:val="clear" w:color="auto" w:fill="CCEEFF"/>
          </w:tcPr>
          <w:p>
            <w:pPr>
              <w:jc w:val="center"/>
              <w:ind w:right="200"/>
              <w:spacing w:after="0" w:line="159" w:lineRule="exact"/>
              <w:rPr>
                <w:sz w:val="20"/>
                <w:szCs w:val="20"/>
                <w:color w:val="auto"/>
              </w:rPr>
            </w:pPr>
            <w:r>
              <w:rPr>
                <w:rFonts w:ascii="Arial" w:cs="Arial" w:eastAsia="Arial" w:hAnsi="Arial"/>
                <w:sz w:val="14"/>
                <w:szCs w:val="14"/>
                <w:color w:val="auto"/>
                <w:w w:val="89"/>
              </w:rPr>
              <w:t>Oil and Gas</w:t>
            </w: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8.00%</w:t>
            </w:r>
          </w:p>
        </w:tc>
        <w:tc>
          <w:tcPr>
            <w:tcW w:w="5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101,175</w:t>
            </w:r>
          </w:p>
        </w:tc>
        <w:tc>
          <w:tcPr>
            <w:tcW w:w="8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2,738,050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Verde Parent Holdings, Inc.</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tcBorders>
              <w:bottom w:val="single" w:sz="8" w:color="CCEEFF"/>
            </w:tcBorders>
            <w:gridSpan w:val="2"/>
          </w:tcPr>
          <w:p>
            <w:pPr>
              <w:ind w:left="200"/>
              <w:spacing w:after="0" w:line="159" w:lineRule="exact"/>
              <w:rPr>
                <w:sz w:val="20"/>
                <w:szCs w:val="20"/>
                <w:color w:val="auto"/>
              </w:rPr>
            </w:pPr>
            <w:r>
              <w:rPr>
                <w:rFonts w:ascii="Arial" w:cs="Arial" w:eastAsia="Arial" w:hAnsi="Arial"/>
                <w:sz w:val="14"/>
                <w:szCs w:val="14"/>
                <w:color w:val="auto"/>
              </w:rPr>
              <w:t>(VPSI, Inc)</w:t>
            </w:r>
          </w:p>
        </w:tc>
        <w:tc>
          <w:tcPr>
            <w:tcW w:w="14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2220" w:type="dxa"/>
            <w:vAlign w:val="bottom"/>
            <w:tcBorders>
              <w:bottom w:val="single" w:sz="8" w:color="CCEEFF"/>
            </w:tcBorders>
            <w:gridSpan w:val="3"/>
          </w:tcPr>
          <w:p>
            <w:pPr>
              <w:jc w:val="center"/>
              <w:ind w:right="200"/>
              <w:spacing w:after="0" w:line="159" w:lineRule="exact"/>
              <w:rPr>
                <w:sz w:val="20"/>
                <w:szCs w:val="20"/>
                <w:color w:val="auto"/>
              </w:rPr>
            </w:pPr>
            <w:r>
              <w:rPr>
                <w:rFonts w:ascii="Arial" w:cs="Arial" w:eastAsia="Arial" w:hAnsi="Arial"/>
                <w:sz w:val="14"/>
                <w:szCs w:val="14"/>
                <w:color w:val="auto"/>
                <w:w w:val="86"/>
              </w:rPr>
              <w:t>Personal Transportation</w:t>
            </w:r>
          </w:p>
        </w:tc>
        <w:tc>
          <w:tcPr>
            <w:tcW w:w="800" w:type="dxa"/>
            <w:vAlign w:val="bottom"/>
            <w:tcBorders>
              <w:bottom w:val="single" w:sz="8" w:color="CCEEFF"/>
            </w:tcBorders>
            <w:gridSpan w:val="2"/>
          </w:tcPr>
          <w:p>
            <w:pPr>
              <w:jc w:val="right"/>
              <w:ind w:right="200"/>
              <w:spacing w:after="0" w:line="159" w:lineRule="exact"/>
              <w:rPr>
                <w:sz w:val="20"/>
                <w:szCs w:val="20"/>
                <w:color w:val="auto"/>
              </w:rPr>
            </w:pPr>
            <w:r>
              <w:rPr>
                <w:rFonts w:ascii="Arial" w:cs="Arial" w:eastAsia="Arial" w:hAnsi="Arial"/>
                <w:sz w:val="14"/>
                <w:szCs w:val="14"/>
                <w:color w:val="auto"/>
              </w:rPr>
              <w:t>8.00%</w:t>
            </w:r>
          </w:p>
        </w:tc>
        <w:tc>
          <w:tcPr>
            <w:tcW w:w="500" w:type="dxa"/>
            <w:vAlign w:val="bottom"/>
            <w:tcBorders>
              <w:bottom w:val="single" w:sz="8" w:color="CCEEFF"/>
            </w:tcBorders>
          </w:tcPr>
          <w:p>
            <w:pPr>
              <w:ind w:left="140"/>
              <w:spacing w:after="0" w:line="15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3"/>
          </w:tcPr>
          <w:p>
            <w:pPr>
              <w:jc w:val="right"/>
              <w:ind w:right="100"/>
              <w:spacing w:after="0" w:line="159" w:lineRule="exact"/>
              <w:rPr>
                <w:sz w:val="20"/>
                <w:szCs w:val="20"/>
                <w:color w:val="auto"/>
              </w:rPr>
            </w:pPr>
            <w:r>
              <w:rPr>
                <w:rFonts w:ascii="Arial" w:cs="Arial" w:eastAsia="Arial" w:hAnsi="Arial"/>
                <w:sz w:val="14"/>
                <w:szCs w:val="14"/>
                <w:color w:val="auto"/>
              </w:rPr>
              <w:t>1,824,167</w:t>
            </w:r>
          </w:p>
        </w:tc>
        <w:tc>
          <w:tcPr>
            <w:tcW w:w="1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1,824,167</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1,911,003</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22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10,268,187</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8,024,938</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0"/>
              </w:rPr>
              <w:t>Basis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Point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Spread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Above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5"/>
              </w:rPr>
              <w:t>Maturity</w:t>
            </w:r>
          </w:p>
        </w:tc>
        <w:tc>
          <w:tcPr>
            <w:tcW w:w="860" w:type="dxa"/>
            <w:vAlign w:val="bottom"/>
          </w:tcPr>
          <w:p>
            <w:pPr>
              <w:spacing w:after="0"/>
              <w:rPr>
                <w:sz w:val="12"/>
                <w:szCs w:val="12"/>
                <w:color w:val="auto"/>
              </w:rPr>
            </w:pPr>
          </w:p>
        </w:tc>
        <w:tc>
          <w:tcPr>
            <w:tcW w:w="142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90"/>
              </w:rPr>
              <w:t>Industry</w:t>
            </w: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Coupon</w:t>
            </w:r>
          </w:p>
        </w:tc>
        <w:tc>
          <w:tcPr>
            <w:tcW w:w="640" w:type="dxa"/>
            <w:vAlign w:val="bottom"/>
            <w:gridSpan w:val="2"/>
          </w:tcPr>
          <w:p>
            <w:pPr>
              <w:jc w:val="center"/>
              <w:ind w:right="14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2"/>
                <w:szCs w:val="12"/>
                <w:color w:val="auto"/>
              </w:rPr>
            </w:pPr>
          </w:p>
        </w:tc>
        <w:tc>
          <w:tcPr>
            <w:tcW w:w="740" w:type="dxa"/>
            <w:vAlign w:val="bottom"/>
            <w:gridSpan w:val="4"/>
          </w:tcPr>
          <w:p>
            <w:pPr>
              <w:jc w:val="right"/>
              <w:ind w:right="32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420" w:type="dxa"/>
            <w:vAlign w:val="bottom"/>
            <w:gridSpan w:val="2"/>
            <w:shd w:val="clear" w:color="auto" w:fill="CCEEFF"/>
          </w:tcPr>
          <w:p>
            <w:pPr>
              <w:spacing w:after="0" w:line="116" w:lineRule="exact"/>
              <w:rPr>
                <w:sz w:val="20"/>
                <w:szCs w:val="20"/>
                <w:color w:val="auto"/>
              </w:rPr>
            </w:pPr>
            <w:r>
              <w:rPr>
                <w:rFonts w:ascii="Arial" w:cs="Arial" w:eastAsia="Arial" w:hAnsi="Arial"/>
                <w:sz w:val="9"/>
                <w:szCs w:val="9"/>
                <w:b w:val="1"/>
                <w:bCs w:val="1"/>
                <w:color w:val="auto"/>
              </w:rPr>
              <w:t>Common Equity/Warrants/Partnership Interests—7.0%</w:t>
            </w:r>
            <w:r>
              <w:rPr>
                <w:rFonts w:ascii="Arial" w:cs="Arial" w:eastAsia="Arial" w:hAnsi="Arial"/>
                <w:sz w:val="13"/>
                <w:szCs w:val="13"/>
                <w:b w:val="1"/>
                <w:bCs w:val="1"/>
                <w:color w:val="auto"/>
                <w:vertAlign w:val="superscript"/>
              </w:rPr>
              <w:t>(7)</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AH Holdings, Inc</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7"/>
              </w:rPr>
              <w:t>Healthcare, Education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tcPr>
          <w:p>
            <w:pPr>
              <w:ind w:left="200"/>
              <w:spacing w:after="0"/>
              <w:rPr>
                <w:sz w:val="20"/>
                <w:szCs w:val="20"/>
                <w:color w:val="auto"/>
              </w:rPr>
            </w:pPr>
            <w:r>
              <w:rPr>
                <w:rFonts w:ascii="Arial" w:cs="Arial" w:eastAsia="Arial" w:hAnsi="Arial"/>
                <w:sz w:val="14"/>
                <w:szCs w:val="14"/>
                <w:color w:val="auto"/>
              </w:rPr>
              <w:t>(American Surgical Holdings, Inc.) (Warrants)</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3/23/2021</w:t>
            </w:r>
          </w:p>
        </w:tc>
        <w:tc>
          <w:tcPr>
            <w:tcW w:w="22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and Childcare</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753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8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CEA Autumn Management, LLC</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86"/>
              </w:rPr>
              <w:t>Broadcasting and Entertainment</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1,333</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280,176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CFHC Holdings, Inc.</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4"/>
              </w:rPr>
              <w:t>Aerospace and</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tcPr>
          <w:p>
            <w:pPr>
              <w:ind w:left="200"/>
              <w:spacing w:after="0"/>
              <w:rPr>
                <w:sz w:val="20"/>
                <w:szCs w:val="20"/>
                <w:color w:val="auto"/>
              </w:rPr>
            </w:pPr>
            <w:r>
              <w:rPr>
                <w:rFonts w:ascii="Arial" w:cs="Arial" w:eastAsia="Arial" w:hAnsi="Arial"/>
                <w:sz w:val="14"/>
                <w:szCs w:val="14"/>
                <w:color w:val="auto"/>
              </w:rPr>
              <w:t>(Consolidated Foundries, Inc.)</w:t>
            </w:r>
          </w:p>
        </w:tc>
        <w:tc>
          <w:tcPr>
            <w:tcW w:w="8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1420" w:type="dxa"/>
            <w:vAlign w:val="bottom"/>
            <w:gridSpan w:val="2"/>
          </w:tcPr>
          <w:p>
            <w:pPr>
              <w:jc w:val="center"/>
              <w:ind w:right="900"/>
              <w:spacing w:after="0"/>
              <w:rPr>
                <w:sz w:val="20"/>
                <w:szCs w:val="20"/>
                <w:color w:val="auto"/>
              </w:rPr>
            </w:pPr>
            <w:r>
              <w:rPr>
                <w:rFonts w:ascii="Arial" w:cs="Arial" w:eastAsia="Arial" w:hAnsi="Arial"/>
                <w:sz w:val="14"/>
                <w:szCs w:val="14"/>
                <w:color w:val="auto"/>
                <w:w w:val="84"/>
              </w:rPr>
              <w:t>Defense</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1,856</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18,556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1,443,556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3"/>
              </w:rPr>
              <w:t>Business Services</w:t>
            </w:r>
          </w:p>
        </w:tc>
        <w:tc>
          <w:tcPr>
            <w:tcW w:w="6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5,556</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2,277,209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8,431,871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DirectBuy Investors, L.P.</w:t>
            </w:r>
          </w:p>
        </w:tc>
        <w:tc>
          <w:tcPr>
            <w:tcW w:w="8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5"/>
              </w:rPr>
              <w:t>Consumer Products</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30,000</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1,350,000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469,500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Kadmon Corporation, LLC, Class A</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80" w:type="dxa"/>
            <w:vAlign w:val="bottom"/>
            <w:gridSpan w:val="3"/>
            <w:vMerge w:val="restart"/>
            <w:shd w:val="clear" w:color="auto" w:fill="CCEEFF"/>
          </w:tcPr>
          <w:p>
            <w:pPr>
              <w:jc w:val="center"/>
              <w:ind w:right="40"/>
              <w:spacing w:after="0"/>
              <w:rPr>
                <w:sz w:val="20"/>
                <w:szCs w:val="20"/>
                <w:color w:val="auto"/>
              </w:rPr>
            </w:pPr>
            <w:r>
              <w:rPr>
                <w:rFonts w:ascii="Arial" w:cs="Arial" w:eastAsia="Arial" w:hAnsi="Arial"/>
                <w:sz w:val="14"/>
                <w:szCs w:val="14"/>
                <w:color w:val="auto"/>
                <w:w w:val="87"/>
              </w:rPr>
              <w:t>Healthcare, Education</w:t>
            </w: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gridSpan w:val="2"/>
            <w:shd w:val="clear" w:color="auto" w:fill="CCEEFF"/>
          </w:tcPr>
          <w:p>
            <w:pPr>
              <w:ind w:left="200"/>
              <w:spacing w:after="0" w:line="135" w:lineRule="exact"/>
              <w:rPr>
                <w:sz w:val="20"/>
                <w:szCs w:val="20"/>
                <w:color w:val="auto"/>
              </w:rPr>
            </w:pPr>
            <w:r>
              <w:rPr>
                <w:rFonts w:ascii="Arial" w:cs="Arial" w:eastAsia="Arial" w:hAnsi="Arial"/>
                <w:sz w:val="14"/>
                <w:szCs w:val="14"/>
                <w:color w:val="auto"/>
              </w:rPr>
              <w:t>(f/k/a Kadmon Holdings, LLC)</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80" w:type="dxa"/>
            <w:vAlign w:val="bottom"/>
            <w:gridSpan w:val="3"/>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(Kadmon Pharmaceuticals, LLC)</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87"/>
              </w:rPr>
              <w:t>and Childcare</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w w:val="83"/>
              </w:rPr>
              <w:t>1,079,920</w:t>
            </w:r>
          </w:p>
        </w:tc>
        <w:tc>
          <w:tcPr>
            <w:tcW w:w="8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1,236,832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295,205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Kadmon Corporation, LLC, Class D</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vMerge w:val="restart"/>
          </w:tcPr>
          <w:p>
            <w:pPr>
              <w:jc w:val="center"/>
              <w:ind w:right="40"/>
              <w:spacing w:after="0"/>
              <w:rPr>
                <w:sz w:val="20"/>
                <w:szCs w:val="20"/>
                <w:color w:val="auto"/>
              </w:rPr>
            </w:pPr>
            <w:r>
              <w:rPr>
                <w:rFonts w:ascii="Arial" w:cs="Arial" w:eastAsia="Arial" w:hAnsi="Arial"/>
                <w:sz w:val="14"/>
                <w:szCs w:val="14"/>
                <w:color w:val="auto"/>
                <w:w w:val="87"/>
              </w:rPr>
              <w:t>Healthcare, Education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20" w:type="dxa"/>
            <w:vAlign w:val="bottom"/>
            <w:gridSpan w:val="2"/>
          </w:tcPr>
          <w:p>
            <w:pPr>
              <w:ind w:left="200"/>
              <w:spacing w:after="0" w:line="135" w:lineRule="exact"/>
              <w:rPr>
                <w:sz w:val="20"/>
                <w:szCs w:val="20"/>
                <w:color w:val="auto"/>
              </w:rPr>
            </w:pPr>
            <w:r>
              <w:rPr>
                <w:rFonts w:ascii="Arial" w:cs="Arial" w:eastAsia="Arial" w:hAnsi="Arial"/>
                <w:sz w:val="14"/>
                <w:szCs w:val="14"/>
                <w:color w:val="auto"/>
              </w:rPr>
              <w:t>(f/k/a Kadmon Holdings, LLC)</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tcPr>
          <w:p>
            <w:pPr>
              <w:ind w:left="200"/>
              <w:spacing w:after="0"/>
              <w:rPr>
                <w:sz w:val="20"/>
                <w:szCs w:val="20"/>
                <w:color w:val="auto"/>
              </w:rPr>
            </w:pPr>
            <w:r>
              <w:rPr>
                <w:rFonts w:ascii="Arial" w:cs="Arial" w:eastAsia="Arial" w:hAnsi="Arial"/>
                <w:sz w:val="14"/>
                <w:szCs w:val="14"/>
                <w:color w:val="auto"/>
              </w:rPr>
              <w:t>(Kadmon Pharmaceuticals, LLC)</w:t>
            </w:r>
          </w:p>
        </w:tc>
        <w:tc>
          <w:tcPr>
            <w:tcW w:w="8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and Childcare</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w w:val="83"/>
              </w:rPr>
              <w:t>1,079,920</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1,028,807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1,028,807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4/27/2020</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9"/>
              </w:rPr>
              <w:t>Education</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1,267</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779,920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112,064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8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Oil and Gas</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83"/>
              </w:rPr>
              <w:t>1,221,932</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3,239,999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4,044,595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 (Warrants)</w:t>
            </w:r>
          </w:p>
        </w:tc>
        <w:tc>
          <w:tcPr>
            <w:tcW w:w="8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10/14/2013</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6"/>
              </w:rPr>
              <w:t>Oil and Gas</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122,193</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105,697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61,091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MidOcean PPL Holdings, Inc.</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86"/>
              </w:rPr>
              <w:t>Personal, Food and Miscellaneous</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gridSpan w:val="2"/>
          </w:tcPr>
          <w:p>
            <w:pPr>
              <w:ind w:left="200"/>
              <w:spacing w:after="0"/>
              <w:rPr>
                <w:sz w:val="20"/>
                <w:szCs w:val="20"/>
                <w:color w:val="auto"/>
              </w:rPr>
            </w:pPr>
            <w:r>
              <w:rPr>
                <w:rFonts w:ascii="Arial" w:cs="Arial" w:eastAsia="Arial" w:hAnsi="Arial"/>
                <w:sz w:val="14"/>
                <w:szCs w:val="14"/>
                <w:color w:val="auto"/>
              </w:rPr>
              <w:t>(Pre-Paid LegalServices, Inc.)</w:t>
            </w:r>
          </w:p>
        </w:tc>
        <w:tc>
          <w:tcPr>
            <w:tcW w:w="80" w:type="dxa"/>
            <w:vAlign w:val="bottom"/>
          </w:tcPr>
          <w:p>
            <w:pPr>
              <w:spacing w:after="0"/>
              <w:rPr>
                <w:sz w:val="15"/>
                <w:szCs w:val="15"/>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1420" w:type="dxa"/>
            <w:vAlign w:val="bottom"/>
            <w:gridSpan w:val="2"/>
          </w:tcPr>
          <w:p>
            <w:pPr>
              <w:jc w:val="center"/>
              <w:ind w:right="920"/>
              <w:spacing w:after="0"/>
              <w:rPr>
                <w:sz w:val="20"/>
                <w:szCs w:val="20"/>
                <w:color w:val="auto"/>
              </w:rPr>
            </w:pPr>
            <w:r>
              <w:rPr>
                <w:rFonts w:ascii="Arial" w:cs="Arial" w:eastAsia="Arial" w:hAnsi="Arial"/>
                <w:sz w:val="14"/>
                <w:szCs w:val="14"/>
                <w:color w:val="auto"/>
                <w:w w:val="85"/>
              </w:rPr>
              <w:t>Services</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3,320,146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Tech Holdings, Inc. (PAS Technologies)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101,931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QMG HoldCo, LLC, Class A</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80" w:type="dxa"/>
            <w:vAlign w:val="bottom"/>
          </w:tcPr>
          <w:p>
            <w:pPr>
              <w:spacing w:after="0"/>
              <w:rPr>
                <w:sz w:val="13"/>
                <w:szCs w:val="13"/>
                <w:color w:val="auto"/>
              </w:rPr>
            </w:pPr>
          </w:p>
        </w:tc>
        <w:tc>
          <w:tcPr>
            <w:tcW w:w="78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8"/>
              </w:rPr>
              <w:t>Other Media</w:t>
            </w:r>
          </w:p>
        </w:tc>
        <w:tc>
          <w:tcPr>
            <w:tcW w:w="6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40" w:type="dxa"/>
            <w:vAlign w:val="bottom"/>
            <w:gridSpan w:val="3"/>
          </w:tcPr>
          <w:p>
            <w:pPr>
              <w:jc w:val="right"/>
              <w:ind w:right="200"/>
              <w:spacing w:after="0" w:line="159" w:lineRule="exact"/>
              <w:rPr>
                <w:sz w:val="20"/>
                <w:szCs w:val="20"/>
                <w:color w:val="auto"/>
              </w:rPr>
            </w:pPr>
            <w:r>
              <w:rPr>
                <w:rFonts w:ascii="Arial" w:cs="Arial" w:eastAsia="Arial" w:hAnsi="Arial"/>
                <w:sz w:val="14"/>
                <w:szCs w:val="14"/>
                <w:color w:val="auto"/>
              </w:rPr>
              <w:t>4,325</w:t>
            </w:r>
          </w:p>
        </w:tc>
        <w:tc>
          <w:tcPr>
            <w:tcW w:w="80" w:type="dxa"/>
            <w:vAlign w:val="bottom"/>
          </w:tcPr>
          <w:p>
            <w:pPr>
              <w:spacing w:after="0"/>
              <w:rPr>
                <w:sz w:val="13"/>
                <w:szCs w:val="13"/>
                <w:color w:val="auto"/>
              </w:rPr>
            </w:pPr>
          </w:p>
        </w:tc>
        <w:tc>
          <w:tcPr>
            <w:tcW w:w="74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rPr>
              <w:t>1,306,167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1,352,585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B</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8"/>
              </w:rPr>
              <w:t>Other Media</w:t>
            </w:r>
          </w:p>
        </w:tc>
        <w:tc>
          <w:tcPr>
            <w:tcW w:w="6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531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166,063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4"/>
              </w:rPr>
              <w:t>12/29/2019</w:t>
            </w:r>
          </w:p>
        </w:tc>
        <w:tc>
          <w:tcPr>
            <w:tcW w:w="22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3,500</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29,400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577,061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Transportation 100 Holdco, LLC</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6"/>
              </w:rPr>
              <w:t>Cargo Transport</w:t>
            </w:r>
          </w:p>
        </w:tc>
        <w:tc>
          <w:tcPr>
            <w:tcW w:w="6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137,923</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2,111,588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1,521,406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8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2"/>
                <w:szCs w:val="12"/>
                <w:color w:val="auto"/>
              </w:rPr>
            </w:pPr>
          </w:p>
        </w:tc>
        <w:tc>
          <w:tcPr>
            <w:tcW w:w="142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84"/>
              </w:rPr>
              <w:t>Insurance</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9,843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1,591,505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Inc.</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(UP Support Services, Inc.)</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6"/>
              </w:rPr>
              <w:t>Oil and Gas</w:t>
            </w:r>
          </w:p>
        </w:tc>
        <w:tc>
          <w:tcPr>
            <w:tcW w:w="6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110,742</w:t>
            </w:r>
          </w:p>
        </w:tc>
        <w:tc>
          <w:tcPr>
            <w:tcW w:w="8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1,107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3"/>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color w:val="auto"/>
              </w:rPr>
              <w:t>Verde Parent Holdings, Inc ( VPSI, Inc.)</w:t>
            </w:r>
          </w:p>
        </w:tc>
        <w:tc>
          <w:tcPr>
            <w:tcW w:w="80" w:type="dxa"/>
            <w:vAlign w:val="bottom"/>
          </w:tcPr>
          <w:p>
            <w:pPr>
              <w:spacing w:after="0"/>
              <w:rPr>
                <w:sz w:val="12"/>
                <w:szCs w:val="12"/>
                <w:color w:val="auto"/>
              </w:rPr>
            </w:pPr>
          </w:p>
        </w:tc>
        <w:tc>
          <w:tcPr>
            <w:tcW w:w="7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Personal Transportation</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9,166</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9,166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6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35,526</w:t>
            </w: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7,501,780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4"/>
          </w:tcPr>
          <w:p>
            <w:pPr>
              <w:jc w:val="right"/>
              <w:ind w:right="80"/>
              <w:spacing w:after="0" w:line="155" w:lineRule="exact"/>
              <w:rPr>
                <w:sz w:val="20"/>
                <w:szCs w:val="20"/>
                <w:color w:val="auto"/>
              </w:rPr>
            </w:pPr>
            <w:r>
              <w:rPr>
                <w:rFonts w:ascii="Arial" w:cs="Arial" w:eastAsia="Arial" w:hAnsi="Arial"/>
                <w:sz w:val="14"/>
                <w:szCs w:val="14"/>
                <w:color w:val="auto"/>
                <w:w w:val="91"/>
              </w:rPr>
              <w:t>23,574,291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4"/>
              </w:rPr>
              <w:t>32,299,342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9"/>
              </w:rPr>
              <w:t>Investments in Non-Controlled, Non-Affiliated Portfolio Companies</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816,078,311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773,375,381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Investments in Non-Controlled, Affiliated Portfolio Companies—8.8%</w:t>
            </w:r>
            <w:r>
              <w:rPr>
                <w:rFonts w:ascii="Arial" w:cs="Arial" w:eastAsia="Arial" w:hAnsi="Arial"/>
                <w:sz w:val="18"/>
                <w:szCs w:val="18"/>
                <w:b w:val="1"/>
                <w:bCs w:val="1"/>
                <w:color w:val="auto"/>
                <w:vertAlign w:val="superscript"/>
              </w:rPr>
              <w:t>(1),(2)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First Lien Secured Debt—1.4%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8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7/29/2013</w:t>
            </w:r>
          </w:p>
        </w:tc>
        <w:tc>
          <w:tcPr>
            <w:tcW w:w="22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Environmental Services</w:t>
            </w: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2.72%</w:t>
            </w: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7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83"/>
              </w:rPr>
              <w:t>6,666,666</w:t>
            </w:r>
          </w:p>
        </w:tc>
        <w:tc>
          <w:tcPr>
            <w:tcW w:w="80" w:type="dxa"/>
            <w:vAlign w:val="bottom"/>
          </w:tcPr>
          <w:p>
            <w:pPr>
              <w:spacing w:after="0"/>
              <w:rPr>
                <w:sz w:val="12"/>
                <w:szCs w:val="12"/>
                <w:color w:val="auto"/>
              </w:rPr>
            </w:pPr>
          </w:p>
        </w:tc>
        <w:tc>
          <w:tcPr>
            <w:tcW w:w="74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6,666,666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Second Lien Secured Debt—2.9%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4"/>
                <w:szCs w:val="14"/>
                <w:color w:val="auto"/>
                <w:w w:val="87"/>
              </w:rPr>
              <w:t>L+600</w:t>
            </w:r>
            <w:r>
              <w:rPr>
                <w:rFonts w:ascii="Arial" w:cs="Arial" w:eastAsia="Arial" w:hAnsi="Arial"/>
                <w:sz w:val="22"/>
                <w:szCs w:val="22"/>
                <w:color w:val="auto"/>
                <w:w w:val="87"/>
                <w:vertAlign w:val="superscript"/>
              </w:rPr>
              <w:t>(8)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7/29/2014</w:t>
            </w:r>
          </w:p>
        </w:tc>
        <w:tc>
          <w:tcPr>
            <w:tcW w:w="2280" w:type="dxa"/>
            <w:vAlign w:val="bottom"/>
            <w:gridSpan w:val="3"/>
            <w:vMerge w:val="restart"/>
          </w:tcPr>
          <w:p>
            <w:pPr>
              <w:jc w:val="center"/>
              <w:ind w:right="60"/>
              <w:spacing w:after="0"/>
              <w:rPr>
                <w:sz w:val="20"/>
                <w:szCs w:val="20"/>
                <w:color w:val="auto"/>
              </w:rPr>
            </w:pPr>
            <w:r>
              <w:rPr>
                <w:rFonts w:ascii="Arial" w:cs="Arial" w:eastAsia="Arial" w:hAnsi="Arial"/>
                <w:sz w:val="14"/>
                <w:szCs w:val="14"/>
                <w:color w:val="auto"/>
                <w:w w:val="88"/>
              </w:rPr>
              <w:t>Environmental Services</w:t>
            </w:r>
          </w:p>
        </w:tc>
        <w:tc>
          <w:tcPr>
            <w:tcW w:w="660" w:type="dxa"/>
            <w:vAlign w:val="bottom"/>
            <w:gridSpan w:val="2"/>
          </w:tcPr>
          <w:p>
            <w:pPr>
              <w:ind w:left="240"/>
              <w:spacing w:after="0"/>
              <w:rPr>
                <w:sz w:val="20"/>
                <w:szCs w:val="20"/>
                <w:color w:val="auto"/>
              </w:rPr>
            </w:pPr>
            <w:r>
              <w:rPr>
                <w:rFonts w:ascii="Arial" w:cs="Arial" w:eastAsia="Arial" w:hAnsi="Arial"/>
                <w:sz w:val="14"/>
                <w:szCs w:val="14"/>
                <w:color w:val="auto"/>
              </w:rPr>
              <w:t>8.00%</w:t>
            </w:r>
          </w:p>
        </w:tc>
        <w:tc>
          <w:tcPr>
            <w:tcW w:w="6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4"/>
                <w:szCs w:val="14"/>
                <w:color w:val="auto"/>
                <w:w w:val="83"/>
              </w:rPr>
              <w:t>5,870,416</w:t>
            </w:r>
          </w:p>
        </w:tc>
        <w:tc>
          <w:tcPr>
            <w:tcW w:w="80" w:type="dxa"/>
            <w:vAlign w:val="bottom"/>
          </w:tcPr>
          <w:p>
            <w:pPr>
              <w:spacing w:after="0"/>
              <w:rPr>
                <w:sz w:val="20"/>
                <w:szCs w:val="20"/>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rPr>
              <w:t>5,870,416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5,870,416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2"/>
            <w:vMerge w:val="restart"/>
          </w:tcPr>
          <w:p>
            <w:pPr>
              <w:ind w:left="120"/>
              <w:spacing w:after="0" w:line="212" w:lineRule="exact"/>
              <w:rPr>
                <w:sz w:val="20"/>
                <w:szCs w:val="20"/>
                <w:color w:val="auto"/>
              </w:rPr>
            </w:pPr>
            <w:r>
              <w:rPr>
                <w:rFonts w:ascii="Arial" w:cs="Arial" w:eastAsia="Arial" w:hAnsi="Arial"/>
                <w:sz w:val="14"/>
                <w:szCs w:val="14"/>
                <w:color w:val="auto"/>
                <w:w w:val="87"/>
              </w:rPr>
              <w:t>L+625</w:t>
            </w:r>
            <w:r>
              <w:rPr>
                <w:rFonts w:ascii="Arial" w:cs="Arial" w:eastAsia="Arial" w:hAnsi="Arial"/>
                <w:sz w:val="22"/>
                <w:szCs w:val="22"/>
                <w:color w:val="auto"/>
                <w:w w:val="87"/>
                <w:vertAlign w:val="superscript"/>
              </w:rPr>
              <w:t>(8)</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20" w:type="dxa"/>
            <w:vAlign w:val="bottom"/>
            <w:gridSpan w:val="2"/>
          </w:tcPr>
          <w:p>
            <w:pPr>
              <w:spacing w:after="0" w:line="138" w:lineRule="exact"/>
              <w:rPr>
                <w:sz w:val="20"/>
                <w:szCs w:val="20"/>
                <w:color w:val="auto"/>
              </w:rPr>
            </w:pPr>
            <w:r>
              <w:rPr>
                <w:rFonts w:ascii="Arial" w:cs="Arial" w:eastAsia="Arial" w:hAnsi="Arial"/>
                <w:sz w:val="14"/>
                <w:szCs w:val="14"/>
                <w:color w:val="auto"/>
              </w:rPr>
              <w:t>Performance, Inc.</w:t>
            </w:r>
          </w:p>
        </w:tc>
        <w:tc>
          <w:tcPr>
            <w:tcW w:w="86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1/16/2015</w:t>
            </w:r>
          </w:p>
        </w:tc>
        <w:tc>
          <w:tcPr>
            <w:tcW w:w="22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7"/>
              </w:rPr>
              <w:t>Leisure, Amusement,</w:t>
            </w:r>
          </w:p>
        </w:tc>
        <w:tc>
          <w:tcPr>
            <w:tcW w:w="66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7.25%</w:t>
            </w: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w w:val="83"/>
              </w:rPr>
              <w:t>8,000,000</w:t>
            </w:r>
          </w:p>
        </w:tc>
        <w:tc>
          <w:tcPr>
            <w:tcW w:w="80" w:type="dxa"/>
            <w:vAlign w:val="bottom"/>
          </w:tcPr>
          <w:p>
            <w:pPr>
              <w:spacing w:after="0"/>
              <w:rPr>
                <w:sz w:val="11"/>
                <w:szCs w:val="11"/>
                <w:color w:val="auto"/>
              </w:rPr>
            </w:pPr>
          </w:p>
        </w:tc>
        <w:tc>
          <w:tcPr>
            <w:tcW w:w="740" w:type="dxa"/>
            <w:vAlign w:val="bottom"/>
            <w:gridSpan w:val="4"/>
          </w:tcPr>
          <w:p>
            <w:pPr>
              <w:jc w:val="right"/>
              <w:ind w:right="80"/>
              <w:spacing w:after="0" w:line="138" w:lineRule="exact"/>
              <w:rPr>
                <w:sz w:val="20"/>
                <w:szCs w:val="20"/>
                <w:color w:val="auto"/>
              </w:rPr>
            </w:pPr>
            <w:r>
              <w:rPr>
                <w:rFonts w:ascii="Arial" w:cs="Arial" w:eastAsia="Arial" w:hAnsi="Arial"/>
                <w:sz w:val="14"/>
                <w:szCs w:val="14"/>
                <w:color w:val="auto"/>
              </w:rPr>
              <w:t>8,000,000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7,336,000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3"/>
          </w:tcPr>
          <w:p>
            <w:pPr>
              <w:jc w:val="center"/>
              <w:ind w:right="60"/>
              <w:spacing w:after="0"/>
              <w:rPr>
                <w:sz w:val="20"/>
                <w:szCs w:val="20"/>
                <w:color w:val="auto"/>
              </w:rPr>
            </w:pPr>
            <w:r>
              <w:rPr>
                <w:rFonts w:ascii="Arial" w:cs="Arial" w:eastAsia="Arial" w:hAnsi="Arial"/>
                <w:sz w:val="14"/>
                <w:szCs w:val="14"/>
                <w:color w:val="auto"/>
                <w:w w:val="88"/>
              </w:rPr>
              <w:t>Motion Pictures and Entertainment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Total Second Lien Secured Debt</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4"/>
                <w:szCs w:val="14"/>
                <w:color w:val="auto"/>
                <w:w w:val="91"/>
              </w:rPr>
              <w:t>13,870,416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94"/>
              </w:rPr>
              <w:t>13,206,416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7246620" cy="946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-316230</wp:posOffset>
            </wp:positionV>
            <wp:extent cx="7246620" cy="1974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Maturity</w:t>
            </w:r>
          </w:p>
        </w:tc>
        <w:tc>
          <w:tcPr>
            <w:tcW w:w="860" w:type="dxa"/>
            <w:vAlign w:val="bottom"/>
          </w:tcPr>
          <w:p>
            <w:pPr>
              <w:spacing w:after="0"/>
              <w:rPr>
                <w:sz w:val="12"/>
                <w:szCs w:val="12"/>
                <w:color w:val="auto"/>
              </w:rPr>
            </w:pPr>
          </w:p>
        </w:tc>
        <w:tc>
          <w:tcPr>
            <w:tcW w:w="142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94"/>
              </w:rPr>
              <w:t>Industry</w:t>
            </w: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Coupon</w:t>
            </w:r>
          </w:p>
        </w:tc>
        <w:tc>
          <w:tcPr>
            <w:tcW w:w="48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60" w:type="dxa"/>
            <w:vAlign w:val="bottom"/>
            <w:gridSpan w:val="4"/>
          </w:tcPr>
          <w:p>
            <w:pPr>
              <w:ind w:left="180"/>
              <w:spacing w:after="0" w:line="129" w:lineRule="exact"/>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26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22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Notes—1.4%</w:t>
            </w:r>
          </w:p>
        </w:tc>
        <w:tc>
          <w:tcPr>
            <w:tcW w:w="5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Performance Holdings, Inc.</w:t>
            </w:r>
          </w:p>
        </w:tc>
        <w:tc>
          <w:tcPr>
            <w:tcW w:w="76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7/16/2015</w:t>
            </w:r>
          </w:p>
        </w:tc>
        <w:tc>
          <w:tcPr>
            <w:tcW w:w="22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7"/>
              </w:rPr>
              <w:t>Leisure, Amusement,</w:t>
            </w:r>
          </w:p>
        </w:tc>
        <w:tc>
          <w:tcPr>
            <w:tcW w:w="800" w:type="dxa"/>
            <w:vAlign w:val="bottom"/>
            <w:gridSpan w:val="2"/>
            <w:vMerge w:val="restart"/>
          </w:tcPr>
          <w:p>
            <w:pPr>
              <w:ind w:left="180"/>
              <w:spacing w:after="0"/>
              <w:rPr>
                <w:sz w:val="20"/>
                <w:szCs w:val="20"/>
                <w:color w:val="auto"/>
              </w:rPr>
            </w:pPr>
            <w:r>
              <w:rPr>
                <w:rFonts w:ascii="Arial" w:cs="Arial" w:eastAsia="Arial" w:hAnsi="Arial"/>
                <w:sz w:val="14"/>
                <w:szCs w:val="14"/>
                <w:color w:val="auto"/>
                <w:w w:val="91"/>
              </w:rPr>
              <w:t>15.00%</w:t>
            </w:r>
            <w:r>
              <w:rPr>
                <w:rFonts w:ascii="Arial" w:cs="Arial" w:eastAsia="Arial" w:hAnsi="Arial"/>
                <w:sz w:val="22"/>
                <w:szCs w:val="22"/>
                <w:color w:val="auto"/>
                <w:w w:val="91"/>
                <w:vertAlign w:val="superscript"/>
              </w:rPr>
              <w:t>(6)</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Motion Pictures and Entertainment</w:t>
            </w:r>
          </w:p>
        </w:tc>
        <w:tc>
          <w:tcPr>
            <w:tcW w:w="800" w:type="dxa"/>
            <w:vAlign w:val="bottom"/>
            <w:gridSpan w:val="2"/>
            <w:vMerge w:val="continue"/>
          </w:tcPr>
          <w:p>
            <w:pPr>
              <w:spacing w:after="0"/>
              <w:rPr>
                <w:sz w:val="15"/>
                <w:szCs w:val="15"/>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w w:val="93"/>
              </w:rPr>
              <w:t>6,775,991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4"/>
          </w:tcPr>
          <w:p>
            <w:pPr>
              <w:jc w:val="right"/>
              <w:ind w:right="180"/>
              <w:spacing w:after="0"/>
              <w:rPr>
                <w:sz w:val="20"/>
                <w:szCs w:val="20"/>
                <w:color w:val="auto"/>
              </w:rPr>
            </w:pPr>
            <w:r>
              <w:rPr>
                <w:rFonts w:ascii="Arial" w:cs="Arial" w:eastAsia="Arial" w:hAnsi="Arial"/>
                <w:sz w:val="14"/>
                <w:szCs w:val="14"/>
                <w:color w:val="auto"/>
              </w:rPr>
              <w:t>6,617,860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6,403,311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Equity/Partnership Interest—3.1%</w:t>
            </w:r>
            <w:r>
              <w:rPr>
                <w:rFonts w:ascii="Arial" w:cs="Arial" w:eastAsia="Arial" w:hAnsi="Arial"/>
                <w:sz w:val="17"/>
                <w:szCs w:val="17"/>
                <w:b w:val="1"/>
                <w:bCs w:val="1"/>
                <w:color w:val="auto"/>
                <w:vertAlign w:val="superscript"/>
              </w:rPr>
              <w:t>(7)</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7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7"/>
              </w:rPr>
              <w:t>Environmental Services</w:t>
            </w:r>
          </w:p>
        </w:tc>
        <w:tc>
          <w:tcPr>
            <w:tcW w:w="8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37,382</w:t>
            </w:r>
          </w:p>
        </w:tc>
        <w:tc>
          <w:tcPr>
            <w:tcW w:w="60" w:type="dxa"/>
            <w:vAlign w:val="bottom"/>
          </w:tcPr>
          <w:p>
            <w:pPr>
              <w:spacing w:after="0"/>
              <w:rPr>
                <w:sz w:val="12"/>
                <w:szCs w:val="12"/>
                <w:color w:val="auto"/>
              </w:rPr>
            </w:pPr>
          </w:p>
        </w:tc>
        <w:tc>
          <w:tcPr>
            <w:tcW w:w="86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2,710,036</w:t>
            </w:r>
          </w:p>
        </w:tc>
        <w:tc>
          <w:tcPr>
            <w:tcW w:w="6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5,641,925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Inc. (Warrants)</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Environmental Services</w:t>
            </w:r>
          </w:p>
        </w:tc>
        <w:tc>
          <w:tcPr>
            <w:tcW w:w="8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50,102</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3,129,447</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7,561,205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gridSpan w:val="2"/>
          </w:tcPr>
          <w:p>
            <w:pPr>
              <w:spacing w:after="0" w:line="138" w:lineRule="exact"/>
              <w:rPr>
                <w:sz w:val="20"/>
                <w:szCs w:val="20"/>
                <w:color w:val="auto"/>
              </w:rPr>
            </w:pPr>
            <w:r>
              <w:rPr>
                <w:rFonts w:ascii="Arial" w:cs="Arial" w:eastAsia="Arial" w:hAnsi="Arial"/>
                <w:sz w:val="14"/>
                <w:szCs w:val="14"/>
                <w:color w:val="auto"/>
              </w:rPr>
              <w:t>NCP-Performance</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7"/>
              </w:rPr>
              <w:t>Leisure, Amusement,</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220" w:type="dxa"/>
            <w:vAlign w:val="bottom"/>
            <w:gridSpan w:val="2"/>
          </w:tcPr>
          <w:p>
            <w:pPr>
              <w:ind w:left="200"/>
              <w:spacing w:after="0"/>
              <w:rPr>
                <w:sz w:val="20"/>
                <w:szCs w:val="20"/>
                <w:color w:val="auto"/>
              </w:rPr>
            </w:pPr>
            <w:r>
              <w:rPr>
                <w:rFonts w:ascii="Arial" w:cs="Arial" w:eastAsia="Arial" w:hAnsi="Arial"/>
                <w:sz w:val="14"/>
                <w:szCs w:val="14"/>
                <w:color w:val="auto"/>
              </w:rPr>
              <w:t>(Performance Holdings, Inc.)</w:t>
            </w:r>
          </w:p>
        </w:tc>
        <w:tc>
          <w:tcPr>
            <w:tcW w:w="7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280" w:type="dxa"/>
            <w:vAlign w:val="bottom"/>
            <w:gridSpan w:val="3"/>
          </w:tcPr>
          <w:p>
            <w:pPr>
              <w:jc w:val="center"/>
              <w:ind w:right="40"/>
              <w:spacing w:after="0"/>
              <w:rPr>
                <w:sz w:val="20"/>
                <w:szCs w:val="20"/>
                <w:color w:val="auto"/>
              </w:rPr>
            </w:pPr>
            <w:r>
              <w:rPr>
                <w:rFonts w:ascii="Arial" w:cs="Arial" w:eastAsia="Arial" w:hAnsi="Arial"/>
                <w:sz w:val="14"/>
                <w:szCs w:val="14"/>
                <w:color w:val="auto"/>
                <w:w w:val="87"/>
              </w:rPr>
              <w:t>Motion Pictures and Entertainment</w:t>
            </w:r>
          </w:p>
        </w:tc>
        <w:tc>
          <w:tcPr>
            <w:tcW w:w="8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375,000</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3,750,000</w:t>
            </w:r>
          </w:p>
        </w:tc>
        <w:tc>
          <w:tcPr>
            <w:tcW w:w="1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1,193,610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9,589,483</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14,396,740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Non-Controlled, Affiliated Portfolio Companies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w w:val="94"/>
              </w:rPr>
              <w:t>36,744,425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40,673,133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Controlled, Affiliated Portfolio Companies—2.9%</w:t>
            </w:r>
            <w:r>
              <w:rPr>
                <w:rFonts w:ascii="Arial" w:cs="Arial" w:eastAsia="Arial" w:hAnsi="Arial"/>
                <w:sz w:val="17"/>
                <w:szCs w:val="17"/>
                <w:b w:val="1"/>
                <w:bCs w:val="1"/>
                <w:color w:val="auto"/>
                <w:vertAlign w:val="superscript"/>
              </w:rPr>
              <w:t>(1),(2)</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Debt—2.1%</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6/30/2020</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9,200,000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9,200,000</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9,676,650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Notes—0.5%</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6/30/2020</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2,300,000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2,300,000</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2,085,357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Equity—0.4%</w:t>
            </w:r>
            <w:r>
              <w:rPr>
                <w:rFonts w:ascii="Arial" w:cs="Arial" w:eastAsia="Arial" w:hAnsi="Arial"/>
                <w:sz w:val="18"/>
                <w:szCs w:val="18"/>
                <w:b w:val="1"/>
                <w:bCs w:val="1"/>
                <w:color w:val="auto"/>
                <w:vertAlign w:val="superscript"/>
              </w:rPr>
              <w:t>(7)</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14.00%</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2,000,000</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1,737,994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Equity—0.0%</w:t>
            </w:r>
            <w:r>
              <w:rPr>
                <w:rFonts w:ascii="Arial" w:cs="Arial" w:eastAsia="Arial" w:hAnsi="Arial"/>
                <w:sz w:val="18"/>
                <w:szCs w:val="18"/>
                <w:b w:val="1"/>
                <w:bCs w:val="1"/>
                <w:color w:val="auto"/>
                <w:vertAlign w:val="superscript"/>
              </w:rPr>
              <w:t>(7)</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2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3"/>
              </w:rPr>
              <w:t>Business Services</w:t>
            </w:r>
          </w:p>
        </w:tc>
        <w:tc>
          <w:tcPr>
            <w:tcW w:w="8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w:t>
            </w: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2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Investments in Controlled, Affiliated Portfolio Companies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13,500,100</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13,500,001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Investments—178.9%</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4"/>
              </w:rPr>
              <w:t>866,322,836</w:t>
            </w: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827,548,515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Equivalents—15.5%</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w w:val="82"/>
              </w:rPr>
              <w:t>71,604,519</w:t>
            </w: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4"/>
              </w:rPr>
              <w:t>71,604,519</w:t>
            </w: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71,604,519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Equivalents—194.3%</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8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937,927,355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899,153,034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Assets—(94.3%)</w:t>
            </w: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4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spacing w:after="0" w:line="143" w:lineRule="exact"/>
              <w:rPr>
                <w:sz w:val="20"/>
                <w:szCs w:val="20"/>
                <w:color w:val="auto"/>
              </w:rPr>
            </w:pPr>
            <w:r>
              <w:rPr>
                <w:rFonts w:ascii="Arial" w:cs="Arial" w:eastAsia="Arial" w:hAnsi="Arial"/>
                <w:sz w:val="14"/>
                <w:szCs w:val="14"/>
                <w:color w:val="auto"/>
                <w:w w:val="87"/>
              </w:rPr>
              <w:t>(436,495,838)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462,657,196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w:t>
      </w:r>
    </w:p>
    <w:p>
      <w:pPr>
        <w:ind w:left="340" w:hanging="332"/>
        <w:spacing w:after="0"/>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85"/>
              </w:rPr>
              <w:t>Basis</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Point</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Spread</w:t>
            </w:r>
          </w:p>
        </w:tc>
        <w:tc>
          <w:tcPr>
            <w:tcW w:w="200" w:type="dxa"/>
            <w:vAlign w:val="bottom"/>
          </w:tcPr>
          <w:p>
            <w:pPr>
              <w:spacing w:after="0"/>
              <w:rPr>
                <w:sz w:val="12"/>
                <w:szCs w:val="12"/>
                <w:color w:val="auto"/>
              </w:rPr>
            </w:pPr>
          </w:p>
        </w:tc>
        <w:tc>
          <w:tcPr>
            <w:tcW w:w="6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rPr>
              <w:t>Current</w:t>
            </w:r>
          </w:p>
        </w:tc>
        <w:tc>
          <w:tcPr>
            <w:tcW w:w="7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4"/>
              </w:rPr>
              <w:t>Above</w:t>
            </w:r>
          </w:p>
        </w:tc>
        <w:tc>
          <w:tcPr>
            <w:tcW w:w="2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5"/>
              </w:rPr>
              <w:t>Maturity</w:t>
            </w:r>
          </w:p>
        </w:tc>
        <w:tc>
          <w:tcPr>
            <w:tcW w:w="800" w:type="dxa"/>
            <w:vAlign w:val="bottom"/>
          </w:tcPr>
          <w:p>
            <w:pPr>
              <w:spacing w:after="0"/>
              <w:rPr>
                <w:sz w:val="12"/>
                <w:szCs w:val="12"/>
                <w:color w:val="auto"/>
              </w:rPr>
            </w:pPr>
          </w:p>
        </w:tc>
        <w:tc>
          <w:tcPr>
            <w:tcW w:w="130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90"/>
              </w:rPr>
              <w:t>Industry</w:t>
            </w:r>
          </w:p>
        </w:tc>
        <w:tc>
          <w:tcPr>
            <w:tcW w:w="92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8"/>
              </w:rPr>
              <w:t>Coupon</w:t>
            </w:r>
          </w:p>
        </w:tc>
        <w:tc>
          <w:tcPr>
            <w:tcW w:w="780" w:type="dxa"/>
            <w:vAlign w:val="bottom"/>
            <w:gridSpan w:val="2"/>
          </w:tcPr>
          <w:p>
            <w:pPr>
              <w:jc w:val="center"/>
              <w:ind w:right="26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00" w:type="dxa"/>
            <w:vAlign w:val="bottom"/>
          </w:tcPr>
          <w:p>
            <w:pPr>
              <w:spacing w:after="0"/>
              <w:rPr>
                <w:sz w:val="12"/>
                <w:szCs w:val="12"/>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414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 Portfolio Companies—</w:t>
            </w: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shd w:val="clear" w:color="auto" w:fill="CCEEFF"/>
          </w:tcPr>
          <w:p>
            <w:pPr>
              <w:jc w:val="right"/>
              <w:ind w:right="3200"/>
              <w:spacing w:after="0" w:line="176" w:lineRule="exact"/>
              <w:rPr>
                <w:sz w:val="20"/>
                <w:szCs w:val="20"/>
                <w:color w:val="auto"/>
              </w:rPr>
            </w:pPr>
            <w:r>
              <w:rPr>
                <w:rFonts w:ascii="Arial" w:cs="Arial" w:eastAsia="Arial" w:hAnsi="Arial"/>
                <w:sz w:val="20"/>
                <w:szCs w:val="20"/>
                <w:b w:val="1"/>
                <w:bCs w:val="1"/>
                <w:color w:val="auto"/>
                <w:vertAlign w:val="subscript"/>
              </w:rPr>
              <w:t>165.9%</w:t>
            </w:r>
            <w:r>
              <w:rPr>
                <w:rFonts w:ascii="Arial" w:cs="Arial" w:eastAsia="Arial" w:hAnsi="Arial"/>
                <w:sz w:val="9"/>
                <w:szCs w:val="9"/>
                <w:b w:val="1"/>
                <w:bCs w:val="1"/>
                <w:color w:val="auto"/>
              </w:rPr>
              <w:t>(1),(2)</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First Lien Secured Debt—59.3%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L+900</w:t>
            </w:r>
            <w:r>
              <w:rPr>
                <w:rFonts w:ascii="Arial" w:cs="Arial" w:eastAsia="Arial" w:hAnsi="Arial"/>
                <w:sz w:val="22"/>
                <w:szCs w:val="22"/>
                <w:color w:val="auto"/>
                <w:vertAlign w:val="superscript"/>
              </w:rPr>
              <w:t>(8)</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tcPr>
          <w:p>
            <w:pPr>
              <w:spacing w:after="0" w:line="122" w:lineRule="exact"/>
              <w:rPr>
                <w:sz w:val="20"/>
                <w:szCs w:val="20"/>
                <w:color w:val="auto"/>
              </w:rPr>
            </w:pPr>
            <w:r>
              <w:rPr>
                <w:rFonts w:ascii="Arial" w:cs="Arial" w:eastAsia="Arial" w:hAnsi="Arial"/>
                <w:sz w:val="14"/>
                <w:szCs w:val="14"/>
                <w:color w:val="auto"/>
              </w:rPr>
              <w:t>Airvana Networks Solution, Inc.</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rPr>
              <w:t>8/27/2014</w:t>
            </w:r>
          </w:p>
        </w:tc>
        <w:tc>
          <w:tcPr>
            <w:tcW w:w="2100" w:type="dxa"/>
            <w:vAlign w:val="bottom"/>
            <w:gridSpan w:val="3"/>
          </w:tcPr>
          <w:p>
            <w:pPr>
              <w:jc w:val="center"/>
              <w:spacing w:after="0" w:line="122" w:lineRule="exact"/>
              <w:rPr>
                <w:sz w:val="20"/>
                <w:szCs w:val="20"/>
                <w:color w:val="auto"/>
              </w:rPr>
            </w:pPr>
            <w:r>
              <w:rPr>
                <w:rFonts w:ascii="Arial" w:cs="Arial" w:eastAsia="Arial" w:hAnsi="Arial"/>
                <w:sz w:val="14"/>
                <w:szCs w:val="14"/>
                <w:color w:val="auto"/>
                <w:w w:val="88"/>
              </w:rPr>
              <w:t>Communications</w:t>
            </w:r>
          </w:p>
        </w:tc>
        <w:tc>
          <w:tcPr>
            <w:tcW w:w="9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11.00%</w:t>
            </w:r>
          </w:p>
        </w:tc>
        <w:tc>
          <w:tcPr>
            <w:tcW w:w="780" w:type="dxa"/>
            <w:vAlign w:val="bottom"/>
            <w:gridSpan w:val="2"/>
            <w:vMerge w:val="continue"/>
          </w:tcPr>
          <w:p>
            <w:pPr>
              <w:spacing w:after="0"/>
              <w:rPr>
                <w:sz w:val="10"/>
                <w:szCs w:val="10"/>
                <w:color w:val="auto"/>
              </w:rPr>
            </w:pP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$13,583,333</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w w:val="95"/>
              </w:rPr>
              <w:t>$ 13,316,337</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$ 13,447,500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Birch Communications, Inc.</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6/21/2015</w:t>
            </w:r>
          </w:p>
        </w:tc>
        <w:tc>
          <w:tcPr>
            <w:tcW w:w="2100" w:type="dxa"/>
            <w:vAlign w:val="bottom"/>
            <w:gridSpan w:val="3"/>
          </w:tcPr>
          <w:p>
            <w:pPr>
              <w:jc w:val="center"/>
              <w:spacing w:after="0"/>
              <w:rPr>
                <w:sz w:val="20"/>
                <w:szCs w:val="20"/>
                <w:color w:val="auto"/>
              </w:rPr>
            </w:pPr>
            <w:r>
              <w:rPr>
                <w:rFonts w:ascii="Arial" w:cs="Arial" w:eastAsia="Arial" w:hAnsi="Arial"/>
                <w:sz w:val="14"/>
                <w:szCs w:val="14"/>
                <w:color w:val="auto"/>
                <w:w w:val="87"/>
              </w:rPr>
              <w:t>Telecommunications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15.00%</w:t>
            </w: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3"/>
                <w:szCs w:val="13"/>
                <w:color w:val="auto"/>
                <w:w w:val="97"/>
              </w:rPr>
              <w:t>L+1,300</w:t>
            </w:r>
            <w:r>
              <w:rPr>
                <w:rFonts w:ascii="Arial" w:cs="Arial" w:eastAsia="Arial" w:hAnsi="Arial"/>
                <w:sz w:val="20"/>
                <w:szCs w:val="20"/>
                <w:color w:val="auto"/>
                <w:w w:val="97"/>
                <w:vertAlign w:val="superscript"/>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16,363,636</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15,786,257</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16,363,636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Birch Communications, Inc.</w:t>
            </w:r>
            <w:r>
              <w:rPr>
                <w:rFonts w:ascii="Arial" w:cs="Arial" w:eastAsia="Arial" w:hAnsi="Arial"/>
                <w:sz w:val="17"/>
                <w:szCs w:val="17"/>
                <w:color w:val="auto"/>
                <w:vertAlign w:val="superscript"/>
              </w:rPr>
              <w:t>(9)</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1/31/2011</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3,636,364</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3,636,364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tcPr>
          <w:p>
            <w:pPr>
              <w:spacing w:after="0" w:line="122" w:lineRule="exact"/>
              <w:rPr>
                <w:sz w:val="20"/>
                <w:szCs w:val="20"/>
                <w:color w:val="auto"/>
              </w:rPr>
            </w:pPr>
            <w:r>
              <w:rPr>
                <w:rFonts w:ascii="Arial" w:cs="Arial" w:eastAsia="Arial" w:hAnsi="Arial"/>
                <w:sz w:val="10"/>
                <w:szCs w:val="10"/>
                <w:color w:val="auto"/>
              </w:rPr>
              <w:t>CEVA Group PLC</w:t>
            </w:r>
            <w:r>
              <w:rPr>
                <w:rFonts w:ascii="Arial" w:cs="Arial" w:eastAsia="Arial" w:hAnsi="Arial"/>
                <w:sz w:val="14"/>
                <w:szCs w:val="14"/>
                <w:color w:val="auto"/>
                <w:vertAlign w:val="superscript"/>
              </w:rPr>
              <w:t>(5),(10)</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rPr>
              <w:t>10/1/2016</w:t>
            </w:r>
          </w:p>
        </w:tc>
        <w:tc>
          <w:tcPr>
            <w:tcW w:w="800" w:type="dxa"/>
            <w:vAlign w:val="bottom"/>
          </w:tcPr>
          <w:p>
            <w:pPr>
              <w:spacing w:after="0"/>
              <w:rPr>
                <w:sz w:val="10"/>
                <w:szCs w:val="10"/>
                <w:color w:val="auto"/>
              </w:rPr>
            </w:pPr>
          </w:p>
        </w:tc>
        <w:tc>
          <w:tcPr>
            <w:tcW w:w="1300" w:type="dxa"/>
            <w:vAlign w:val="bottom"/>
            <w:gridSpan w:val="2"/>
          </w:tcPr>
          <w:p>
            <w:pPr>
              <w:jc w:val="center"/>
              <w:ind w:right="760"/>
              <w:spacing w:after="0" w:line="122" w:lineRule="exact"/>
              <w:rPr>
                <w:sz w:val="20"/>
                <w:szCs w:val="20"/>
                <w:color w:val="auto"/>
              </w:rPr>
            </w:pPr>
            <w:r>
              <w:rPr>
                <w:rFonts w:ascii="Arial" w:cs="Arial" w:eastAsia="Arial" w:hAnsi="Arial"/>
                <w:sz w:val="14"/>
                <w:szCs w:val="14"/>
                <w:color w:val="auto"/>
                <w:w w:val="91"/>
              </w:rPr>
              <w:t>Logistics</w:t>
            </w:r>
          </w:p>
        </w:tc>
        <w:tc>
          <w:tcPr>
            <w:tcW w:w="9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11.63%</w:t>
            </w:r>
          </w:p>
        </w:tc>
        <w:tc>
          <w:tcPr>
            <w:tcW w:w="780" w:type="dxa"/>
            <w:vAlign w:val="bottom"/>
            <w:gridSpan w:val="2"/>
          </w:tcPr>
          <w:p>
            <w:pPr>
              <w:ind w:left="320"/>
              <w:spacing w:after="0" w:line="122"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7,500,000</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7,305,603</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7,912,500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tcPr>
          <w:p>
            <w:pPr>
              <w:spacing w:after="0" w:line="176" w:lineRule="exact"/>
              <w:rPr>
                <w:sz w:val="20"/>
                <w:szCs w:val="20"/>
                <w:color w:val="auto"/>
              </w:rPr>
            </w:pPr>
            <w:r>
              <w:rPr>
                <w:rFonts w:ascii="Arial" w:cs="Arial" w:eastAsia="Arial" w:hAnsi="Arial"/>
                <w:sz w:val="13"/>
                <w:szCs w:val="13"/>
                <w:color w:val="auto"/>
              </w:rPr>
              <w:t>CEVA Group PLC</w:t>
            </w:r>
            <w:r>
              <w:rPr>
                <w:rFonts w:ascii="Arial" w:cs="Arial" w:eastAsia="Arial" w:hAnsi="Arial"/>
                <w:sz w:val="20"/>
                <w:szCs w:val="20"/>
                <w:color w:val="auto"/>
                <w:vertAlign w:val="superscript"/>
              </w:rPr>
              <w:t>(5),(10)</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4/1/2018</w:t>
            </w:r>
          </w:p>
        </w:tc>
        <w:tc>
          <w:tcPr>
            <w:tcW w:w="800" w:type="dxa"/>
            <w:vAlign w:val="bottom"/>
          </w:tcPr>
          <w:p>
            <w:pPr>
              <w:spacing w:after="0"/>
              <w:rPr>
                <w:sz w:val="15"/>
                <w:szCs w:val="15"/>
                <w:color w:val="auto"/>
              </w:rPr>
            </w:pPr>
          </w:p>
        </w:tc>
        <w:tc>
          <w:tcPr>
            <w:tcW w:w="1300" w:type="dxa"/>
            <w:vAlign w:val="bottom"/>
            <w:gridSpan w:val="2"/>
          </w:tcPr>
          <w:p>
            <w:pPr>
              <w:jc w:val="center"/>
              <w:ind w:right="760"/>
              <w:spacing w:after="0"/>
              <w:rPr>
                <w:sz w:val="20"/>
                <w:szCs w:val="20"/>
                <w:color w:val="auto"/>
              </w:rPr>
            </w:pPr>
            <w:r>
              <w:rPr>
                <w:rFonts w:ascii="Arial" w:cs="Arial" w:eastAsia="Arial" w:hAnsi="Arial"/>
                <w:sz w:val="14"/>
                <w:szCs w:val="14"/>
                <w:color w:val="auto"/>
                <w:w w:val="91"/>
              </w:rPr>
              <w:t>Logistics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11.50%</w:t>
            </w:r>
          </w:p>
        </w:tc>
        <w:tc>
          <w:tcPr>
            <w:tcW w:w="780" w:type="dxa"/>
            <w:vAlign w:val="bottom"/>
            <w:gridSpan w:val="2"/>
          </w:tcPr>
          <w:p>
            <w:pPr>
              <w:ind w:left="32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9"/>
                <w:szCs w:val="9"/>
                <w:color w:val="auto"/>
              </w:rPr>
              <w:t xml:space="preserve"> (8)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1,000,000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987,774</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1,045,000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160" w:type="dxa"/>
            <w:vAlign w:val="bottom"/>
            <w:gridSpan w:val="3"/>
          </w:tcPr>
          <w:p>
            <w:pPr>
              <w:spacing w:after="0" w:line="148" w:lineRule="exact"/>
              <w:rPr>
                <w:sz w:val="20"/>
                <w:szCs w:val="20"/>
                <w:color w:val="auto"/>
              </w:rPr>
            </w:pPr>
            <w:r>
              <w:rPr>
                <w:rFonts w:ascii="Arial" w:cs="Arial" w:eastAsia="Arial" w:hAnsi="Arial"/>
                <w:sz w:val="14"/>
                <w:szCs w:val="14"/>
                <w:color w:val="auto"/>
              </w:rPr>
              <w:t>Chester Downs and Marina, LLC</w:t>
            </w:r>
          </w:p>
        </w:tc>
        <w:tc>
          <w:tcPr>
            <w:tcW w:w="820" w:type="dxa"/>
            <w:vAlign w:val="bottom"/>
            <w:gridSpan w:val="3"/>
          </w:tcPr>
          <w:p>
            <w:pPr>
              <w:jc w:val="right"/>
              <w:ind w:right="100"/>
              <w:spacing w:after="0" w:line="148" w:lineRule="exact"/>
              <w:rPr>
                <w:sz w:val="20"/>
                <w:szCs w:val="20"/>
                <w:color w:val="auto"/>
              </w:rPr>
            </w:pPr>
            <w:r>
              <w:rPr>
                <w:rFonts w:ascii="Arial" w:cs="Arial" w:eastAsia="Arial" w:hAnsi="Arial"/>
                <w:sz w:val="14"/>
                <w:szCs w:val="14"/>
                <w:color w:val="auto"/>
              </w:rPr>
              <w:t>7/31/2016</w:t>
            </w:r>
          </w:p>
        </w:tc>
        <w:tc>
          <w:tcPr>
            <w:tcW w:w="2100" w:type="dxa"/>
            <w:vAlign w:val="bottom"/>
            <w:gridSpan w:val="3"/>
          </w:tcPr>
          <w:p>
            <w:pPr>
              <w:jc w:val="center"/>
              <w:spacing w:after="0" w:line="148" w:lineRule="exact"/>
              <w:rPr>
                <w:sz w:val="20"/>
                <w:szCs w:val="20"/>
                <w:color w:val="auto"/>
              </w:rPr>
            </w:pPr>
            <w:r>
              <w:rPr>
                <w:rFonts w:ascii="Arial" w:cs="Arial" w:eastAsia="Arial" w:hAnsi="Arial"/>
                <w:sz w:val="14"/>
                <w:szCs w:val="14"/>
                <w:color w:val="auto"/>
                <w:w w:val="88"/>
              </w:rPr>
              <w:t>Hotels, Motels, Inns and Gaming</w:t>
            </w: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12.38%</w:t>
            </w:r>
          </w:p>
        </w:tc>
        <w:tc>
          <w:tcPr>
            <w:tcW w:w="780" w:type="dxa"/>
            <w:vAlign w:val="bottom"/>
            <w:gridSpan w:val="2"/>
          </w:tcPr>
          <w:p>
            <w:pPr>
              <w:jc w:val="right"/>
              <w:ind w:right="260"/>
              <w:spacing w:after="0" w:line="148" w:lineRule="exact"/>
              <w:rPr>
                <w:sz w:val="20"/>
                <w:szCs w:val="20"/>
                <w:color w:val="auto"/>
              </w:rPr>
            </w:pPr>
            <w:r>
              <w:rPr>
                <w:rFonts w:ascii="Arial" w:cs="Arial" w:eastAsia="Arial" w:hAnsi="Arial"/>
                <w:sz w:val="14"/>
                <w:szCs w:val="14"/>
                <w:color w:val="auto"/>
              </w:rPr>
              <w:t>L+988</w:t>
            </w:r>
          </w:p>
        </w:tc>
        <w:tc>
          <w:tcPr>
            <w:tcW w:w="86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9,250,000</w:t>
            </w:r>
          </w:p>
        </w:tc>
        <w:tc>
          <w:tcPr>
            <w:tcW w:w="800" w:type="dxa"/>
            <w:vAlign w:val="bottom"/>
            <w:gridSpan w:val="4"/>
          </w:tcPr>
          <w:p>
            <w:pPr>
              <w:jc w:val="right"/>
              <w:spacing w:after="0" w:line="148" w:lineRule="exact"/>
              <w:rPr>
                <w:sz w:val="20"/>
                <w:szCs w:val="20"/>
                <w:color w:val="auto"/>
              </w:rPr>
            </w:pPr>
            <w:r>
              <w:rPr>
                <w:rFonts w:ascii="Arial" w:cs="Arial" w:eastAsia="Arial" w:hAnsi="Arial"/>
                <w:sz w:val="14"/>
                <w:szCs w:val="14"/>
                <w:color w:val="auto"/>
              </w:rPr>
              <w:t>8,765,468</w:t>
            </w:r>
          </w:p>
        </w:tc>
        <w:tc>
          <w:tcPr>
            <w:tcW w:w="80" w:type="dxa"/>
            <w:vAlign w:val="bottom"/>
          </w:tcPr>
          <w:p>
            <w:pPr>
              <w:spacing w:after="0"/>
              <w:rPr>
                <w:sz w:val="12"/>
                <w:szCs w:val="12"/>
                <w:color w:val="auto"/>
              </w:rPr>
            </w:pPr>
          </w:p>
        </w:tc>
        <w:tc>
          <w:tcPr>
            <w:tcW w:w="840" w:type="dxa"/>
            <w:vAlign w:val="bottom"/>
            <w:gridSpan w:val="4"/>
          </w:tcPr>
          <w:p>
            <w:pPr>
              <w:jc w:val="right"/>
              <w:spacing w:after="0" w:line="148" w:lineRule="exact"/>
              <w:rPr>
                <w:sz w:val="20"/>
                <w:szCs w:val="20"/>
                <w:color w:val="auto"/>
              </w:rPr>
            </w:pPr>
            <w:r>
              <w:rPr>
                <w:rFonts w:ascii="Arial" w:cs="Arial" w:eastAsia="Arial" w:hAnsi="Arial"/>
                <w:sz w:val="14"/>
                <w:szCs w:val="14"/>
                <w:color w:val="auto"/>
              </w:rPr>
              <w:t>9,296,250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Columbus International, Inc.</w:t>
            </w:r>
            <w:r>
              <w:rPr>
                <w:rFonts w:ascii="Arial" w:cs="Arial" w:eastAsia="Arial" w:hAnsi="Arial"/>
                <w:sz w:val="17"/>
                <w:szCs w:val="17"/>
                <w:color w:val="auto"/>
                <w:vertAlign w:val="superscript"/>
              </w:rPr>
              <w:t>(5),(10)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11/20/2014</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Communications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11,048,000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1"/>
                <w:szCs w:val="11"/>
                <w:color w:val="auto"/>
              </w:rPr>
              <w:t>EnviroSolutions, Inc.</w:t>
            </w:r>
            <w:r>
              <w:rPr>
                <w:rFonts w:ascii="Arial" w:cs="Arial" w:eastAsia="Arial" w:hAnsi="Arial"/>
                <w:sz w:val="17"/>
                <w:szCs w:val="17"/>
                <w:color w:val="auto"/>
                <w:vertAlign w:val="superscript"/>
              </w:rPr>
              <w:t>(9)</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7/29/2013</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Environmental Services</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6,666,666</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6,666,666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Fairway Group Acquisition Company</w:t>
            </w:r>
          </w:p>
        </w:tc>
        <w:tc>
          <w:tcPr>
            <w:tcW w:w="82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4"/>
                <w:szCs w:val="14"/>
                <w:color w:val="auto"/>
              </w:rPr>
              <w:t>10/1/2014</w:t>
            </w:r>
          </w:p>
        </w:tc>
        <w:tc>
          <w:tcPr>
            <w:tcW w:w="80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jc w:val="center"/>
              <w:ind w:right="780"/>
              <w:spacing w:after="0" w:line="122" w:lineRule="exact"/>
              <w:rPr>
                <w:sz w:val="20"/>
                <w:szCs w:val="20"/>
                <w:color w:val="auto"/>
              </w:rPr>
            </w:pPr>
            <w:r>
              <w:rPr>
                <w:rFonts w:ascii="Arial" w:cs="Arial" w:eastAsia="Arial" w:hAnsi="Arial"/>
                <w:sz w:val="14"/>
                <w:szCs w:val="14"/>
                <w:color w:val="auto"/>
                <w:w w:val="88"/>
              </w:rPr>
              <w:t>Grocery</w:t>
            </w:r>
          </w:p>
        </w:tc>
        <w:tc>
          <w:tcPr>
            <w:tcW w:w="9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4"/>
                <w:szCs w:val="14"/>
                <w:color w:val="auto"/>
              </w:rPr>
              <w:t>12.00%</w:t>
            </w:r>
          </w:p>
        </w:tc>
        <w:tc>
          <w:tcPr>
            <w:tcW w:w="78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4"/>
                <w:szCs w:val="14"/>
                <w:color w:val="auto"/>
              </w:rPr>
              <w:t>L+950</w:t>
            </w:r>
          </w:p>
        </w:tc>
        <w:tc>
          <w:tcPr>
            <w:tcW w:w="860" w:type="dxa"/>
            <w:vAlign w:val="bottom"/>
            <w:gridSpan w:val="3"/>
            <w:shd w:val="clear" w:color="auto" w:fill="CCEEFF"/>
          </w:tcPr>
          <w:p>
            <w:pPr>
              <w:jc w:val="right"/>
              <w:ind w:right="60"/>
              <w:spacing w:after="0" w:line="122" w:lineRule="exact"/>
              <w:rPr>
                <w:sz w:val="20"/>
                <w:szCs w:val="20"/>
                <w:color w:val="auto"/>
              </w:rPr>
            </w:pPr>
            <w:r>
              <w:rPr>
                <w:rFonts w:ascii="Arial" w:cs="Arial" w:eastAsia="Arial" w:hAnsi="Arial"/>
                <w:sz w:val="14"/>
                <w:szCs w:val="14"/>
                <w:color w:val="auto"/>
              </w:rPr>
              <w:t>11,905,025</w:t>
            </w:r>
          </w:p>
        </w:tc>
        <w:tc>
          <w:tcPr>
            <w:tcW w:w="880" w:type="dxa"/>
            <w:vAlign w:val="bottom"/>
            <w:gridSpan w:val="5"/>
            <w:shd w:val="clear" w:color="auto" w:fill="CCEEFF"/>
          </w:tcPr>
          <w:p>
            <w:pPr>
              <w:jc w:val="right"/>
              <w:ind w:right="80"/>
              <w:spacing w:after="0" w:line="122" w:lineRule="exact"/>
              <w:rPr>
                <w:sz w:val="20"/>
                <w:szCs w:val="20"/>
                <w:color w:val="auto"/>
              </w:rPr>
            </w:pPr>
            <w:r>
              <w:rPr>
                <w:rFonts w:ascii="Arial" w:cs="Arial" w:eastAsia="Arial" w:hAnsi="Arial"/>
                <w:sz w:val="14"/>
                <w:szCs w:val="14"/>
                <w:color w:val="auto"/>
              </w:rPr>
              <w:t>11,650,744</w:t>
            </w:r>
          </w:p>
        </w:tc>
        <w:tc>
          <w:tcPr>
            <w:tcW w:w="840" w:type="dxa"/>
            <w:vAlign w:val="bottom"/>
            <w:gridSpan w:val="4"/>
            <w:shd w:val="clear" w:color="auto" w:fill="CCEEFF"/>
          </w:tcPr>
          <w:p>
            <w:pPr>
              <w:jc w:val="right"/>
              <w:spacing w:after="0" w:line="122" w:lineRule="exact"/>
              <w:rPr>
                <w:sz w:val="20"/>
                <w:szCs w:val="20"/>
                <w:color w:val="auto"/>
              </w:rPr>
            </w:pPr>
            <w:r>
              <w:rPr>
                <w:rFonts w:ascii="Arial" w:cs="Arial" w:eastAsia="Arial" w:hAnsi="Arial"/>
                <w:sz w:val="14"/>
                <w:szCs w:val="14"/>
                <w:color w:val="auto"/>
              </w:rPr>
              <w:t>11,845,500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3"/>
                <w:szCs w:val="13"/>
                <w:color w:val="auto"/>
              </w:rPr>
              <w:t>P+850</w:t>
            </w:r>
            <w:r>
              <w:rPr>
                <w:rFonts w:ascii="Arial" w:cs="Arial" w:eastAsia="Arial" w:hAnsi="Arial"/>
                <w:sz w:val="21"/>
                <w:szCs w:val="21"/>
                <w:color w:val="auto"/>
                <w:vertAlign w:val="superscript"/>
              </w:rPr>
              <w:t>(8)</w:t>
            </w: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3/8/2014</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2.62%</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8,752,500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8,752,500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3,894,863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8/7/2014</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14.50%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24,875,000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24,402,321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24,875,000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40" w:type="dxa"/>
            <w:vAlign w:val="bottom"/>
            <w:gridSpan w:val="2"/>
          </w:tcPr>
          <w:p>
            <w:pPr>
              <w:spacing w:after="0" w:line="138" w:lineRule="exact"/>
              <w:rPr>
                <w:sz w:val="20"/>
                <w:szCs w:val="20"/>
                <w:color w:val="auto"/>
              </w:rPr>
            </w:pPr>
            <w:r>
              <w:rPr>
                <w:rFonts w:ascii="Arial" w:cs="Arial" w:eastAsia="Arial" w:hAnsi="Arial"/>
                <w:sz w:val="14"/>
                <w:szCs w:val="14"/>
                <w:color w:val="auto"/>
              </w:rPr>
              <w:t>Jacuzzi Brands Corp.</w:t>
            </w:r>
          </w:p>
        </w:tc>
        <w:tc>
          <w:tcPr>
            <w:tcW w:w="82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2/7/2014</w:t>
            </w:r>
          </w:p>
        </w:tc>
        <w:tc>
          <w:tcPr>
            <w:tcW w:w="210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920" w:type="dxa"/>
            <w:vAlign w:val="bottom"/>
            <w:gridSpan w:val="2"/>
          </w:tcPr>
          <w:p>
            <w:pPr>
              <w:jc w:val="right"/>
              <w:ind w:right="200"/>
              <w:spacing w:after="0" w:line="138" w:lineRule="exact"/>
              <w:rPr>
                <w:sz w:val="20"/>
                <w:szCs w:val="20"/>
                <w:color w:val="auto"/>
              </w:rPr>
            </w:pPr>
            <w:r>
              <w:rPr>
                <w:rFonts w:ascii="Arial" w:cs="Arial" w:eastAsia="Arial" w:hAnsi="Arial"/>
                <w:sz w:val="14"/>
                <w:szCs w:val="14"/>
                <w:color w:val="auto"/>
              </w:rPr>
              <w:t>2.71%</w:t>
            </w:r>
          </w:p>
        </w:tc>
        <w:tc>
          <w:tcPr>
            <w:tcW w:w="78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9,744,595</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9,744,595</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7,874,850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gridSpan w:val="2"/>
          </w:tcPr>
          <w:p>
            <w:pPr>
              <w:jc w:val="center"/>
              <w:ind w:right="780"/>
              <w:spacing w:after="0" w:line="159" w:lineRule="exact"/>
              <w:rPr>
                <w:sz w:val="20"/>
                <w:szCs w:val="20"/>
                <w:color w:val="auto"/>
              </w:rPr>
            </w:pPr>
            <w:r>
              <w:rPr>
                <w:rFonts w:ascii="Arial" w:cs="Arial" w:eastAsia="Arial" w:hAnsi="Arial"/>
                <w:sz w:val="14"/>
                <w:szCs w:val="14"/>
                <w:color w:val="auto"/>
                <w:w w:val="86"/>
              </w:rPr>
              <w:t>Products</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9/10/2015</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L+675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17,866,826</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18,240,000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Inc.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4/27/2016</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26,052,631</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25,481,512</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26,052,631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Mattress Holding Corp.</w:t>
            </w:r>
          </w:p>
        </w:tc>
        <w:tc>
          <w:tcPr>
            <w:tcW w:w="82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1/18/2014</w:t>
            </w:r>
          </w:p>
        </w:tc>
        <w:tc>
          <w:tcPr>
            <w:tcW w:w="210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920" w:type="dxa"/>
            <w:vAlign w:val="bottom"/>
            <w:gridSpan w:val="2"/>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2.54%</w:t>
            </w:r>
          </w:p>
        </w:tc>
        <w:tc>
          <w:tcPr>
            <w:tcW w:w="78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4"/>
                <w:szCs w:val="14"/>
                <w:color w:val="auto"/>
              </w:rPr>
              <w:t>L+225</w:t>
            </w:r>
          </w:p>
        </w:tc>
        <w:tc>
          <w:tcPr>
            <w:tcW w:w="86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3,844,931</w:t>
            </w:r>
          </w:p>
        </w:tc>
        <w:tc>
          <w:tcPr>
            <w:tcW w:w="80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3,844,931</w:t>
            </w:r>
          </w:p>
        </w:tc>
        <w:tc>
          <w:tcPr>
            <w:tcW w:w="80" w:type="dxa"/>
            <w:vAlign w:val="bottom"/>
            <w:shd w:val="clear" w:color="auto" w:fill="CCEEFF"/>
          </w:tcPr>
          <w:p>
            <w:pPr>
              <w:spacing w:after="0"/>
              <w:rPr>
                <w:sz w:val="11"/>
                <w:szCs w:val="11"/>
                <w:color w:val="auto"/>
              </w:rPr>
            </w:pP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3,345,090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780"/>
              <w:spacing w:after="0" w:line="159" w:lineRule="exact"/>
              <w:rPr>
                <w:sz w:val="20"/>
                <w:szCs w:val="20"/>
                <w:color w:val="auto"/>
              </w:rPr>
            </w:pPr>
            <w:r>
              <w:rPr>
                <w:rFonts w:ascii="Arial" w:cs="Arial" w:eastAsia="Arial" w:hAnsi="Arial"/>
                <w:sz w:val="14"/>
                <w:szCs w:val="14"/>
                <w:color w:val="auto"/>
                <w:w w:val="86"/>
              </w:rPr>
              <w:t>Products</w:t>
            </w: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8/1/2014</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(6)</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L+400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9,829,738</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8,432,037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6,995,500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12/16/2012</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10.50%</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66,801</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66,801</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64,263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12/16/2012</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200,404</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200,404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192,789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Sugarhouse HSP Gaming Prop.</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9/23/2014</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11.25%</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L+825</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28,756,343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29,702,813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tcPr>
          <w:p>
            <w:pPr>
              <w:spacing w:after="0" w:line="122" w:lineRule="exact"/>
              <w:rPr>
                <w:sz w:val="20"/>
                <w:szCs w:val="20"/>
                <w:color w:val="auto"/>
              </w:rPr>
            </w:pPr>
            <w:r>
              <w:rPr>
                <w:rFonts w:ascii="Arial" w:cs="Arial" w:eastAsia="Arial" w:hAnsi="Arial"/>
                <w:sz w:val="14"/>
                <w:szCs w:val="14"/>
                <w:color w:val="auto"/>
              </w:rPr>
              <w:t>Three Rivers Pharmaceutical, L.L.C.</w:t>
            </w:r>
          </w:p>
        </w:tc>
        <w:tc>
          <w:tcPr>
            <w:tcW w:w="2920" w:type="dxa"/>
            <w:vAlign w:val="bottom"/>
            <w:gridSpan w:val="6"/>
          </w:tcPr>
          <w:p>
            <w:pPr>
              <w:jc w:val="right"/>
              <w:ind w:right="40"/>
              <w:spacing w:after="0" w:line="122" w:lineRule="exact"/>
              <w:rPr>
                <w:sz w:val="20"/>
                <w:szCs w:val="20"/>
                <w:color w:val="auto"/>
              </w:rPr>
            </w:pPr>
            <w:r>
              <w:rPr>
                <w:rFonts w:ascii="Arial" w:cs="Arial" w:eastAsia="Arial" w:hAnsi="Arial"/>
                <w:sz w:val="14"/>
                <w:szCs w:val="14"/>
                <w:color w:val="auto"/>
                <w:w w:val="92"/>
              </w:rPr>
              <w:t>10/22/2011   Healthcare, Education and Childcare</w:t>
            </w:r>
          </w:p>
        </w:tc>
        <w:tc>
          <w:tcPr>
            <w:tcW w:w="9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15.25%</w:t>
            </w:r>
          </w:p>
        </w:tc>
        <w:tc>
          <w:tcPr>
            <w:tcW w:w="78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w w:val="97"/>
              </w:rPr>
              <w:t>L+1,300</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25,000,000</w:t>
            </w:r>
          </w:p>
        </w:tc>
        <w:tc>
          <w:tcPr>
            <w:tcW w:w="80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21,861,968</w:t>
            </w:r>
          </w:p>
        </w:tc>
        <w:tc>
          <w:tcPr>
            <w:tcW w:w="80" w:type="dxa"/>
            <w:vAlign w:val="bottom"/>
          </w:tcPr>
          <w:p>
            <w:pPr>
              <w:spacing w:after="0"/>
              <w:rPr>
                <w:sz w:val="10"/>
                <w:szCs w:val="10"/>
                <w:color w:val="auto"/>
              </w:rPr>
            </w:pP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21,861,968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3"/>
                <w:szCs w:val="13"/>
                <w:color w:val="auto"/>
                <w:w w:val="94"/>
              </w:rPr>
              <w:t>P+1,200</w:t>
            </w:r>
            <w:r>
              <w:rPr>
                <w:rFonts w:ascii="Arial" w:cs="Arial" w:eastAsia="Arial" w:hAnsi="Arial"/>
                <w:sz w:val="21"/>
                <w:szCs w:val="21"/>
                <w:color w:val="auto"/>
                <w:w w:val="94"/>
                <w:vertAlign w:val="superscript"/>
              </w:rPr>
              <w:t>(8)</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w:t>
            </w:r>
            <w:r>
              <w:rPr>
                <w:rFonts w:ascii="Arial" w:cs="Arial" w:eastAsia="Arial" w:hAnsi="Arial"/>
                <w:sz w:val="17"/>
                <w:szCs w:val="17"/>
                <w:color w:val="auto"/>
                <w:vertAlign w:val="superscript"/>
              </w:rPr>
              <w:t>(5)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7/15/2016</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11.38%</w:t>
            </w: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4,500,000</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4,381,967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4,882,500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231,907,418</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229,243,683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Debt—38.6%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2/7/2015</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Energy/Utilities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6.43%</w:t>
            </w: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13,600,000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13,216,845</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11,696,000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40" w:type="dxa"/>
            <w:vAlign w:val="bottom"/>
            <w:gridSpan w:val="2"/>
          </w:tcPr>
          <w:p>
            <w:pPr>
              <w:spacing w:after="0" w:line="122" w:lineRule="exact"/>
              <w:rPr>
                <w:sz w:val="20"/>
                <w:szCs w:val="20"/>
                <w:color w:val="auto"/>
              </w:rPr>
            </w:pPr>
            <w:r>
              <w:rPr>
                <w:rFonts w:ascii="Arial" w:cs="Arial" w:eastAsia="Arial" w:hAnsi="Arial"/>
                <w:sz w:val="14"/>
                <w:szCs w:val="14"/>
                <w:color w:val="auto"/>
              </w:rPr>
              <w:t>Brand Energy and Infrastructure Services, Inc.</w:t>
            </w:r>
          </w:p>
        </w:tc>
        <w:tc>
          <w:tcPr>
            <w:tcW w:w="820" w:type="dxa"/>
            <w:vAlign w:val="bottom"/>
            <w:gridSpan w:val="3"/>
          </w:tcPr>
          <w:p>
            <w:pPr>
              <w:jc w:val="right"/>
              <w:ind w:right="100"/>
              <w:spacing w:after="0" w:line="122" w:lineRule="exact"/>
              <w:rPr>
                <w:sz w:val="20"/>
                <w:szCs w:val="20"/>
                <w:color w:val="auto"/>
              </w:rPr>
            </w:pPr>
            <w:r>
              <w:rPr>
                <w:rFonts w:ascii="Arial" w:cs="Arial" w:eastAsia="Arial" w:hAnsi="Arial"/>
                <w:sz w:val="14"/>
                <w:szCs w:val="14"/>
                <w:color w:val="auto"/>
              </w:rPr>
              <w:t>2/7/2015</w:t>
            </w:r>
          </w:p>
        </w:tc>
        <w:tc>
          <w:tcPr>
            <w:tcW w:w="2100" w:type="dxa"/>
            <w:vAlign w:val="bottom"/>
            <w:gridSpan w:val="3"/>
          </w:tcPr>
          <w:p>
            <w:pPr>
              <w:jc w:val="center"/>
              <w:spacing w:after="0" w:line="122" w:lineRule="exact"/>
              <w:rPr>
                <w:sz w:val="20"/>
                <w:szCs w:val="20"/>
                <w:color w:val="auto"/>
              </w:rPr>
            </w:pPr>
            <w:r>
              <w:rPr>
                <w:rFonts w:ascii="Arial" w:cs="Arial" w:eastAsia="Arial" w:hAnsi="Arial"/>
                <w:sz w:val="14"/>
                <w:szCs w:val="14"/>
                <w:color w:val="auto"/>
                <w:w w:val="92"/>
              </w:rPr>
              <w:t>Energy/Utilities</w:t>
            </w:r>
          </w:p>
        </w:tc>
        <w:tc>
          <w:tcPr>
            <w:tcW w:w="920" w:type="dxa"/>
            <w:vAlign w:val="bottom"/>
            <w:gridSpan w:val="2"/>
          </w:tcPr>
          <w:p>
            <w:pPr>
              <w:jc w:val="right"/>
              <w:ind w:right="200"/>
              <w:spacing w:after="0" w:line="122" w:lineRule="exact"/>
              <w:rPr>
                <w:sz w:val="20"/>
                <w:szCs w:val="20"/>
                <w:color w:val="auto"/>
              </w:rPr>
            </w:pPr>
            <w:r>
              <w:rPr>
                <w:rFonts w:ascii="Arial" w:cs="Arial" w:eastAsia="Arial" w:hAnsi="Arial"/>
                <w:sz w:val="14"/>
                <w:szCs w:val="14"/>
                <w:color w:val="auto"/>
              </w:rPr>
              <w:t>7.39%</w:t>
            </w:r>
          </w:p>
        </w:tc>
        <w:tc>
          <w:tcPr>
            <w:tcW w:w="780" w:type="dxa"/>
            <w:vAlign w:val="bottom"/>
            <w:gridSpan w:val="2"/>
          </w:tcPr>
          <w:p>
            <w:pPr>
              <w:jc w:val="right"/>
              <w:ind w:right="260"/>
              <w:spacing w:after="0" w:line="122" w:lineRule="exact"/>
              <w:rPr>
                <w:sz w:val="20"/>
                <w:szCs w:val="20"/>
                <w:color w:val="auto"/>
              </w:rPr>
            </w:pPr>
            <w:r>
              <w:rPr>
                <w:rFonts w:ascii="Arial" w:cs="Arial" w:eastAsia="Arial" w:hAnsi="Arial"/>
                <w:sz w:val="14"/>
                <w:szCs w:val="14"/>
                <w:color w:val="auto"/>
              </w:rPr>
              <w:t>L+700</w:t>
            </w:r>
          </w:p>
        </w:tc>
        <w:tc>
          <w:tcPr>
            <w:tcW w:w="860" w:type="dxa"/>
            <w:vAlign w:val="bottom"/>
            <w:gridSpan w:val="3"/>
          </w:tcPr>
          <w:p>
            <w:pPr>
              <w:jc w:val="right"/>
              <w:ind w:right="60"/>
              <w:spacing w:after="0" w:line="122" w:lineRule="exact"/>
              <w:rPr>
                <w:sz w:val="20"/>
                <w:szCs w:val="20"/>
                <w:color w:val="auto"/>
              </w:rPr>
            </w:pPr>
            <w:r>
              <w:rPr>
                <w:rFonts w:ascii="Arial" w:cs="Arial" w:eastAsia="Arial" w:hAnsi="Arial"/>
                <w:sz w:val="14"/>
                <w:szCs w:val="14"/>
                <w:color w:val="auto"/>
              </w:rPr>
              <w:t>12,000,000</w:t>
            </w:r>
          </w:p>
        </w:tc>
        <w:tc>
          <w:tcPr>
            <w:tcW w:w="880" w:type="dxa"/>
            <w:vAlign w:val="bottom"/>
            <w:gridSpan w:val="5"/>
          </w:tcPr>
          <w:p>
            <w:pPr>
              <w:jc w:val="right"/>
              <w:ind w:right="80"/>
              <w:spacing w:after="0" w:line="122" w:lineRule="exact"/>
              <w:rPr>
                <w:sz w:val="20"/>
                <w:szCs w:val="20"/>
                <w:color w:val="auto"/>
              </w:rPr>
            </w:pPr>
            <w:r>
              <w:rPr>
                <w:rFonts w:ascii="Arial" w:cs="Arial" w:eastAsia="Arial" w:hAnsi="Arial"/>
                <w:sz w:val="14"/>
                <w:szCs w:val="14"/>
                <w:color w:val="auto"/>
              </w:rPr>
              <w:t>11,776,589</w:t>
            </w:r>
          </w:p>
        </w:tc>
        <w:tc>
          <w:tcPr>
            <w:tcW w:w="840" w:type="dxa"/>
            <w:vAlign w:val="bottom"/>
            <w:gridSpan w:val="4"/>
          </w:tcPr>
          <w:p>
            <w:pPr>
              <w:jc w:val="right"/>
              <w:spacing w:after="0" w:line="122" w:lineRule="exact"/>
              <w:rPr>
                <w:sz w:val="20"/>
                <w:szCs w:val="20"/>
                <w:color w:val="auto"/>
              </w:rPr>
            </w:pPr>
            <w:r>
              <w:rPr>
                <w:rFonts w:ascii="Arial" w:cs="Arial" w:eastAsia="Arial" w:hAnsi="Arial"/>
                <w:sz w:val="14"/>
                <w:szCs w:val="14"/>
                <w:color w:val="auto"/>
              </w:rPr>
              <w:t>10,410,000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EnviroSolutions, Inc.</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7/29/2014</w:t>
            </w:r>
          </w:p>
        </w:tc>
        <w:tc>
          <w:tcPr>
            <w:tcW w:w="2100" w:type="dxa"/>
            <w:vAlign w:val="bottom"/>
            <w:gridSpan w:val="3"/>
          </w:tcPr>
          <w:p>
            <w:pPr>
              <w:jc w:val="center"/>
              <w:spacing w:after="0"/>
              <w:rPr>
                <w:sz w:val="20"/>
                <w:szCs w:val="20"/>
                <w:color w:val="auto"/>
              </w:rPr>
            </w:pPr>
            <w:r>
              <w:rPr>
                <w:rFonts w:ascii="Arial" w:cs="Arial" w:eastAsia="Arial" w:hAnsi="Arial"/>
                <w:sz w:val="14"/>
                <w:szCs w:val="14"/>
                <w:color w:val="auto"/>
                <w:w w:val="88"/>
              </w:rPr>
              <w:t>Environmental Services</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8.00%</w:t>
            </w:r>
          </w:p>
        </w:tc>
        <w:tc>
          <w:tcPr>
            <w:tcW w:w="780" w:type="dxa"/>
            <w:vAlign w:val="bottom"/>
            <w:gridSpan w:val="2"/>
          </w:tcPr>
          <w:p>
            <w:pPr>
              <w:jc w:val="right"/>
              <w:ind w:right="140"/>
              <w:spacing w:after="0" w:line="176" w:lineRule="exact"/>
              <w:rPr>
                <w:sz w:val="20"/>
                <w:szCs w:val="20"/>
                <w:color w:val="auto"/>
              </w:rPr>
            </w:pPr>
            <w:r>
              <w:rPr>
                <w:rFonts w:ascii="Arial" w:cs="Arial" w:eastAsia="Arial" w:hAnsi="Arial"/>
                <w:sz w:val="13"/>
                <w:szCs w:val="13"/>
                <w:color w:val="auto"/>
              </w:rPr>
              <w:t>L+600</w:t>
            </w:r>
            <w:r>
              <w:rPr>
                <w:rFonts w:ascii="Arial" w:cs="Arial" w:eastAsia="Arial" w:hAnsi="Arial"/>
                <w:sz w:val="20"/>
                <w:szCs w:val="20"/>
                <w:color w:val="auto"/>
                <w:vertAlign w:val="superscript"/>
              </w:rPr>
              <w:t>(8)</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6,237,317</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6,237,317</w:t>
            </w:r>
          </w:p>
        </w:tc>
        <w:tc>
          <w:tcPr>
            <w:tcW w:w="8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5,950,400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Generics International (U.S.), Inc.</w:t>
            </w:r>
          </w:p>
        </w:tc>
        <w:tc>
          <w:tcPr>
            <w:tcW w:w="100" w:type="dxa"/>
            <w:vAlign w:val="bottom"/>
            <w:shd w:val="clear" w:color="auto" w:fill="CCEEFF"/>
          </w:tcPr>
          <w:p>
            <w:pPr>
              <w:spacing w:after="0"/>
              <w:rPr>
                <w:sz w:val="12"/>
                <w:szCs w:val="12"/>
                <w:color w:val="auto"/>
              </w:rPr>
            </w:pPr>
          </w:p>
        </w:tc>
        <w:tc>
          <w:tcPr>
            <w:tcW w:w="2820" w:type="dxa"/>
            <w:vAlign w:val="bottom"/>
            <w:gridSpan w:val="5"/>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4/30/2015   Healthcare, Education and Childcare</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7.79%</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L+750</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12,000,000</w:t>
            </w:r>
          </w:p>
        </w:tc>
        <w:tc>
          <w:tcPr>
            <w:tcW w:w="88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11,958,469</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11,940,000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Greatwide Logistics Services, L.L.C.</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3/1/2014</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Cargo Transport</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1"/>
                <w:szCs w:val="11"/>
                <w:color w:val="auto"/>
              </w:rPr>
              <w:t>11.00%</w:t>
            </w:r>
            <w:r>
              <w:rPr>
                <w:rFonts w:ascii="Arial" w:cs="Arial" w:eastAsia="Arial" w:hAnsi="Arial"/>
                <w:sz w:val="17"/>
                <w:szCs w:val="17"/>
                <w:color w:val="auto"/>
                <w:vertAlign w:val="superscript"/>
              </w:rPr>
              <w:t>(6)</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L+700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2,570,357</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2,570,357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2,594,775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Mohegan Tribal Gaming Authority</w:t>
            </w:r>
            <w:r>
              <w:rPr>
                <w:rFonts w:ascii="Arial" w:cs="Arial" w:eastAsia="Arial" w:hAnsi="Arial"/>
                <w:sz w:val="17"/>
                <w:szCs w:val="17"/>
                <w:color w:val="auto"/>
                <w:vertAlign w:val="superscript"/>
              </w:rPr>
              <w:t>(5)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11/1/2017</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Hotels, Motels, Inns and Gaming</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11.50%</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4,825,762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4,475,000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12/15/2014</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9.50%</w:t>
            </w:r>
          </w:p>
        </w:tc>
        <w:tc>
          <w:tcPr>
            <w:tcW w:w="3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3,219,319</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3,219,319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2,675,254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B</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12/15/2015</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1"/>
                <w:szCs w:val="11"/>
                <w:color w:val="auto"/>
              </w:rPr>
              <w:t>11.50%</w:t>
            </w:r>
            <w:r>
              <w:rPr>
                <w:rFonts w:ascii="Arial" w:cs="Arial" w:eastAsia="Arial" w:hAnsi="Arial"/>
                <w:sz w:val="17"/>
                <w:szCs w:val="17"/>
                <w:color w:val="auto"/>
                <w:vertAlign w:val="superscript"/>
              </w:rPr>
              <w:t>(6)</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1"/>
                <w:szCs w:val="11"/>
                <w:color w:val="auto"/>
              </w:rPr>
              <w:t>L+850</w:t>
            </w:r>
            <w:r>
              <w:rPr>
                <w:rFonts w:ascii="Arial" w:cs="Arial" w:eastAsia="Arial" w:hAnsi="Arial"/>
                <w:sz w:val="17"/>
                <w:szCs w:val="17"/>
                <w:color w:val="auto"/>
                <w:vertAlign w:val="superscript"/>
              </w:rPr>
              <w:t>(8)</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1,773,703</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1,773,703</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1,349,788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9"/>
              </w:rPr>
              <w:t>10/15/2017</w:t>
            </w:r>
          </w:p>
        </w:tc>
        <w:tc>
          <w:tcPr>
            <w:tcW w:w="21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13.50%</w:t>
            </w:r>
          </w:p>
        </w:tc>
        <w:tc>
          <w:tcPr>
            <w:tcW w:w="320" w:type="dxa"/>
            <w:vAlign w:val="bottom"/>
          </w:tcPr>
          <w:p>
            <w:pPr>
              <w:spacing w:after="0"/>
              <w:rPr>
                <w:sz w:val="12"/>
                <w:szCs w:val="12"/>
                <w:color w:val="auto"/>
              </w:rPr>
            </w:pPr>
          </w:p>
        </w:tc>
        <w:tc>
          <w:tcPr>
            <w:tcW w:w="7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10,000,000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10,600,000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Saint Acquisition Corp.</w:t>
            </w:r>
            <w:r>
              <w:rPr>
                <w:rFonts w:ascii="Arial" w:cs="Arial" w:eastAsia="Arial" w:hAnsi="Arial"/>
                <w:sz w:val="17"/>
                <w:szCs w:val="17"/>
                <w:color w:val="auto"/>
                <w:vertAlign w:val="superscript"/>
              </w:rPr>
              <w:t>(5)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5/15/2015</w:t>
            </w:r>
          </w:p>
        </w:tc>
        <w:tc>
          <w:tcPr>
            <w:tcW w:w="21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w:t>
            </w:r>
          </w:p>
        </w:tc>
        <w:tc>
          <w:tcPr>
            <w:tcW w:w="3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L+775</w:t>
            </w: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9,950,907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9,325,000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4"/>
                <w:szCs w:val="14"/>
                <w:color w:val="auto"/>
              </w:rPr>
              <w:t>Saint Acquisition Corp.</w:t>
            </w:r>
            <w:r>
              <w:rPr>
                <w:rFonts w:ascii="Arial" w:cs="Arial" w:eastAsia="Arial" w:hAnsi="Arial"/>
                <w:sz w:val="22"/>
                <w:szCs w:val="22"/>
                <w:color w:val="auto"/>
                <w:vertAlign w:val="superscript"/>
              </w:rPr>
              <w:t>(5)</w:t>
            </w: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5/15/2017</w:t>
            </w:r>
          </w:p>
        </w:tc>
        <w:tc>
          <w:tcPr>
            <w:tcW w:w="2100" w:type="dxa"/>
            <w:vAlign w:val="bottom"/>
            <w:gridSpan w:val="3"/>
          </w:tcPr>
          <w:p>
            <w:pPr>
              <w:jc w:val="center"/>
              <w:spacing w:after="0"/>
              <w:rPr>
                <w:sz w:val="20"/>
                <w:szCs w:val="20"/>
                <w:color w:val="auto"/>
              </w:rPr>
            </w:pPr>
            <w:r>
              <w:rPr>
                <w:rFonts w:ascii="Arial" w:cs="Arial" w:eastAsia="Arial" w:hAnsi="Arial"/>
                <w:sz w:val="14"/>
                <w:szCs w:val="14"/>
                <w:color w:val="auto"/>
                <w:w w:val="88"/>
              </w:rPr>
              <w:t>Transportation</w:t>
            </w:r>
          </w:p>
        </w:tc>
        <w:tc>
          <w:tcPr>
            <w:tcW w:w="600" w:type="dxa"/>
            <w:vAlign w:val="bottom"/>
          </w:tcPr>
          <w:p>
            <w:pPr>
              <w:jc w:val="right"/>
              <w:spacing w:after="0"/>
              <w:rPr>
                <w:sz w:val="20"/>
                <w:szCs w:val="20"/>
                <w:color w:val="auto"/>
              </w:rPr>
            </w:pPr>
            <w:r>
              <w:rPr>
                <w:rFonts w:ascii="Arial" w:cs="Arial" w:eastAsia="Arial" w:hAnsi="Arial"/>
                <w:sz w:val="14"/>
                <w:szCs w:val="14"/>
                <w:color w:val="auto"/>
              </w:rPr>
              <w:t>12.50%</w:t>
            </w:r>
          </w:p>
        </w:tc>
        <w:tc>
          <w:tcPr>
            <w:tcW w:w="320" w:type="dxa"/>
            <w:vAlign w:val="bottom"/>
          </w:tcPr>
          <w:p>
            <w:pPr>
              <w:spacing w:after="0"/>
              <w:rPr>
                <w:sz w:val="24"/>
                <w:szCs w:val="24"/>
                <w:color w:val="auto"/>
              </w:rPr>
            </w:pPr>
          </w:p>
        </w:tc>
        <w:tc>
          <w:tcPr>
            <w:tcW w:w="7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19,000,000</w:t>
            </w:r>
          </w:p>
        </w:tc>
        <w:tc>
          <w:tcPr>
            <w:tcW w:w="800" w:type="dxa"/>
            <w:vAlign w:val="bottom"/>
            <w:gridSpan w:val="4"/>
          </w:tcPr>
          <w:p>
            <w:pPr>
              <w:jc w:val="right"/>
              <w:spacing w:after="0"/>
              <w:rPr>
                <w:sz w:val="20"/>
                <w:szCs w:val="20"/>
                <w:color w:val="auto"/>
              </w:rPr>
            </w:pPr>
            <w:r>
              <w:rPr>
                <w:rFonts w:ascii="Arial" w:cs="Arial" w:eastAsia="Arial" w:hAnsi="Arial"/>
                <w:sz w:val="14"/>
                <w:szCs w:val="14"/>
                <w:color w:val="auto"/>
              </w:rPr>
              <w:t>17,039,991</w:t>
            </w:r>
          </w:p>
        </w:tc>
        <w:tc>
          <w:tcPr>
            <w:tcW w:w="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19,118,750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-3915410</wp:posOffset>
            </wp:positionV>
            <wp:extent cx="7246620" cy="946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-3538220</wp:posOffset>
            </wp:positionV>
            <wp:extent cx="7246620" cy="946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-1034415</wp:posOffset>
            </wp:positionV>
            <wp:extent cx="7246620" cy="946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Basis</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Point</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Spread</w:t>
            </w:r>
          </w:p>
        </w:tc>
        <w:tc>
          <w:tcPr>
            <w:tcW w:w="240" w:type="dxa"/>
            <w:vAlign w:val="bottom"/>
          </w:tcPr>
          <w:p>
            <w:pPr>
              <w:spacing w:after="0"/>
              <w:rPr>
                <w:sz w:val="12"/>
                <w:szCs w:val="12"/>
                <w:color w:val="auto"/>
              </w:rPr>
            </w:pPr>
          </w:p>
        </w:tc>
        <w:tc>
          <w:tcPr>
            <w:tcW w:w="6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Par/</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rPr>
              <w:t>Current</w:t>
            </w: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Above</w:t>
            </w:r>
          </w:p>
        </w:tc>
        <w:tc>
          <w:tcPr>
            <w:tcW w:w="2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820" w:type="dxa"/>
            <w:vAlign w:val="bottom"/>
          </w:tcPr>
          <w:p>
            <w:pPr>
              <w:spacing w:after="0"/>
              <w:rPr>
                <w:sz w:val="12"/>
                <w:szCs w:val="12"/>
                <w:color w:val="auto"/>
              </w:rPr>
            </w:pPr>
          </w:p>
        </w:tc>
        <w:tc>
          <w:tcPr>
            <w:tcW w:w="7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5"/>
              </w:rPr>
              <w:t>Maturity</w:t>
            </w:r>
          </w:p>
        </w:tc>
        <w:tc>
          <w:tcPr>
            <w:tcW w:w="840" w:type="dxa"/>
            <w:vAlign w:val="bottom"/>
          </w:tcPr>
          <w:p>
            <w:pPr>
              <w:spacing w:after="0"/>
              <w:rPr>
                <w:sz w:val="12"/>
                <w:szCs w:val="12"/>
                <w:color w:val="auto"/>
              </w:rPr>
            </w:pPr>
          </w:p>
        </w:tc>
        <w:tc>
          <w:tcPr>
            <w:tcW w:w="1320" w:type="dxa"/>
            <w:vAlign w:val="bottom"/>
            <w:gridSpan w:val="2"/>
          </w:tcPr>
          <w:p>
            <w:pPr>
              <w:jc w:val="center"/>
              <w:ind w:right="820"/>
              <w:spacing w:after="0" w:line="129" w:lineRule="exact"/>
              <w:rPr>
                <w:sz w:val="20"/>
                <w:szCs w:val="20"/>
                <w:color w:val="auto"/>
              </w:rPr>
            </w:pPr>
            <w:r>
              <w:rPr>
                <w:rFonts w:ascii="Arial" w:cs="Arial" w:eastAsia="Arial" w:hAnsi="Arial"/>
                <w:sz w:val="14"/>
                <w:szCs w:val="14"/>
                <w:b w:val="1"/>
                <w:bCs w:val="1"/>
                <w:color w:val="auto"/>
                <w:w w:val="90"/>
              </w:rPr>
              <w:t>Industry</w:t>
            </w: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8"/>
              </w:rPr>
              <w:t>Coupon</w:t>
            </w:r>
          </w:p>
        </w:tc>
        <w:tc>
          <w:tcPr>
            <w:tcW w:w="640" w:type="dxa"/>
            <w:vAlign w:val="bottom"/>
            <w:gridSpan w:val="2"/>
          </w:tcPr>
          <w:p>
            <w:pPr>
              <w:jc w:val="center"/>
              <w:ind w:right="18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240" w:type="dxa"/>
            <w:vAlign w:val="bottom"/>
          </w:tcPr>
          <w:p>
            <w:pPr>
              <w:spacing w:after="0"/>
              <w:rPr>
                <w:sz w:val="12"/>
                <w:szCs w:val="12"/>
                <w:color w:val="auto"/>
              </w:rPr>
            </w:pPr>
          </w:p>
        </w:tc>
        <w:tc>
          <w:tcPr>
            <w:tcW w:w="66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2"/>
                <w:szCs w:val="12"/>
                <w:color w:val="auto"/>
              </w:rPr>
            </w:pPr>
          </w:p>
        </w:tc>
        <w:tc>
          <w:tcPr>
            <w:tcW w:w="820" w:type="dxa"/>
            <w:vAlign w:val="bottom"/>
            <w:gridSpan w:val="4"/>
          </w:tcPr>
          <w:p>
            <w:pPr>
              <w:ind w:left="24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tcPr>
          <w:p>
            <w:pPr>
              <w:jc w:val="center"/>
              <w:ind w:right="20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3620" w:type="dxa"/>
            <w:vAlign w:val="bottom"/>
            <w:gridSpan w:val="2"/>
            <w:shd w:val="clear" w:color="auto" w:fill="CCEEFF"/>
          </w:tcPr>
          <w:p>
            <w:pPr>
              <w:spacing w:after="0" w:line="105" w:lineRule="exact"/>
              <w:rPr>
                <w:sz w:val="20"/>
                <w:szCs w:val="20"/>
                <w:color w:val="auto"/>
              </w:rPr>
            </w:pPr>
            <w:r>
              <w:rPr>
                <w:rFonts w:ascii="Arial" w:cs="Arial" w:eastAsia="Arial" w:hAnsi="Arial"/>
                <w:sz w:val="12"/>
                <w:szCs w:val="12"/>
                <w:color w:val="auto"/>
              </w:rPr>
              <w:t>Sheridan Holdings, Inc.</w:t>
            </w:r>
          </w:p>
        </w:tc>
        <w:tc>
          <w:tcPr>
            <w:tcW w:w="1520" w:type="dxa"/>
            <w:vAlign w:val="bottom"/>
            <w:gridSpan w:val="3"/>
            <w:shd w:val="clear" w:color="auto" w:fill="CCEEFF"/>
          </w:tcPr>
          <w:p>
            <w:pPr>
              <w:jc w:val="right"/>
              <w:ind w:right="100"/>
              <w:spacing w:after="0" w:line="105" w:lineRule="exact"/>
              <w:rPr>
                <w:sz w:val="20"/>
                <w:szCs w:val="20"/>
                <w:color w:val="auto"/>
              </w:rPr>
            </w:pPr>
            <w:r>
              <w:rPr>
                <w:rFonts w:ascii="Arial" w:cs="Arial" w:eastAsia="Arial" w:hAnsi="Arial"/>
                <w:sz w:val="12"/>
                <w:szCs w:val="12"/>
                <w:color w:val="auto"/>
              </w:rPr>
              <w:t>6/15/2015</w:t>
            </w:r>
          </w:p>
        </w:tc>
        <w:tc>
          <w:tcPr>
            <w:tcW w:w="2160" w:type="dxa"/>
            <w:vAlign w:val="bottom"/>
            <w:gridSpan w:val="3"/>
            <w:shd w:val="clear" w:color="auto" w:fill="CCEEFF"/>
          </w:tcPr>
          <w:p>
            <w:pPr>
              <w:jc w:val="center"/>
              <w:spacing w:after="0" w:line="105" w:lineRule="exact"/>
              <w:rPr>
                <w:sz w:val="20"/>
                <w:szCs w:val="20"/>
                <w:color w:val="auto"/>
              </w:rPr>
            </w:pPr>
            <w:r>
              <w:rPr>
                <w:rFonts w:ascii="Arial" w:cs="Arial" w:eastAsia="Arial" w:hAnsi="Arial"/>
                <w:sz w:val="12"/>
                <w:szCs w:val="12"/>
                <w:color w:val="auto"/>
              </w:rPr>
              <w:t>Healthcare, Education and</w:t>
            </w:r>
          </w:p>
        </w:tc>
        <w:tc>
          <w:tcPr>
            <w:tcW w:w="620" w:type="dxa"/>
            <w:vAlign w:val="bottom"/>
            <w:shd w:val="clear" w:color="auto" w:fill="CCEEFF"/>
          </w:tcPr>
          <w:p>
            <w:pPr>
              <w:jc w:val="right"/>
              <w:spacing w:after="0" w:line="105" w:lineRule="exact"/>
              <w:rPr>
                <w:sz w:val="20"/>
                <w:szCs w:val="20"/>
                <w:color w:val="auto"/>
              </w:rPr>
            </w:pPr>
            <w:r>
              <w:rPr>
                <w:rFonts w:ascii="Arial" w:cs="Arial" w:eastAsia="Arial" w:hAnsi="Arial"/>
                <w:sz w:val="9"/>
                <w:szCs w:val="9"/>
                <w:color w:val="auto"/>
              </w:rPr>
              <w:t>6.05%</w:t>
            </w:r>
            <w:r>
              <w:rPr>
                <w:rFonts w:ascii="Arial" w:cs="Arial" w:eastAsia="Arial" w:hAnsi="Arial"/>
                <w:sz w:val="12"/>
                <w:szCs w:val="12"/>
                <w:color w:val="auto"/>
                <w:vertAlign w:val="superscript"/>
              </w:rPr>
              <w:t>(6)</w:t>
            </w:r>
          </w:p>
        </w:tc>
        <w:tc>
          <w:tcPr>
            <w:tcW w:w="160" w:type="dxa"/>
            <w:vAlign w:val="bottom"/>
            <w:shd w:val="clear" w:color="auto" w:fill="CCEEFF"/>
          </w:tcPr>
          <w:p>
            <w:pPr>
              <w:spacing w:after="0"/>
              <w:rPr>
                <w:sz w:val="9"/>
                <w:szCs w:val="9"/>
                <w:color w:val="auto"/>
              </w:rPr>
            </w:pPr>
          </w:p>
        </w:tc>
        <w:tc>
          <w:tcPr>
            <w:tcW w:w="480" w:type="dxa"/>
            <w:vAlign w:val="bottom"/>
            <w:shd w:val="clear" w:color="auto" w:fill="CCEEFF"/>
          </w:tcPr>
          <w:p>
            <w:pPr>
              <w:ind w:left="100"/>
              <w:spacing w:after="0" w:line="105" w:lineRule="exact"/>
              <w:rPr>
                <w:sz w:val="20"/>
                <w:szCs w:val="20"/>
                <w:color w:val="auto"/>
              </w:rPr>
            </w:pPr>
            <w:r>
              <w:rPr>
                <w:rFonts w:ascii="Arial" w:cs="Arial" w:eastAsia="Arial" w:hAnsi="Arial"/>
                <w:sz w:val="12"/>
                <w:szCs w:val="12"/>
                <w:color w:val="auto"/>
              </w:rPr>
              <w:t>L+575</w:t>
            </w:r>
          </w:p>
        </w:tc>
        <w:tc>
          <w:tcPr>
            <w:tcW w:w="160" w:type="dxa"/>
            <w:vAlign w:val="bottom"/>
            <w:shd w:val="clear" w:color="auto" w:fill="CCEEFF"/>
          </w:tcPr>
          <w:p>
            <w:pPr>
              <w:spacing w:after="0"/>
              <w:rPr>
                <w:sz w:val="9"/>
                <w:szCs w:val="9"/>
                <w:color w:val="auto"/>
              </w:rPr>
            </w:pPr>
          </w:p>
        </w:tc>
        <w:tc>
          <w:tcPr>
            <w:tcW w:w="900" w:type="dxa"/>
            <w:vAlign w:val="bottom"/>
            <w:gridSpan w:val="3"/>
            <w:shd w:val="clear" w:color="auto" w:fill="CCEEFF"/>
          </w:tcPr>
          <w:p>
            <w:pPr>
              <w:jc w:val="right"/>
              <w:ind w:right="60"/>
              <w:spacing w:after="0" w:line="105" w:lineRule="exact"/>
              <w:rPr>
                <w:sz w:val="20"/>
                <w:szCs w:val="20"/>
                <w:color w:val="auto"/>
              </w:rPr>
            </w:pPr>
            <w:r>
              <w:rPr>
                <w:rFonts w:ascii="Arial" w:cs="Arial" w:eastAsia="Arial" w:hAnsi="Arial"/>
                <w:sz w:val="12"/>
                <w:szCs w:val="12"/>
                <w:color w:val="auto"/>
              </w:rPr>
              <w:t>$21,500,000</w:t>
            </w:r>
          </w:p>
        </w:tc>
        <w:tc>
          <w:tcPr>
            <w:tcW w:w="880" w:type="dxa"/>
            <w:vAlign w:val="bottom"/>
            <w:gridSpan w:val="5"/>
            <w:shd w:val="clear" w:color="auto" w:fill="CCEEFF"/>
          </w:tcPr>
          <w:p>
            <w:pPr>
              <w:jc w:val="right"/>
              <w:ind w:right="80"/>
              <w:spacing w:after="0" w:line="105" w:lineRule="exact"/>
              <w:rPr>
                <w:sz w:val="20"/>
                <w:szCs w:val="20"/>
                <w:color w:val="auto"/>
              </w:rPr>
            </w:pPr>
            <w:r>
              <w:rPr>
                <w:rFonts w:ascii="Arial" w:cs="Arial" w:eastAsia="Arial" w:hAnsi="Arial"/>
                <w:sz w:val="12"/>
                <w:szCs w:val="12"/>
                <w:color w:val="auto"/>
              </w:rPr>
              <w:t>$ 19,211,412</w:t>
            </w:r>
          </w:p>
        </w:tc>
        <w:tc>
          <w:tcPr>
            <w:tcW w:w="840" w:type="dxa"/>
            <w:vAlign w:val="bottom"/>
            <w:gridSpan w:val="4"/>
            <w:shd w:val="clear" w:color="auto" w:fill="CCEEFF"/>
          </w:tcPr>
          <w:p>
            <w:pPr>
              <w:jc w:val="right"/>
              <w:spacing w:after="0" w:line="105" w:lineRule="exact"/>
              <w:rPr>
                <w:sz w:val="20"/>
                <w:szCs w:val="20"/>
                <w:color w:val="auto"/>
              </w:rPr>
            </w:pPr>
            <w:r>
              <w:rPr>
                <w:rFonts w:ascii="Arial" w:cs="Arial" w:eastAsia="Arial" w:hAnsi="Arial"/>
                <w:sz w:val="12"/>
                <w:szCs w:val="12"/>
                <w:color w:val="auto"/>
              </w:rPr>
              <w:t>$ 19,887,500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800"/>
              <w:spacing w:after="0"/>
              <w:rPr>
                <w:sz w:val="20"/>
                <w:szCs w:val="20"/>
                <w:color w:val="auto"/>
              </w:rPr>
            </w:pPr>
            <w:r>
              <w:rPr>
                <w:rFonts w:ascii="Arial" w:cs="Arial" w:eastAsia="Arial" w:hAnsi="Arial"/>
                <w:sz w:val="14"/>
                <w:szCs w:val="14"/>
                <w:color w:val="auto"/>
                <w:w w:val="87"/>
              </w:rPr>
              <w:t>Childcare</w:t>
            </w: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Specialized Technology Resources,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12/15/2014</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Chemical, Plastics and Rubber</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7.26%</w:t>
            </w:r>
            <w:r>
              <w:rPr>
                <w:rFonts w:ascii="Arial" w:cs="Arial" w:eastAsia="Arial" w:hAnsi="Arial"/>
                <w:sz w:val="17"/>
                <w:szCs w:val="17"/>
                <w:color w:val="auto"/>
                <w:vertAlign w:val="superscript"/>
              </w:rPr>
              <w:t>(6)</w:t>
            </w: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L+700</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22,500,000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22,490,129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22,500,000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6/15/2015</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6.29%</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L+600</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17,811,488</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17,341,134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16,564,684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151,611,934</w:t>
            </w: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149,087,151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Notes—56.1%</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1"/>
                <w:szCs w:val="11"/>
                <w:color w:val="auto"/>
              </w:rPr>
              <w:t>Affinion Group Holdings, Inc.</w:t>
            </w:r>
            <w:r>
              <w:rPr>
                <w:rFonts w:ascii="Arial" w:cs="Arial" w:eastAsia="Arial" w:hAnsi="Arial"/>
                <w:sz w:val="17"/>
                <w:szCs w:val="17"/>
                <w:color w:val="auto"/>
                <w:vertAlign w:val="superscript"/>
              </w:rPr>
              <w:t>(5)</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11/15/2015</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11.63%</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9,855,000</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9,855,000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Aquilex Holdings, LLC</w:t>
            </w:r>
            <w:r>
              <w:rPr>
                <w:rFonts w:ascii="Arial" w:cs="Arial" w:eastAsia="Arial" w:hAnsi="Arial"/>
                <w:sz w:val="17"/>
                <w:szCs w:val="17"/>
                <w:color w:val="auto"/>
                <w:vertAlign w:val="superscript"/>
              </w:rPr>
              <w:t>(5)</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12/15/2016</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Diversified / Conglomerate Services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11.13%</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18,885,000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18,380,337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18,696,150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Consolidated Foundries,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4/17/2015</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14.25%</w:t>
            </w:r>
            <w:r>
              <w:rPr>
                <w:rFonts w:ascii="Arial" w:cs="Arial" w:eastAsia="Arial" w:hAnsi="Arial"/>
                <w:sz w:val="17"/>
                <w:szCs w:val="17"/>
                <w:color w:val="auto"/>
                <w:vertAlign w:val="superscript"/>
              </w:rPr>
              <w:t>(6)</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8,109,468</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7,973,429</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8,170,289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3/22/2014</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20,720,892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20,359,932</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21,425,401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0"/>
                <w:szCs w:val="10"/>
                <w:color w:val="auto"/>
              </w:rPr>
              <w:t>Da-Lite Screen Company, Inc.</w:t>
            </w:r>
            <w:r>
              <w:rPr>
                <w:rFonts w:ascii="Arial" w:cs="Arial" w:eastAsia="Arial" w:hAnsi="Arial"/>
                <w:sz w:val="15"/>
                <w:szCs w:val="15"/>
                <w:color w:val="auto"/>
                <w:vertAlign w:val="superscript"/>
              </w:rPr>
              <w:t>(5)</w:t>
            </w:r>
          </w:p>
        </w:tc>
        <w:tc>
          <w:tcPr>
            <w:tcW w:w="152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4/1/2015</w:t>
            </w:r>
          </w:p>
        </w:tc>
        <w:tc>
          <w:tcPr>
            <w:tcW w:w="216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8"/>
              </w:rPr>
              <w:t>Home and Office Furnishings,</w:t>
            </w:r>
          </w:p>
        </w:tc>
        <w:tc>
          <w:tcPr>
            <w:tcW w:w="78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12.50%</w:t>
            </w:r>
          </w:p>
        </w:tc>
        <w:tc>
          <w:tcPr>
            <w:tcW w:w="640" w:type="dxa"/>
            <w:vAlign w:val="bottom"/>
            <w:gridSpan w:val="2"/>
          </w:tcPr>
          <w:p>
            <w:pPr>
              <w:ind w:left="260"/>
              <w:spacing w:after="0" w:line="138"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25,000,000</w:t>
            </w:r>
          </w:p>
        </w:tc>
        <w:tc>
          <w:tcPr>
            <w:tcW w:w="80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24,379,843</w:t>
            </w:r>
          </w:p>
        </w:tc>
        <w:tc>
          <w:tcPr>
            <w:tcW w:w="8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25,625,000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Housewares and Durable Consumer</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gridSpan w:val="2"/>
          </w:tcPr>
          <w:p>
            <w:pPr>
              <w:jc w:val="center"/>
              <w:ind w:right="800"/>
              <w:spacing w:after="0" w:line="159" w:lineRule="exact"/>
              <w:rPr>
                <w:sz w:val="20"/>
                <w:szCs w:val="20"/>
                <w:color w:val="auto"/>
              </w:rPr>
            </w:pPr>
            <w:r>
              <w:rPr>
                <w:rFonts w:ascii="Arial" w:cs="Arial" w:eastAsia="Arial" w:hAnsi="Arial"/>
                <w:sz w:val="14"/>
                <w:szCs w:val="14"/>
                <w:color w:val="auto"/>
                <w:w w:val="86"/>
              </w:rPr>
              <w:t>Products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6/6/2014</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14.75%</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23,283,292</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22,970,124</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23,283,292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6/30/2016</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Education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3,947,368</w:t>
            </w:r>
          </w:p>
        </w:tc>
        <w:tc>
          <w:tcPr>
            <w:tcW w:w="88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3,194,611</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3,592,105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MedQuist,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10/15/2016</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 xml:space="preserve">13.00% </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19,000,000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18,430,000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Realogy Corp.</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4/15/2015</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12.38%</w:t>
            </w:r>
            <w:r>
              <w:rPr>
                <w:rFonts w:ascii="Arial" w:cs="Arial" w:eastAsia="Arial" w:hAnsi="Arial"/>
                <w:sz w:val="17"/>
                <w:szCs w:val="17"/>
                <w:color w:val="auto"/>
                <w:vertAlign w:val="superscript"/>
              </w:rPr>
              <w:t>(6)</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9,055,731</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7,900,000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12/29/2015</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11,721,019</w:t>
            </w:r>
          </w:p>
        </w:tc>
        <w:tc>
          <w:tcPr>
            <w:tcW w:w="88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11,361,858</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11,838,229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Trizetto Group, Inc.</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10/1/2016</w:t>
            </w:r>
          </w:p>
        </w:tc>
        <w:tc>
          <w:tcPr>
            <w:tcW w:w="840" w:type="dxa"/>
            <w:vAlign w:val="bottom"/>
          </w:tcPr>
          <w:p>
            <w:pPr>
              <w:spacing w:after="0"/>
              <w:rPr>
                <w:sz w:val="12"/>
                <w:szCs w:val="12"/>
                <w:color w:val="auto"/>
              </w:rPr>
            </w:pPr>
          </w:p>
        </w:tc>
        <w:tc>
          <w:tcPr>
            <w:tcW w:w="13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4"/>
              </w:rPr>
              <w:t>Insurance</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13.50%</w:t>
            </w:r>
            <w:r>
              <w:rPr>
                <w:rFonts w:ascii="Arial" w:cs="Arial" w:eastAsia="Arial" w:hAnsi="Arial"/>
                <w:sz w:val="17"/>
                <w:szCs w:val="17"/>
                <w:color w:val="auto"/>
                <w:vertAlign w:val="superscript"/>
              </w:rPr>
              <w:t>(6)</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20,501,960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20,331,704</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21,117,018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Acquisition Sub Inc.</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2/8/2015</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15.50%</w:t>
            </w:r>
            <w:r>
              <w:rPr>
                <w:rFonts w:ascii="Arial" w:cs="Arial" w:eastAsia="Arial" w:hAnsi="Arial"/>
                <w:sz w:val="17"/>
                <w:szCs w:val="17"/>
                <w:color w:val="auto"/>
                <w:vertAlign w:val="superscript"/>
              </w:rPr>
              <w:t>(6)</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21,098,000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20,642,507</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20,148,590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1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12/31/2015</w:t>
            </w:r>
          </w:p>
        </w:tc>
        <w:tc>
          <w:tcPr>
            <w:tcW w:w="2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6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15,000,000</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14,636,487</w:t>
            </w:r>
          </w:p>
        </w:tc>
        <w:tc>
          <w:tcPr>
            <w:tcW w:w="80" w:type="dxa"/>
            <w:vAlign w:val="bottom"/>
          </w:tcPr>
          <w:p>
            <w:pPr>
              <w:spacing w:after="0"/>
              <w:rPr>
                <w:sz w:val="12"/>
                <w:szCs w:val="12"/>
                <w:color w:val="auto"/>
              </w:rPr>
            </w:pP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Veritext Corp.</w:t>
            </w:r>
            <w:r>
              <w:rPr>
                <w:rFonts w:ascii="Arial" w:cs="Arial" w:eastAsia="Arial" w:hAnsi="Arial"/>
                <w:sz w:val="17"/>
                <w:szCs w:val="17"/>
                <w:color w:val="auto"/>
                <w:vertAlign w:val="superscript"/>
              </w:rPr>
              <w:t>(9)</w:t>
            </w:r>
          </w:p>
        </w:tc>
        <w:tc>
          <w:tcPr>
            <w:tcW w:w="15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12/31/2012</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11,700,000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213,271,563</w:t>
            </w:r>
          </w:p>
        </w:tc>
        <w:tc>
          <w:tcPr>
            <w:tcW w:w="8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217,081,074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Equity/Partnership Interests—2.0%</w:t>
            </w:r>
            <w:r>
              <w:rPr>
                <w:rFonts w:ascii="Arial" w:cs="Arial" w:eastAsia="Arial" w:hAnsi="Arial"/>
                <w:sz w:val="17"/>
                <w:szCs w:val="17"/>
                <w:b w:val="1"/>
                <w:bCs w:val="1"/>
                <w:color w:val="auto"/>
                <w:vertAlign w:val="superscript"/>
              </w:rPr>
              <w:t>(7)</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AHC Mezzanine, LLC</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(Advanstar Inc.)</w:t>
            </w:r>
          </w:p>
        </w:tc>
        <w:tc>
          <w:tcPr>
            <w:tcW w:w="82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1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8"/>
              </w:rPr>
              <w:t>Other Media</w:t>
            </w: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319</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318,896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3"/>
          </w:tcPr>
          <w:p>
            <w:pPr>
              <w:ind w:left="4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CFHC Holdings, Inc., Class A</w:t>
            </w:r>
          </w:p>
        </w:tc>
        <w:tc>
          <w:tcPr>
            <w:tcW w:w="8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(Consolidated Foundries, Inc.)</w:t>
            </w:r>
          </w:p>
        </w:tc>
        <w:tc>
          <w:tcPr>
            <w:tcW w:w="8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16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12.00%</w:t>
            </w:r>
          </w:p>
        </w:tc>
        <w:tc>
          <w:tcPr>
            <w:tcW w:w="6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797</w:t>
            </w:r>
          </w:p>
        </w:tc>
        <w:tc>
          <w:tcPr>
            <w:tcW w:w="8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797,288</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1,070,352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CT Technologies Holdings, LLC</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(CT Technologies Intermediate Holdings, Inc.)</w:t>
            </w:r>
          </w:p>
        </w:tc>
        <w:tc>
          <w:tcPr>
            <w:tcW w:w="82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1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5"/>
              </w:rPr>
              <w:t>Business Services</w:t>
            </w: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9.00%</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144,375</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144,376</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148,909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i2 Holdings Ltd.</w:t>
            </w:r>
            <w:r>
              <w:rPr>
                <w:rFonts w:ascii="Arial" w:cs="Arial" w:eastAsia="Arial" w:hAnsi="Arial"/>
                <w:sz w:val="17"/>
                <w:szCs w:val="17"/>
                <w:color w:val="auto"/>
                <w:vertAlign w:val="superscript"/>
              </w:rPr>
              <w:t>(10)</w:t>
            </w:r>
          </w:p>
        </w:tc>
        <w:tc>
          <w:tcPr>
            <w:tcW w:w="8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1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12.00%</w:t>
            </w:r>
          </w:p>
        </w:tc>
        <w:tc>
          <w:tcPr>
            <w:tcW w:w="6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4,137,240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4,137,240</w:t>
            </w: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3,869,263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TZ Holdings, L.P., Series A</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2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3"/>
                <w:szCs w:val="13"/>
                <w:color w:val="auto"/>
              </w:rPr>
            </w:pPr>
          </w:p>
        </w:tc>
        <w:tc>
          <w:tcPr>
            <w:tcW w:w="1320" w:type="dxa"/>
            <w:vAlign w:val="bottom"/>
            <w:gridSpan w:val="2"/>
          </w:tcPr>
          <w:p>
            <w:pPr>
              <w:jc w:val="center"/>
              <w:ind w:right="800"/>
              <w:spacing w:after="0" w:line="159" w:lineRule="exact"/>
              <w:rPr>
                <w:sz w:val="20"/>
                <w:szCs w:val="20"/>
                <w:color w:val="auto"/>
              </w:rPr>
            </w:pPr>
            <w:r>
              <w:rPr>
                <w:rFonts w:ascii="Arial" w:cs="Arial" w:eastAsia="Arial" w:hAnsi="Arial"/>
                <w:sz w:val="14"/>
                <w:szCs w:val="14"/>
                <w:color w:val="auto"/>
                <w:w w:val="84"/>
              </w:rPr>
              <w:t>Insurance</w:t>
            </w:r>
          </w:p>
        </w:tc>
        <w:tc>
          <w:tcPr>
            <w:tcW w:w="7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686</w:t>
            </w:r>
          </w:p>
        </w:tc>
        <w:tc>
          <w:tcPr>
            <w:tcW w:w="8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80" w:type="dxa"/>
            <w:vAlign w:val="bottom"/>
          </w:tcPr>
          <w:p>
            <w:pPr>
              <w:spacing w:after="0"/>
              <w:rPr>
                <w:sz w:val="13"/>
                <w:szCs w:val="13"/>
                <w:color w:val="auto"/>
              </w:rPr>
            </w:pPr>
          </w:p>
        </w:tc>
        <w:tc>
          <w:tcPr>
            <w:tcW w:w="84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685,820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B</w:t>
            </w:r>
          </w:p>
        </w:tc>
        <w:tc>
          <w:tcPr>
            <w:tcW w:w="8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800"/>
              <w:spacing w:after="0" w:line="159" w:lineRule="exact"/>
              <w:rPr>
                <w:sz w:val="20"/>
                <w:szCs w:val="20"/>
                <w:color w:val="auto"/>
              </w:rPr>
            </w:pPr>
            <w:r>
              <w:rPr>
                <w:rFonts w:ascii="Arial" w:cs="Arial" w:eastAsia="Arial" w:hAnsi="Arial"/>
                <w:sz w:val="14"/>
                <w:szCs w:val="14"/>
                <w:color w:val="auto"/>
                <w:w w:val="84"/>
              </w:rPr>
              <w:t>Insurance</w:t>
            </w: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6.50%</w:t>
            </w:r>
          </w:p>
        </w:tc>
        <w:tc>
          <w:tcPr>
            <w:tcW w:w="64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1,312</w:t>
            </w:r>
          </w:p>
        </w:tc>
        <w:tc>
          <w:tcPr>
            <w:tcW w:w="8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1,312,006</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1,495,885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20" w:type="dxa"/>
            <w:vAlign w:val="bottom"/>
            <w:gridSpan w:val="2"/>
          </w:tcPr>
          <w:p>
            <w:pPr>
              <w:spacing w:after="0" w:line="138" w:lineRule="exact"/>
              <w:rPr>
                <w:sz w:val="20"/>
                <w:szCs w:val="20"/>
                <w:color w:val="auto"/>
              </w:rPr>
            </w:pPr>
            <w:r>
              <w:rPr>
                <w:rFonts w:ascii="Arial" w:cs="Arial" w:eastAsia="Arial" w:hAnsi="Arial"/>
                <w:sz w:val="14"/>
                <w:szCs w:val="14"/>
                <w:color w:val="auto"/>
              </w:rPr>
              <w:t>UP Holdings Inc., Class A-1</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(UP Acquisitions Sub Inc.)</w:t>
            </w:r>
          </w:p>
        </w:tc>
        <w:tc>
          <w:tcPr>
            <w:tcW w:w="820" w:type="dxa"/>
            <w:vAlign w:val="bottom"/>
          </w:tcPr>
          <w:p>
            <w:pPr>
              <w:spacing w:after="0"/>
              <w:rPr>
                <w:sz w:val="14"/>
                <w:szCs w:val="14"/>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216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6"/>
              </w:rPr>
              <w:t>Oil and Gas</w:t>
            </w: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8.00%</w:t>
            </w:r>
          </w:p>
        </w:tc>
        <w:tc>
          <w:tcPr>
            <w:tcW w:w="6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91,608</w:t>
            </w:r>
          </w:p>
        </w:tc>
        <w:tc>
          <w:tcPr>
            <w:tcW w:w="60" w:type="dxa"/>
            <w:vAlign w:val="bottom"/>
          </w:tcPr>
          <w:p>
            <w:pPr>
              <w:spacing w:after="0"/>
              <w:rPr>
                <w:sz w:val="14"/>
                <w:szCs w:val="14"/>
                <w:color w:val="auto"/>
              </w:rPr>
            </w:pPr>
          </w:p>
        </w:tc>
        <w:tc>
          <w:tcPr>
            <w:tcW w:w="7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2,499,066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495,851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9,894,692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7,766,080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PENNANTPARK INVESTMENT CORPORATION AND SUBSIDIARIES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2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Maturity</w:t>
            </w:r>
          </w:p>
        </w:tc>
      </w:tr>
      <w:tr>
        <w:trPr>
          <w:trHeight w:val="138"/>
        </w:trPr>
        <w:tc>
          <w:tcPr>
            <w:tcW w:w="760" w:type="dxa"/>
            <w:vAlign w:val="bottom"/>
            <w:tcBorders>
              <w:top w:val="single" w:sz="8" w:color="auto"/>
            </w:tcBorders>
          </w:tcPr>
          <w:p>
            <w:pPr>
              <w:spacing w:after="0" w:line="138" w:lineRule="exact"/>
              <w:rPr>
                <w:sz w:val="20"/>
                <w:szCs w:val="20"/>
                <w:color w:val="auto"/>
              </w:rPr>
            </w:pPr>
            <w:r>
              <w:rPr>
                <w:rFonts w:ascii="Arial" w:cs="Arial" w:eastAsia="Arial" w:hAnsi="Arial"/>
                <w:sz w:val="14"/>
                <w:szCs w:val="14"/>
                <w:b w:val="1"/>
                <w:bCs w:val="1"/>
                <w:color w:val="auto"/>
              </w:rPr>
              <w:t>Common</w:t>
            </w:r>
          </w:p>
        </w:tc>
        <w:tc>
          <w:tcPr>
            <w:tcW w:w="3880" w:type="dxa"/>
            <w:vAlign w:val="bottom"/>
          </w:tcPr>
          <w:p>
            <w:pPr>
              <w:spacing w:after="0" w:line="138" w:lineRule="exact"/>
              <w:rPr>
                <w:sz w:val="20"/>
                <w:szCs w:val="20"/>
                <w:color w:val="auto"/>
              </w:rPr>
            </w:pPr>
            <w:r>
              <w:rPr>
                <w:rFonts w:ascii="Arial" w:cs="Arial" w:eastAsia="Arial" w:hAnsi="Arial"/>
                <w:sz w:val="10"/>
                <w:szCs w:val="10"/>
                <w:b w:val="1"/>
                <w:bCs w:val="1"/>
                <w:color w:val="auto"/>
              </w:rPr>
              <w:t>Equity/Warrants/Partnership Interests—9.9%</w:t>
            </w:r>
            <w:r>
              <w:rPr>
                <w:rFonts w:ascii="Arial" w:cs="Arial" w:eastAsia="Arial" w:hAnsi="Arial"/>
                <w:sz w:val="15"/>
                <w:szCs w:val="15"/>
                <w:b w:val="1"/>
                <w:bCs w:val="1"/>
                <w:color w:val="auto"/>
                <w:vertAlign w:val="superscript"/>
              </w:rPr>
              <w:t>(7)</w:t>
            </w:r>
          </w:p>
        </w:tc>
        <w:tc>
          <w:tcPr>
            <w:tcW w:w="2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CEA Autumn Management, L.L.C.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CFHC Holdings, Inc.</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(Consolidated Foundries,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(CT Technologies Intermediate Holdings,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32"/>
        </w:trPr>
        <w:tc>
          <w:tcPr>
            <w:tcW w:w="4640" w:type="dxa"/>
            <w:vAlign w:val="bottom"/>
            <w:gridSpan w:val="2"/>
          </w:tcPr>
          <w:p>
            <w:pPr>
              <w:spacing w:after="0" w:line="133" w:lineRule="exact"/>
              <w:rPr>
                <w:sz w:val="20"/>
                <w:szCs w:val="20"/>
                <w:color w:val="auto"/>
              </w:rPr>
            </w:pPr>
            <w:r>
              <w:rPr>
                <w:rFonts w:ascii="Arial" w:cs="Arial" w:eastAsia="Arial" w:hAnsi="Arial"/>
                <w:sz w:val="14"/>
                <w:szCs w:val="14"/>
                <w:color w:val="auto"/>
              </w:rPr>
              <w:t>EnviroSolutions, Inc. (Warrants)</w:t>
            </w:r>
          </w:p>
        </w:tc>
        <w:tc>
          <w:tcPr>
            <w:tcW w:w="280" w:type="dxa"/>
            <w:vAlign w:val="bottom"/>
          </w:tcPr>
          <w:p>
            <w:pPr>
              <w:spacing w:after="0"/>
              <w:rPr>
                <w:sz w:val="11"/>
                <w:szCs w:val="11"/>
                <w:color w:val="auto"/>
              </w:rPr>
            </w:pPr>
          </w:p>
        </w:tc>
        <w:tc>
          <w:tcPr>
            <w:tcW w:w="620" w:type="dxa"/>
            <w:vAlign w:val="bottom"/>
            <w:gridSpan w:val="2"/>
          </w:tcPr>
          <w:p>
            <w:pPr>
              <w:jc w:val="right"/>
              <w:ind w:right="280"/>
              <w:spacing w:after="0" w:line="133" w:lineRule="exact"/>
              <w:rPr>
                <w:sz w:val="20"/>
                <w:szCs w:val="20"/>
                <w:color w:val="auto"/>
              </w:rPr>
            </w:pPr>
            <w:r>
              <w:rPr>
                <w:rFonts w:ascii="Arial" w:cs="Arial" w:eastAsia="Arial" w:hAnsi="Arial"/>
                <w:sz w:val="14"/>
                <w:szCs w:val="14"/>
                <w:color w:val="auto"/>
              </w:rPr>
              <w:t>—</w:t>
            </w:r>
          </w:p>
        </w:tc>
      </w:tr>
      <w:tr>
        <w:trPr>
          <w:trHeight w:val="165"/>
        </w:trPr>
        <w:tc>
          <w:tcPr>
            <w:tcW w:w="4640" w:type="dxa"/>
            <w:vAlign w:val="bottom"/>
            <w:gridSpan w:val="2"/>
          </w:tcPr>
          <w:p>
            <w:pPr>
              <w:spacing w:after="0" w:line="165" w:lineRule="exact"/>
              <w:rPr>
                <w:sz w:val="20"/>
                <w:szCs w:val="20"/>
                <w:color w:val="auto"/>
              </w:rPr>
            </w:pPr>
            <w:r>
              <w:rPr>
                <w:rFonts w:ascii="Arial" w:cs="Arial" w:eastAsia="Arial" w:hAnsi="Arial"/>
                <w:sz w:val="12"/>
                <w:szCs w:val="12"/>
                <w:color w:val="auto"/>
              </w:rPr>
              <w:t xml:space="preserve">i2 Holdings Ltd. </w:t>
            </w:r>
            <w:r>
              <w:rPr>
                <w:rFonts w:ascii="Arial" w:cs="Arial" w:eastAsia="Arial" w:hAnsi="Arial"/>
                <w:sz w:val="19"/>
                <w:szCs w:val="19"/>
                <w:color w:val="auto"/>
                <w:vertAlign w:val="superscript"/>
              </w:rPr>
              <w:t>(10)</w:t>
            </w:r>
          </w:p>
        </w:tc>
        <w:tc>
          <w:tcPr>
            <w:tcW w:w="28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Kadmon Holdings, L.L.C., Class A</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640" w:type="dxa"/>
            <w:vAlign w:val="bottom"/>
            <w:gridSpan w:val="2"/>
          </w:tcPr>
          <w:p>
            <w:pPr>
              <w:ind w:left="220"/>
              <w:spacing w:after="0"/>
              <w:rPr>
                <w:sz w:val="20"/>
                <w:szCs w:val="20"/>
                <w:color w:val="auto"/>
              </w:rPr>
            </w:pPr>
            <w:r>
              <w:rPr>
                <w:rFonts w:ascii="Arial" w:cs="Arial" w:eastAsia="Arial" w:hAnsi="Arial"/>
                <w:sz w:val="14"/>
                <w:szCs w:val="14"/>
                <w:color w:val="auto"/>
              </w:rPr>
              <w:t>(Three Rivers Pharmaceutical, L.L.C.)</w:t>
            </w:r>
          </w:p>
        </w:tc>
        <w:tc>
          <w:tcPr>
            <w:tcW w:w="28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Kadmon Holdings, L.L.C., Class D</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(Three Rivers Pharmaceutical, L.L.C.)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4/27/2020</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Magnum Hunter Resources Corporation</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A</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(Questex Media Group,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B</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(Questex Media Group,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12/29/2019</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Transportation 100 Holdco, L.L.C.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(Greatwide Logistics Services, L.L.C)</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(Trizetto Group,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49"/>
        </w:trPr>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UP Holdings Inc. (UP Acquisitions Sub Inc.)</w:t>
            </w:r>
          </w:p>
        </w:tc>
        <w:tc>
          <w:tcPr>
            <w:tcW w:w="28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r>
      <w:tr>
        <w:trPr>
          <w:trHeight w:val="172"/>
        </w:trPr>
        <w:tc>
          <w:tcPr>
            <w:tcW w:w="4640" w:type="dxa"/>
            <w:vAlign w:val="bottom"/>
            <w:gridSpan w:val="2"/>
          </w:tcPr>
          <w:p>
            <w:pPr>
              <w:spacing w:after="0"/>
              <w:rPr>
                <w:sz w:val="20"/>
                <w:szCs w:val="20"/>
                <w:color w:val="auto"/>
              </w:rPr>
            </w:pPr>
            <w:r>
              <w:rPr>
                <w:rFonts w:ascii="Arial" w:cs="Arial" w:eastAsia="Arial" w:hAnsi="Arial"/>
                <w:sz w:val="14"/>
                <w:szCs w:val="14"/>
                <w:color w:val="auto"/>
              </w:rPr>
              <w:t>VText Holdings, Inc.</w:t>
            </w:r>
          </w:p>
        </w:tc>
        <w:tc>
          <w:tcPr>
            <w:tcW w:w="28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176"/>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Total Common Equity/Warrants/Partnership Interests</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8"/>
        </w:trPr>
        <w:tc>
          <w:tcPr>
            <w:tcW w:w="4640" w:type="dxa"/>
            <w:vAlign w:val="bottom"/>
            <w:gridSpan w:val="2"/>
          </w:tcPr>
          <w:p>
            <w:pPr>
              <w:spacing w:after="0" w:line="159" w:lineRule="exact"/>
              <w:rPr>
                <w:sz w:val="20"/>
                <w:szCs w:val="20"/>
                <w:color w:val="auto"/>
              </w:rPr>
            </w:pPr>
            <w:r>
              <w:rPr>
                <w:rFonts w:ascii="Arial" w:cs="Arial" w:eastAsia="Arial" w:hAnsi="Arial"/>
                <w:sz w:val="14"/>
                <w:szCs w:val="14"/>
                <w:b w:val="1"/>
                <w:bCs w:val="1"/>
                <w:color w:val="auto"/>
              </w:rPr>
              <w:t>Investments in Non-Controlled, Non-Affiliated Portfolio Companies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7"/>
        </w:trPr>
        <w:tc>
          <w:tcPr>
            <w:tcW w:w="4640" w:type="dxa"/>
            <w:vAlign w:val="bottom"/>
            <w:gridSpan w:val="2"/>
          </w:tcPr>
          <w:p>
            <w:pPr>
              <w:spacing w:after="0" w:line="167" w:lineRule="exact"/>
              <w:rPr>
                <w:sz w:val="20"/>
                <w:szCs w:val="20"/>
                <w:color w:val="auto"/>
              </w:rPr>
            </w:pPr>
            <w:r>
              <w:rPr>
                <w:rFonts w:ascii="Arial" w:cs="Arial" w:eastAsia="Arial" w:hAnsi="Arial"/>
                <w:sz w:val="12"/>
                <w:szCs w:val="12"/>
                <w:b w:val="1"/>
                <w:bCs w:val="1"/>
                <w:color w:val="auto"/>
              </w:rPr>
              <w:t>Investments in Non-Controlled, Affiliated Portfolio Companies—4.0%</w:t>
            </w:r>
            <w:r>
              <w:rPr>
                <w:rFonts w:ascii="Arial" w:cs="Arial" w:eastAsia="Arial" w:hAnsi="Arial"/>
                <w:sz w:val="19"/>
                <w:szCs w:val="19"/>
                <w:b w:val="1"/>
                <w:bCs w:val="1"/>
                <w:color w:val="auto"/>
                <w:vertAlign w:val="superscript"/>
              </w:rPr>
              <w:t>(1),(2)</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1"/>
        </w:trPr>
        <w:tc>
          <w:tcPr>
            <w:tcW w:w="46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Second Lien Secured Debt—2.0%</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2"/>
        </w:trPr>
        <w:tc>
          <w:tcPr>
            <w:tcW w:w="4640" w:type="dxa"/>
            <w:vAlign w:val="bottom"/>
            <w:gridSpan w:val="2"/>
          </w:tcPr>
          <w:p>
            <w:pPr>
              <w:spacing w:after="0"/>
              <w:rPr>
                <w:sz w:val="20"/>
                <w:szCs w:val="20"/>
                <w:color w:val="auto"/>
              </w:rPr>
            </w:pPr>
            <w:r>
              <w:rPr>
                <w:rFonts w:ascii="Arial" w:cs="Arial" w:eastAsia="Arial" w:hAnsi="Arial"/>
                <w:sz w:val="14"/>
                <w:szCs w:val="14"/>
                <w:color w:val="auto"/>
              </w:rPr>
              <w:t>Performance, Inc.</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1/16/2015</w:t>
            </w:r>
          </w:p>
        </w:tc>
      </w:tr>
      <w:tr>
        <w:trPr>
          <w:trHeight w:val="300"/>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Subordinated Debt/Corporate Notes—1.5%</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2"/>
        </w:trPr>
        <w:tc>
          <w:tcPr>
            <w:tcW w:w="4640" w:type="dxa"/>
            <w:vAlign w:val="bottom"/>
            <w:gridSpan w:val="2"/>
          </w:tcPr>
          <w:p>
            <w:pPr>
              <w:spacing w:after="0"/>
              <w:rPr>
                <w:sz w:val="20"/>
                <w:szCs w:val="20"/>
                <w:color w:val="auto"/>
              </w:rPr>
            </w:pPr>
            <w:r>
              <w:rPr>
                <w:rFonts w:ascii="Arial" w:cs="Arial" w:eastAsia="Arial" w:hAnsi="Arial"/>
                <w:sz w:val="14"/>
                <w:szCs w:val="14"/>
                <w:color w:val="auto"/>
              </w:rPr>
              <w:t>Performance Holdings, Inc.</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7/16/2015</w:t>
            </w:r>
          </w:p>
        </w:tc>
      </w:tr>
      <w:tr>
        <w:trPr>
          <w:trHeight w:val="408"/>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Common Equity/Partnership Interest—0.5%</w:t>
            </w:r>
            <w:r>
              <w:rPr>
                <w:rFonts w:ascii="Arial" w:cs="Arial" w:eastAsia="Arial" w:hAnsi="Arial"/>
                <w:sz w:val="22"/>
                <w:szCs w:val="22"/>
                <w:b w:val="1"/>
                <w:bCs w:val="1"/>
                <w:color w:val="auto"/>
                <w:vertAlign w:val="superscript"/>
              </w:rPr>
              <w:t>(7)</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2"/>
        </w:trPr>
        <w:tc>
          <w:tcPr>
            <w:tcW w:w="4640" w:type="dxa"/>
            <w:vAlign w:val="bottom"/>
            <w:gridSpan w:val="2"/>
          </w:tcPr>
          <w:p>
            <w:pPr>
              <w:spacing w:after="0"/>
              <w:rPr>
                <w:sz w:val="20"/>
                <w:szCs w:val="20"/>
                <w:color w:val="auto"/>
              </w:rPr>
            </w:pPr>
            <w:r>
              <w:rPr>
                <w:rFonts w:ascii="Arial" w:cs="Arial" w:eastAsia="Arial" w:hAnsi="Arial"/>
                <w:sz w:val="14"/>
                <w:szCs w:val="14"/>
                <w:color w:val="auto"/>
              </w:rPr>
              <w:t>NCP-Performance (Performance Holdings, Inc.)</w:t>
            </w:r>
          </w:p>
        </w:tc>
        <w:tc>
          <w:tcPr>
            <w:tcW w:w="28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0"/>
              </w:rPr>
              <w:t>Basis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Point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Spread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Par/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Above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0" w:type="dxa"/>
            <w:vAlign w:val="bottom"/>
          </w:tcPr>
          <w:p>
            <w:pPr>
              <w:spacing w:after="0"/>
              <w:rPr>
                <w:sz w:val="16"/>
                <w:szCs w:val="16"/>
                <w:color w:val="auto"/>
              </w:rPr>
            </w:pPr>
          </w:p>
        </w:tc>
        <w:tc>
          <w:tcPr>
            <w:tcW w:w="5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Industry</w:t>
            </w:r>
          </w:p>
        </w:tc>
        <w:tc>
          <w:tcPr>
            <w:tcW w:w="700" w:type="dxa"/>
            <w:vAlign w:val="bottom"/>
          </w:tcPr>
          <w:p>
            <w:pPr>
              <w:spacing w:after="0"/>
              <w:rPr>
                <w:sz w:val="16"/>
                <w:szCs w:val="16"/>
                <w:color w:val="auto"/>
              </w:rPr>
            </w:pPr>
          </w:p>
        </w:tc>
        <w:tc>
          <w:tcPr>
            <w:tcW w:w="480" w:type="dxa"/>
            <w:vAlign w:val="bottom"/>
            <w:tcBorders>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3"/>
              </w:rPr>
              <w:t>Coupon</w:t>
            </w:r>
          </w:p>
        </w:tc>
        <w:tc>
          <w:tcPr>
            <w:tcW w:w="180" w:type="dxa"/>
            <w:vAlign w:val="bottom"/>
          </w:tcPr>
          <w:p>
            <w:pPr>
              <w:spacing w:after="0"/>
              <w:rPr>
                <w:sz w:val="16"/>
                <w:szCs w:val="16"/>
                <w:color w:val="auto"/>
              </w:rPr>
            </w:pPr>
          </w:p>
        </w:tc>
        <w:tc>
          <w:tcPr>
            <w:tcW w:w="4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Cost</w:t>
            </w:r>
          </w:p>
        </w:tc>
        <w:tc>
          <w:tcPr>
            <w:tcW w:w="32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840" w:type="dxa"/>
            <w:vAlign w:val="bottom"/>
            <w:gridSpan w:val="3"/>
          </w:tcPr>
          <w:p>
            <w:pPr>
              <w:jc w:val="center"/>
              <w:ind w:right="100"/>
              <w:spacing w:after="0"/>
              <w:rPr>
                <w:sz w:val="20"/>
                <w:szCs w:val="20"/>
                <w:color w:val="auto"/>
              </w:rPr>
            </w:pPr>
            <w:r>
              <w:rPr>
                <w:rFonts w:ascii="Arial" w:cs="Arial" w:eastAsia="Arial" w:hAnsi="Arial"/>
                <w:sz w:val="14"/>
                <w:szCs w:val="14"/>
                <w:color w:val="auto"/>
                <w:w w:val="86"/>
              </w:rPr>
              <w:t>Broadcasting and Entertainment</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1,333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  3,000,000</w:t>
            </w:r>
          </w:p>
        </w:tc>
        <w:tc>
          <w:tcPr>
            <w:tcW w:w="0" w:type="dxa"/>
            <w:vAlign w:val="bottom"/>
          </w:tcPr>
          <w:p>
            <w:pPr>
              <w:spacing w:after="0"/>
              <w:rPr>
                <w:sz w:val="1"/>
                <w:szCs w:val="1"/>
                <w:color w:val="auto"/>
              </w:rPr>
            </w:pPr>
          </w:p>
        </w:tc>
      </w:tr>
      <w:tr>
        <w:trPr>
          <w:trHeight w:val="297"/>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5"/>
              </w:rPr>
              <w:t>Aerospace and Defense</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1,627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16,271</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387,012</w:t>
            </w:r>
          </w:p>
        </w:tc>
        <w:tc>
          <w:tcPr>
            <w:tcW w:w="0" w:type="dxa"/>
            <w:vAlign w:val="bottom"/>
          </w:tcPr>
          <w:p>
            <w:pPr>
              <w:spacing w:after="0"/>
              <w:rPr>
                <w:sz w:val="1"/>
                <w:szCs w:val="1"/>
                <w:color w:val="auto"/>
              </w:rPr>
            </w:pPr>
          </w:p>
        </w:tc>
      </w:tr>
      <w:tr>
        <w:trPr>
          <w:trHeight w:val="273"/>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3"/>
              </w:rPr>
              <w:t>Business Services</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5,556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3,200,000</w:t>
            </w:r>
          </w:p>
        </w:tc>
        <w:tc>
          <w:tcPr>
            <w:tcW w:w="100" w:type="dxa"/>
            <w:vAlign w:val="bottom"/>
          </w:tcPr>
          <w:p>
            <w:pPr>
              <w:spacing w:after="0"/>
              <w:rPr>
                <w:sz w:val="23"/>
                <w:szCs w:val="23"/>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7,987,755</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Environmental Services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24,375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1,506,076</w:t>
            </w: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1,998,008</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Environmental Services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49,005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3,027,906</w:t>
            </w: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4,016,429</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Aerospace and Defense</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457,322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454,030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Healthcare, Education</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7"/>
              </w:rPr>
              <w:t>and Childcare</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8,999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1,780,693</w:t>
            </w:r>
          </w:p>
        </w:tc>
        <w:tc>
          <w:tcPr>
            <w:tcW w:w="100" w:type="dxa"/>
            <w:vAlign w:val="bottom"/>
          </w:tcPr>
          <w:p>
            <w:pPr>
              <w:spacing w:after="0"/>
              <w:rPr>
                <w:sz w:val="14"/>
                <w:szCs w:val="1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1,780,693</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Healthcare, Education and</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122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7"/>
              </w:rPr>
              <w:t>Childcare</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8,999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857,339</w:t>
            </w: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857,339</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9"/>
              </w:rPr>
              <w:t>Education</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1,267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779,920</w:t>
            </w: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633,308</w:t>
            </w:r>
          </w:p>
        </w:tc>
        <w:tc>
          <w:tcPr>
            <w:tcW w:w="0" w:type="dxa"/>
            <w:vAlign w:val="bottom"/>
          </w:tcPr>
          <w:p>
            <w:pPr>
              <w:spacing w:after="0"/>
              <w:rPr>
                <w:sz w:val="1"/>
                <w:szCs w:val="1"/>
                <w:color w:val="auto"/>
              </w:rPr>
            </w:pPr>
          </w:p>
        </w:tc>
      </w:tr>
      <w:tr>
        <w:trPr>
          <w:trHeight w:val="172"/>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6"/>
              </w:rPr>
              <w:t>Oil and Gas</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w w:val="83"/>
              </w:rPr>
              <w:t>1,055,932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2,464,999</w:t>
            </w:r>
          </w:p>
        </w:tc>
        <w:tc>
          <w:tcPr>
            <w:tcW w:w="100" w:type="dxa"/>
            <w:vAlign w:val="bottom"/>
          </w:tcPr>
          <w:p>
            <w:pPr>
              <w:spacing w:after="0"/>
              <w:rPr>
                <w:sz w:val="14"/>
                <w:szCs w:val="1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4,350,440</w:t>
            </w:r>
          </w:p>
        </w:tc>
        <w:tc>
          <w:tcPr>
            <w:tcW w:w="0" w:type="dxa"/>
            <w:vAlign w:val="bottom"/>
          </w:tcPr>
          <w:p>
            <w:pPr>
              <w:spacing w:after="0"/>
              <w:rPr>
                <w:sz w:val="1"/>
                <w:szCs w:val="1"/>
                <w:color w:val="auto"/>
              </w:rPr>
            </w:pPr>
          </w:p>
        </w:tc>
      </w:tr>
      <w:tr>
        <w:trPr>
          <w:trHeight w:val="297"/>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8"/>
              </w:rPr>
              <w:t>Other Media</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4,325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1,306,167</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1,081,683</w:t>
            </w:r>
          </w:p>
        </w:tc>
        <w:tc>
          <w:tcPr>
            <w:tcW w:w="0" w:type="dxa"/>
            <w:vAlign w:val="bottom"/>
          </w:tcPr>
          <w:p>
            <w:pPr>
              <w:spacing w:after="0"/>
              <w:rPr>
                <w:sz w:val="1"/>
                <w:szCs w:val="1"/>
                <w:color w:val="auto"/>
              </w:rPr>
            </w:pPr>
          </w:p>
        </w:tc>
      </w:tr>
      <w:tr>
        <w:trPr>
          <w:trHeight w:val="273"/>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8"/>
              </w:rPr>
              <w:t>Other Media</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531</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132,803</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3"/>
              </w:rPr>
              <w:t>Business Services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3,500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29,400</w:t>
            </w:r>
          </w:p>
        </w:tc>
        <w:tc>
          <w:tcPr>
            <w:tcW w:w="100" w:type="dxa"/>
            <w:vAlign w:val="bottom"/>
          </w:tcPr>
          <w:p>
            <w:pPr>
              <w:spacing w:after="0"/>
              <w:rPr>
                <w:sz w:val="12"/>
                <w:szCs w:val="12"/>
                <w:color w:val="auto"/>
              </w:rPr>
            </w:pP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973,875</w:t>
            </w:r>
          </w:p>
        </w:tc>
        <w:tc>
          <w:tcPr>
            <w:tcW w:w="0" w:type="dxa"/>
            <w:vAlign w:val="bottom"/>
          </w:tcPr>
          <w:p>
            <w:pPr>
              <w:spacing w:after="0"/>
              <w:rPr>
                <w:sz w:val="1"/>
                <w:szCs w:val="1"/>
                <w:color w:val="auto"/>
              </w:rPr>
            </w:pPr>
          </w:p>
        </w:tc>
      </w:tr>
      <w:tr>
        <w:trPr>
          <w:trHeight w:val="172"/>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6"/>
              </w:rPr>
              <w:t>Cargo Transport</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137,923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color w:val="auto"/>
              </w:rPr>
              <w:t>2,111,588</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4,589,906</w:t>
            </w:r>
          </w:p>
        </w:tc>
        <w:tc>
          <w:tcPr>
            <w:tcW w:w="0" w:type="dxa"/>
            <w:vAlign w:val="bottom"/>
          </w:tcPr>
          <w:p>
            <w:pPr>
              <w:spacing w:after="0"/>
              <w:rPr>
                <w:sz w:val="1"/>
                <w:szCs w:val="1"/>
                <w:color w:val="auto"/>
              </w:rPr>
            </w:pPr>
          </w:p>
        </w:tc>
      </w:tr>
      <w:tr>
        <w:trPr>
          <w:trHeight w:val="273"/>
        </w:trPr>
        <w:tc>
          <w:tcPr>
            <w:tcW w:w="620" w:type="dxa"/>
            <w:vAlign w:val="bottom"/>
          </w:tcPr>
          <w:p>
            <w:pPr>
              <w:spacing w:after="0"/>
              <w:rPr>
                <w:sz w:val="23"/>
                <w:szCs w:val="23"/>
                <w:color w:val="auto"/>
              </w:rPr>
            </w:pPr>
          </w:p>
        </w:tc>
        <w:tc>
          <w:tcPr>
            <w:tcW w:w="1220" w:type="dxa"/>
            <w:vAlign w:val="bottom"/>
            <w:gridSpan w:val="2"/>
          </w:tcPr>
          <w:p>
            <w:pPr>
              <w:jc w:val="center"/>
              <w:ind w:right="700"/>
              <w:spacing w:after="0"/>
              <w:rPr>
                <w:sz w:val="20"/>
                <w:szCs w:val="20"/>
                <w:color w:val="auto"/>
              </w:rPr>
            </w:pPr>
            <w:r>
              <w:rPr>
                <w:rFonts w:ascii="Arial" w:cs="Arial" w:eastAsia="Arial" w:hAnsi="Arial"/>
                <w:sz w:val="14"/>
                <w:szCs w:val="14"/>
                <w:color w:val="auto"/>
                <w:w w:val="84"/>
              </w:rPr>
              <w:t>Insurance</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9,843</w:t>
            </w:r>
          </w:p>
        </w:tc>
        <w:tc>
          <w:tcPr>
            <w:tcW w:w="100" w:type="dxa"/>
            <w:vAlign w:val="bottom"/>
          </w:tcPr>
          <w:p>
            <w:pPr>
              <w:spacing w:after="0"/>
              <w:rPr>
                <w:sz w:val="23"/>
                <w:szCs w:val="23"/>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1,688,629</w:t>
            </w:r>
          </w:p>
        </w:tc>
        <w:tc>
          <w:tcPr>
            <w:tcW w:w="0" w:type="dxa"/>
            <w:vAlign w:val="bottom"/>
          </w:tcPr>
          <w:p>
            <w:pPr>
              <w:spacing w:after="0"/>
              <w:rPr>
                <w:sz w:val="1"/>
                <w:szCs w:val="1"/>
                <w:color w:val="auto"/>
              </w:rPr>
            </w:pPr>
          </w:p>
        </w:tc>
      </w:tr>
      <w:tr>
        <w:trPr>
          <w:trHeight w:val="149"/>
        </w:trPr>
        <w:tc>
          <w:tcPr>
            <w:tcW w:w="184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Oil and Gas</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91,608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8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3"/>
              </w:rPr>
              <w:t>Business Services</w:t>
            </w:r>
          </w:p>
        </w:tc>
        <w:tc>
          <w:tcPr>
            <w:tcW w:w="66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35,526</w:t>
            </w: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4,050,000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4,634,758</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1"/>
              </w:rPr>
              <w:t>24,595,148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38,112,638</w:t>
            </w: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2"/>
              </w:rPr>
              <w:t>631,280,755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5"/>
              </w:rPr>
              <w:t>641,290,626</w:t>
            </w:r>
          </w:p>
        </w:tc>
        <w:tc>
          <w:tcPr>
            <w:tcW w:w="0" w:type="dxa"/>
            <w:vAlign w:val="bottom"/>
          </w:tcPr>
          <w:p>
            <w:pPr>
              <w:spacing w:after="0"/>
              <w:rPr>
                <w:sz w:val="1"/>
                <w:szCs w:val="1"/>
                <w:color w:val="auto"/>
              </w:rPr>
            </w:pPr>
          </w:p>
        </w:tc>
      </w:tr>
      <w:tr>
        <w:trPr>
          <w:trHeight w:val="442"/>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Leisure, Amusement, Motion</w:t>
            </w: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7.50%</w:t>
            </w:r>
          </w:p>
        </w:tc>
        <w:tc>
          <w:tcPr>
            <w:tcW w:w="660" w:type="dxa"/>
            <w:vAlign w:val="bottom"/>
            <w:gridSpan w:val="2"/>
          </w:tcPr>
          <w:p>
            <w:pPr>
              <w:ind w:left="120"/>
              <w:spacing w:after="0"/>
              <w:rPr>
                <w:sz w:val="20"/>
                <w:szCs w:val="20"/>
                <w:color w:val="auto"/>
              </w:rPr>
            </w:pPr>
            <w:r>
              <w:rPr>
                <w:rFonts w:ascii="Arial" w:cs="Arial" w:eastAsia="Arial" w:hAnsi="Arial"/>
                <w:sz w:val="14"/>
                <w:szCs w:val="14"/>
                <w:color w:val="auto"/>
                <w:w w:val="90"/>
              </w:rPr>
              <w:t>L+650</w:t>
            </w:r>
            <w:r>
              <w:rPr>
                <w:rFonts w:ascii="Arial" w:cs="Arial" w:eastAsia="Arial" w:hAnsi="Arial"/>
                <w:sz w:val="22"/>
                <w:szCs w:val="22"/>
                <w:color w:val="auto"/>
                <w:w w:val="90"/>
                <w:vertAlign w:val="superscript"/>
              </w:rPr>
              <w:t>(8)</w:t>
            </w:r>
          </w:p>
        </w:tc>
        <w:tc>
          <w:tcPr>
            <w:tcW w:w="1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w w:val="83"/>
              </w:rPr>
              <w:t>8,000,000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8,000,000</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7,584,000</w:t>
            </w:r>
          </w:p>
        </w:tc>
        <w:tc>
          <w:tcPr>
            <w:tcW w:w="0" w:type="dxa"/>
            <w:vAlign w:val="bottom"/>
          </w:tcPr>
          <w:p>
            <w:pPr>
              <w:spacing w:after="0"/>
              <w:rPr>
                <w:sz w:val="1"/>
                <w:szCs w:val="1"/>
                <w:color w:val="auto"/>
              </w:rPr>
            </w:pPr>
          </w:p>
        </w:tc>
      </w:tr>
      <w:tr>
        <w:trPr>
          <w:trHeight w:val="159"/>
        </w:trPr>
        <w:tc>
          <w:tcPr>
            <w:tcW w:w="18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7"/>
              </w:rPr>
              <w:t>Pictures and Entertainment</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Leisure, Amusement, Motion</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2"/>
              </w:rPr>
              <w:t>15.00%</w:t>
            </w:r>
            <w:r>
              <w:rPr>
                <w:rFonts w:ascii="Arial" w:cs="Arial" w:eastAsia="Arial" w:hAnsi="Arial"/>
                <w:sz w:val="22"/>
                <w:szCs w:val="22"/>
                <w:color w:val="auto"/>
                <w:w w:val="82"/>
                <w:vertAlign w:val="superscript"/>
              </w:rPr>
              <w:t>(6)</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w w:val="83"/>
              </w:rPr>
              <w:t>5,848,176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5,677,648</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5,745,832</w:t>
            </w:r>
          </w:p>
        </w:tc>
        <w:tc>
          <w:tcPr>
            <w:tcW w:w="0" w:type="dxa"/>
            <w:vAlign w:val="bottom"/>
          </w:tcPr>
          <w:p>
            <w:pPr>
              <w:spacing w:after="0"/>
              <w:rPr>
                <w:sz w:val="1"/>
                <w:szCs w:val="1"/>
                <w:color w:val="auto"/>
              </w:rPr>
            </w:pPr>
          </w:p>
        </w:tc>
      </w:tr>
      <w:tr>
        <w:trPr>
          <w:trHeight w:val="159"/>
        </w:trPr>
        <w:tc>
          <w:tcPr>
            <w:tcW w:w="18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7"/>
              </w:rPr>
              <w:t>Pictures and Entertainment</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01"/>
        </w:trPr>
        <w:tc>
          <w:tcPr>
            <w:tcW w:w="184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Leisure, Amusement, Motion</w:t>
            </w:r>
          </w:p>
        </w:tc>
        <w:tc>
          <w:tcPr>
            <w:tcW w:w="660" w:type="dxa"/>
            <w:vAlign w:val="bottom"/>
            <w:gridSpan w:val="2"/>
          </w:tcPr>
          <w:p>
            <w:pPr>
              <w:jc w:val="center"/>
              <w:spacing w:after="0"/>
              <w:rPr>
                <w:sz w:val="20"/>
                <w:szCs w:val="20"/>
                <w:color w:val="auto"/>
              </w:rPr>
            </w:pPr>
            <w:r>
              <w:rPr>
                <w:rFonts w:ascii="Arial" w:cs="Arial" w:eastAsia="Arial" w:hAnsi="Arial"/>
                <w:sz w:val="14"/>
                <w:szCs w:val="14"/>
                <w:color w:val="auto"/>
                <w:w w:val="85"/>
              </w:rPr>
              <w:t>—</w:t>
            </w:r>
          </w:p>
        </w:tc>
        <w:tc>
          <w:tcPr>
            <w:tcW w:w="6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4"/>
                <w:szCs w:val="14"/>
                <w:color w:val="auto"/>
              </w:rPr>
              <w:t>37,500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3,750,000</w:t>
            </w:r>
          </w:p>
        </w:tc>
        <w:tc>
          <w:tcPr>
            <w:tcW w:w="10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2,103,848</w:t>
            </w:r>
          </w:p>
        </w:tc>
        <w:tc>
          <w:tcPr>
            <w:tcW w:w="0" w:type="dxa"/>
            <w:vAlign w:val="bottom"/>
          </w:tcPr>
          <w:p>
            <w:pPr>
              <w:spacing w:after="0"/>
              <w:rPr>
                <w:sz w:val="1"/>
                <w:szCs w:val="1"/>
                <w:color w:val="auto"/>
              </w:rPr>
            </w:pPr>
          </w:p>
        </w:tc>
      </w:tr>
      <w:tr>
        <w:trPr>
          <w:trHeight w:val="159"/>
        </w:trPr>
        <w:tc>
          <w:tcPr>
            <w:tcW w:w="184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7"/>
              </w:rPr>
              <w:t>Pictures and Entertainment</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-3661410</wp:posOffset>
            </wp:positionV>
            <wp:extent cx="7246620" cy="946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-3472815</wp:posOffset>
            </wp:positionV>
            <wp:extent cx="7246620"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-3094990</wp:posOffset>
            </wp:positionV>
            <wp:extent cx="7246620" cy="946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-2906395</wp:posOffset>
            </wp:positionV>
            <wp:extent cx="7246620" cy="946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-2614930</wp:posOffset>
            </wp:positionV>
            <wp:extent cx="7246620"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-2331720</wp:posOffset>
            </wp:positionV>
            <wp:extent cx="7246620" cy="946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-2049145</wp:posOffset>
            </wp:positionV>
            <wp:extent cx="7246620" cy="18859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-1765935</wp:posOffset>
            </wp:positionV>
            <wp:extent cx="7246620" cy="18859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-1482725</wp:posOffset>
            </wp:positionV>
            <wp:extent cx="7246620" cy="946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-1276985</wp:posOffset>
            </wp:positionV>
            <wp:extent cx="7246620" cy="946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-1054100</wp:posOffset>
            </wp:positionV>
            <wp:extent cx="7246620" cy="946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-865505</wp:posOffset>
            </wp:positionV>
            <wp:extent cx="7246620" cy="1885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-565150</wp:posOffset>
            </wp:positionV>
            <wp:extent cx="7246620" cy="1885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-196850</wp:posOffset>
            </wp:positionV>
            <wp:extent cx="7246620" cy="1885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40" w:space="200"/>
            <w:col w:w="56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Investments in Non-Controlled, Affiliated Portfolio Companies</w:t>
            </w: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17,427,648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15,433,680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Investments in Controlled, Affiliated Portfolio Companies—2.1%</w:t>
            </w:r>
            <w:r>
              <w:rPr>
                <w:rFonts w:ascii="Arial" w:cs="Arial" w:eastAsia="Arial" w:hAnsi="Arial"/>
                <w:sz w:val="17"/>
                <w:szCs w:val="17"/>
                <w:b w:val="1"/>
                <w:bCs w:val="1"/>
                <w:color w:val="auto"/>
                <w:vertAlign w:val="superscript"/>
              </w:rPr>
              <w:t>(1),(2)</w:t>
            </w:r>
          </w:p>
        </w:tc>
        <w:tc>
          <w:tcPr>
            <w:tcW w:w="13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Debt—1.4%</w:t>
            </w:r>
          </w:p>
        </w:tc>
        <w:tc>
          <w:tcPr>
            <w:tcW w:w="1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80" w:type="dxa"/>
            <w:vAlign w:val="bottom"/>
            <w:vMerge w:val="restart"/>
          </w:tcPr>
          <w:p>
            <w:pPr>
              <w:jc w:val="right"/>
              <w:ind w:right="112"/>
              <w:spacing w:after="0"/>
              <w:rPr>
                <w:sz w:val="20"/>
                <w:szCs w:val="20"/>
                <w:color w:val="auto"/>
              </w:rPr>
            </w:pPr>
            <w:r>
              <w:rPr>
                <w:rFonts w:ascii="Arial" w:cs="Arial" w:eastAsia="Arial" w:hAnsi="Arial"/>
                <w:sz w:val="14"/>
                <w:szCs w:val="14"/>
                <w:color w:val="auto"/>
              </w:rPr>
              <w:t>14.00%</w:t>
            </w:r>
            <w:r>
              <w:rPr>
                <w:rFonts w:ascii="Arial" w:cs="Arial" w:eastAsia="Arial" w:hAnsi="Arial"/>
                <w:sz w:val="22"/>
                <w:szCs w:val="22"/>
                <w:color w:val="auto"/>
                <w:vertAlign w:val="superscript"/>
              </w:rPr>
              <w:t>(6)</w:t>
            </w: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132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6/30/2020</w:t>
            </w:r>
          </w:p>
        </w:tc>
        <w:tc>
          <w:tcPr>
            <w:tcW w:w="1540" w:type="dxa"/>
            <w:vAlign w:val="bottom"/>
          </w:tcPr>
          <w:p>
            <w:pPr>
              <w:ind w:left="300"/>
              <w:spacing w:after="0" w:line="149" w:lineRule="exact"/>
              <w:rPr>
                <w:sz w:val="20"/>
                <w:szCs w:val="20"/>
                <w:color w:val="auto"/>
              </w:rPr>
            </w:pPr>
            <w:r>
              <w:rPr>
                <w:rFonts w:ascii="Arial" w:cs="Arial" w:eastAsia="Arial" w:hAnsi="Arial"/>
                <w:sz w:val="14"/>
                <w:szCs w:val="14"/>
                <w:color w:val="auto"/>
              </w:rPr>
              <w:t>Business Services</w:t>
            </w:r>
          </w:p>
        </w:tc>
        <w:tc>
          <w:tcPr>
            <w:tcW w:w="980" w:type="dxa"/>
            <w:vAlign w:val="bottom"/>
            <w:vMerge w:val="continue"/>
          </w:tcPr>
          <w:p>
            <w:pPr>
              <w:spacing w:after="0"/>
              <w:rPr>
                <w:sz w:val="12"/>
                <w:szCs w:val="12"/>
                <w:color w:val="auto"/>
              </w:rPr>
            </w:pPr>
          </w:p>
        </w:tc>
        <w:tc>
          <w:tcPr>
            <w:tcW w:w="48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4,800,000</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4,800,000</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5,352,000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946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type w:val="continuous"/>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2010</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0"/>
              </w:rPr>
              <w:t>Basis</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Point</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520" w:type="dxa"/>
            <w:vAlign w:val="bottom"/>
          </w:tcPr>
          <w:p>
            <w:pPr>
              <w:spacing w:after="0"/>
              <w:rPr>
                <w:sz w:val="12"/>
                <w:szCs w:val="12"/>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Par/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5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74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5"/>
              </w:rPr>
              <w:t>Maturity</w:t>
            </w:r>
          </w:p>
        </w:tc>
        <w:tc>
          <w:tcPr>
            <w:tcW w:w="380" w:type="dxa"/>
            <w:vAlign w:val="bottom"/>
          </w:tcPr>
          <w:p>
            <w:pPr>
              <w:spacing w:after="0"/>
              <w:rPr>
                <w:sz w:val="12"/>
                <w:szCs w:val="12"/>
                <w:color w:val="auto"/>
              </w:rPr>
            </w:pPr>
          </w:p>
        </w:tc>
        <w:tc>
          <w:tcPr>
            <w:tcW w:w="8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Industry</w:t>
            </w:r>
          </w:p>
        </w:tc>
        <w:tc>
          <w:tcPr>
            <w:tcW w:w="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480" w:type="dxa"/>
            <w:vAlign w:val="bottom"/>
          </w:tcPr>
          <w:p>
            <w:pPr>
              <w:jc w:val="center"/>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(4)</w:t>
            </w:r>
          </w:p>
        </w:tc>
        <w:tc>
          <w:tcPr>
            <w:tcW w:w="520" w:type="dxa"/>
            <w:vAlign w:val="bottom"/>
          </w:tcPr>
          <w:p>
            <w:pPr>
              <w:spacing w:after="0"/>
              <w:rPr>
                <w:sz w:val="12"/>
                <w:szCs w:val="12"/>
                <w:color w:val="auto"/>
              </w:rPr>
            </w:pPr>
          </w:p>
        </w:tc>
        <w:tc>
          <w:tcPr>
            <w:tcW w:w="56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81"/>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right"/>
              <w:ind w:right="26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98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Notes—0.3%</w:t>
            </w: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9"/>
              </w:rPr>
              <w:t>6/30/2020</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60" w:type="dxa"/>
            <w:vAlign w:val="bottom"/>
            <w:gridSpan w:val="2"/>
          </w:tcPr>
          <w:p>
            <w:pPr>
              <w:ind w:lef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(6)</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$1,200,000</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1,200,000</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1,142,398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Equity—0.4%</w:t>
            </w:r>
            <w:r>
              <w:rPr>
                <w:rFonts w:ascii="Arial" w:cs="Arial" w:eastAsia="Arial" w:hAnsi="Arial"/>
                <w:sz w:val="17"/>
                <w:szCs w:val="17"/>
                <w:b w:val="1"/>
                <w:bCs w:val="1"/>
                <w:color w:val="auto"/>
                <w:vertAlign w:val="superscript"/>
              </w:rPr>
              <w:t>(7)</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14.00%</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2,000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tcPr>
          <w:p>
            <w:pPr>
              <w:jc w:val="right"/>
              <w:ind w:right="200"/>
              <w:spacing w:after="0" w:line="149" w:lineRule="exact"/>
              <w:rPr>
                <w:sz w:val="20"/>
                <w:szCs w:val="20"/>
                <w:color w:val="auto"/>
              </w:rPr>
            </w:pPr>
            <w:r>
              <w:rPr>
                <w:rFonts w:ascii="Arial" w:cs="Arial" w:eastAsia="Arial" w:hAnsi="Arial"/>
                <w:sz w:val="14"/>
                <w:szCs w:val="14"/>
                <w:color w:val="auto"/>
              </w:rPr>
              <w:t>2,000,000</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1,505,602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4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(7)</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w:t>
            </w:r>
          </w:p>
        </w:tc>
        <w:tc>
          <w:tcPr>
            <w:tcW w:w="12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Investments in Controlled, Affiliated Portfolio Companies</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8,000,100</w:t>
            </w:r>
          </w:p>
        </w:tc>
        <w:tc>
          <w:tcPr>
            <w:tcW w:w="10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8,000,100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Investments—172.0%</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2"/>
              </w:rPr>
              <w:t>656,708,503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664,724,406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Equivalents—0.5%</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1,814,451</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1,814,451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Equivalents—172.5%</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4"/>
          </w:tcPr>
          <w:p>
            <w:pPr>
              <w:jc w:val="right"/>
              <w:ind w:right="200"/>
              <w:spacing w:after="0" w:line="155" w:lineRule="exact"/>
              <w:rPr>
                <w:sz w:val="20"/>
                <w:szCs w:val="20"/>
                <w:color w:val="auto"/>
              </w:rPr>
            </w:pP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658,522,954</w:t>
            </w:r>
          </w:p>
        </w:tc>
        <w:tc>
          <w:tcPr>
            <w:tcW w:w="10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666,538,857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Assets—(72.5%)</w:t>
            </w: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(279,963,634)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386,575,223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Valued based on our accounting policy (see Note 2 to our consolidated financial statements).</w:t>
      </w:r>
    </w:p>
    <w:p>
      <w:pPr>
        <w:ind w:left="340" w:hanging="332"/>
        <w:spacing w:after="0"/>
        <w:tabs>
          <w:tab w:leader="none" w:pos="34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 Rate (LIBOR or “L”) or Prime Rate (Prime or “P”).</w:t>
      </w:r>
    </w:p>
    <w:p>
      <w:pPr>
        <w:spacing w:after="0" w:line="10" w:lineRule="exact"/>
        <w:rPr>
          <w:rFonts w:ascii="Arial" w:cs="Arial" w:eastAsia="Arial" w:hAnsi="Arial"/>
          <w:sz w:val="12"/>
          <w:szCs w:val="12"/>
          <w:color w:val="auto"/>
        </w:rPr>
      </w:pPr>
    </w:p>
    <w:p>
      <w:pPr>
        <w:ind w:left="340" w:right="30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Coupon is payable in cash and/or in-kind (“PIK”).</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65" w:lineRule="exact"/>
        <w:rPr>
          <w:sz w:val="20"/>
          <w:szCs w:val="20"/>
          <w:color w:val="auto"/>
        </w:rPr>
      </w:pPr>
    </w:p>
    <w:p>
      <w:pPr>
        <w:jc w:val="both"/>
        <w:ind w:left="240" w:right="120"/>
        <w:spacing w:after="0" w:line="259"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and “PennantPark Investment” refer to PennantPark Investment Corporation and its consolidated subsidiaries. “SBIC LP” refer to our wholly owned, consolidated Small Business Investment Company, or SBIC, PennantPark SBIC LP.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PennantPark Investment Corporation was organized as a Maryland corporation on January 11, 2007. PennantPark Investment is a closed-end, externally managed, non-diversified investment company that has elected to be treated as a business development company, or BDC, under the Investment Company Act of 1940, or the 1940 Act. PennantPark Investment’s objective is to generate both current income and capital appreciation through debt and equity investments. PennantPark Investment invests primarily in U.S. middle-market companies in the form of senior secured loans, mezzanine debt and equity investments.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April 24, 2007, PennantPark Investment closed its initial public offering and its common stock trades on the NASDAQ Global Select Market under the symbol “PNNT”. PennantPark Investment completed its initial public offering of common stock in 2007 and issued 21.0 million shares raising $294.1 million in net proceeds. Since PennantPark Investment’s initial public offering, it has sold 24.3 million shares of common stock through follow-on public offerings, resulting in net proceeds of $242.5 million. During the year ended September 30, 2011, PennantPark Investment sold 9.2 million shares in a follow-on public offering including the overallotment, resulting in net proceeds of $108.3 million.</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are externally managed by PennantPark Investment Advisers, LLC, the Investment Adviser or PennantPark Investment Advisers. PennantPark Investment Administration, LLC, or the Administrator or PennantPark Investment Administration provides the administrative services necessary for us to operate.</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PennantPark SBIC LP, or either SBIC LP or our SBIC and its general partner, PennantPark SBIC GP, LLC, the SBIC GP, were organized in Delaware as a limited partnership and a limited liability company, respectively, on May 7, 2010 and began operations on June 11, 2010. SBIC LP received a license from the Small Business Administration, or SBA, to operate as a SBIC, effective July 30, 2010 under Section 301(c) of the Small Business Investment Act of 1958, or the 1958 Act. Both SBIC LP and SBIC GP, or the Subsidiaries, are consolidated wholly owned subsidiaries of PennantPark Investment. The SBIC LP’s objective is to generate both current income and capital appreciation through debt and equity investments. SBIC LP, generally, invests with us in SBA eligible businesses that meet the investment criteria used by PennantPark Investment.</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PennantPark Investment, through the Investment Adviser, manages day-to-day operations of and provides investment advisory services to SBIC LP under a separate investment management agreement. PennantPark Investment, through the Administrator, also provides similar services to SBIC LP and our controlled affiliate SuttonPark Holdings, Inc. and its subsidiaries, or SPH, under separate administration agreements. For more information, See Note 3 to the Consolidated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or GAAP, requires management to make estimates and assumptions that affect the reported amount of PennantPark Investment’s and its Subsidiaries’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 all intercompany balances and transactions. References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 and Article 6 or 10 of Regulation S-X, as appropriate. In accordance with Article 6-09 of Regulation S-X under the Exchange Act, we are providing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1480" w:hanging="567"/>
        <w:spacing w:after="0"/>
        <w:tabs>
          <w:tab w:leader="none" w:pos="148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See Note 5 to the Consolidated Financial Statements.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900" w:right="300" w:hanging="446"/>
        <w:spacing w:after="0" w:line="332" w:lineRule="auto"/>
        <w:tabs>
          <w:tab w:leader="none" w:pos="90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respective independent valuation firms and the audit committee.</w:t>
      </w:r>
    </w:p>
    <w:p>
      <w:pPr>
        <w:spacing w:after="0" w:line="2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w:t>
      </w:r>
    </w:p>
    <w:p>
      <w:pPr>
        <w:spacing w:after="0" w:line="262" w:lineRule="exact"/>
        <w:rPr>
          <w:sz w:val="20"/>
          <w:szCs w:val="20"/>
          <w:color w:val="auto"/>
        </w:rPr>
      </w:pPr>
    </w:p>
    <w:p>
      <w:pPr>
        <w:ind w:left="1480" w:hanging="479"/>
        <w:spacing w:after="0"/>
        <w:tabs>
          <w:tab w:leader="none" w:pos="148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payment-in-kind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and deferred financing costs are capitalized, and we then accrete or amortize such amounts using the effective interest method as interest income or interest expense as it relates to our deferred financing costs. We record prepayment premiums on loans and debt investments as income. Dividend income, if any, is recognized on an accrual basis on the ex-dividend date to the extent that we expect to collect such amounts.</w:t>
      </w:r>
    </w:p>
    <w:p>
      <w:pPr>
        <w:spacing w:after="0" w:line="118"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when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479"/>
        <w:spacing w:after="0"/>
        <w:tabs>
          <w:tab w:leader="none" w:pos="1480"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Since May 1, 2007, PennantPark Investment has complied with the requirements of Subchapter M of the Internal Revenue Code of 1986, as amended, or the Code, and expects to be subject to tax as a regulated investment company, or RIC. As a result, PennantPark Investment accounts for income taxes using the asset liability method prescribed by ASC 740, Income Taxes. Under this method, income taxes were provided for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amounts currently payable and for amounts deferred as tax assets and liabilities based on differences between the financial statement carrying amounts and the tax bases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pay an excise tax of $0.2 million for the fiscal year ended September 30, 2011.</w:t>
      </w:r>
    </w:p>
    <w:p>
      <w:pPr>
        <w:spacing w:after="0" w:line="11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from 2008 to date remain subject to examination by the Internal Revenue Service.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Book and tax basis differences relating to permanent book and tax differences are reclassified among PennantPark Investment’s capital accounts, as appropriate. Additionally, the tax character of distributions is determined in accordance with income tax regulations that may differ from GAAP. See Note 8 to the Consolidated Financial Statements.</w:t>
      </w:r>
    </w:p>
    <w:p>
      <w:pPr>
        <w:spacing w:after="0" w:line="262" w:lineRule="exact"/>
        <w:rPr>
          <w:sz w:val="20"/>
          <w:szCs w:val="20"/>
          <w:color w:val="auto"/>
        </w:rPr>
      </w:pPr>
    </w:p>
    <w:p>
      <w:pPr>
        <w:ind w:left="1480" w:hanging="479"/>
        <w:spacing w:after="0"/>
        <w:tabs>
          <w:tab w:leader="none" w:pos="1480" w:val="left"/>
        </w:tabs>
        <w:numPr>
          <w:ilvl w:val="0"/>
          <w:numId w:val="1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is determined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479"/>
        <w:spacing w:after="0"/>
        <w:tabs>
          <w:tab w:leader="none" w:pos="1480" w:val="left"/>
        </w:tabs>
        <w:numPr>
          <w:ilvl w:val="0"/>
          <w:numId w:val="1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the Subsidiaries in our Consolidated Financial Statements.</w:t>
      </w:r>
    </w:p>
    <w:p>
      <w:pPr>
        <w:spacing w:after="0" w:line="262" w:lineRule="exact"/>
        <w:rPr>
          <w:sz w:val="20"/>
          <w:szCs w:val="20"/>
          <w:color w:val="auto"/>
        </w:rPr>
      </w:pPr>
    </w:p>
    <w:p>
      <w:pPr>
        <w:ind w:left="1480" w:hanging="479"/>
        <w:spacing w:after="0"/>
        <w:tabs>
          <w:tab w:leader="none" w:pos="1480" w:val="left"/>
        </w:tabs>
        <w:numPr>
          <w:ilvl w:val="0"/>
          <w:numId w:val="1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New Accounting Pronouncements and Accounting Standards Updates (“ASU”)</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May 2011, the FASB issued Accounting Standards Update 2011-04, Amendments to Achieve Common Fair Value Measurement and Disclosure Requirements in U.S. GAAP and IFRSs (“ASU 2011-04”). ASU 2011-04 amends Accounting Standards Codification Topic 820, “Fair Value Measurements” (“ASC 820”) by: (1) clarifying that certain concepts related to measuring the fair value apply only to non-financial assets; (2) allowing a reporting entity to measure the fair value of a net asset or net liability position in a manner consistent with how market participants would price the position; (3) providing a framework for selecting a premium or discount that may be applied in a fair value measurement; (4) providing that an instrument classified in a reporting entity’s shareholders’ equity may be fair valued based how a market participant would price the identical instrument; and (5) expanding the qualitative and quantitative fair value disclosure requirements. These amendments are effective for fiscal years beginning after December 15, 2011 and for interim periods within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those fiscal years. The amendments of ASU 2011-04, when adopted, are not expected to have a material impact on our consolidated financial statements and the company is currently evaluating the impact on its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PennantPark Investment’s Management Agreement with the Investment Adviser, was re-approved by our board of directors, including a majority of our directors who are not interested persons of PennantPark Investment, in February 2011. Under the Investment Management Agreement the Investment Adviser, subject to the overall supervision of PennantPark Investment’s board of directors, manages the day-to-day operations of and provides investment advisory services to, PennantPark Investment. SBIC LP’s investment management agreement does not affect the management or incentive fees that we pay to the Investment Adviser on a consolidated basis. For providing these services, the Investment Adviser receives a fee from PennantPark Investment, consisting of two components-a base management fee and an incentive fee (collectively, “Management Fees”).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base management fee is calculated at an annual rate of 2.00% on PennantPark Investment’s “average adjusted gross assets” (net of U.S. Treasury Bills and/or temporary draws, if any, on the Credit Facility, as defined in Note 11). The base management fee is 2.00%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the fiscal years ended September 30, 2011, 2010 and 2009, the Investment Adviser earned a net base management fee of $14.9 million, $11.6 million and $7.7 million, respectively, from us.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One part is calculated and payable quarterly in arrears based on PennantPark Investment’s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PennantPark Investment’s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original issue discount,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PennantPark Investment’s net assets at the end of the immediately preceding calendar quarter, is compared to the hurdle rate of 1.75% per quarter (7.00% annualized). PennantPark Investment pays the Investment Adviser an incentive fee with respect to PennantPark Investment’s Pre-Incentive Fee Net Investment Income in each calendar quarter as follows: (1) no incentive fee in any calendar quarter in which PennantPark Investment’s Pre-Incentive Fee Net Investment Income does not exceed the hurdle rate of 1.75%,(2) 100% of PennantPark Investment’s Pre-Incentive Fee Net Investment Income with respect to that portion of such Pre-Incentive Fee Net Investment Income, if any, that exceeds the hurdle rate but is less than 2.1875% in any calendar quarter (8.75% annualized), and (3) 20% of the amount of PennantPark Investment’s Pre-Incentive Fee Net Investment Income, if any, that exceeds 2.1875% in any calendar quarter. These calculations are pro rated for any period of less than three months and adjusted for any share issuances or repurchases during the current quarter.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PennantPark Investment’s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2011, 2010 and 2009, the Investment Adviser received an incentive fee of $13.2 million, $8.0 million and $5.7 million, respectively, from us.</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PennantPark Investment’s Administration Agreement with the Administrator was reapproved by our board of directors including a majority of our directors who are not interested persons of PennantPark Investment, in February 2011. Under the Administration Agreement PennantPark Investment Administration provides administrative services for PennantPark Investment. TheAdministrator provides similar services to SBIC LP under its administration agreement with PennantPark Investments. For providing these services, facilities and personnel, PennantPark Investment reimburses the Administrator for its allocable portion of overhead and other expenses incurred by the Administrator in performing its obligations under the Administration Agreement, including rent, technology systems, insurance and PennantPark Investment’s allocable portion of the costs of the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2011, 2010 and 2009, the Investment Adviser and Administrator, collectively, were reimbursed $2.6 million, $2.1 million and $1.7 million, respectively, from us, including expenses it incurred on behalf of the Administrator, for services described above.</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PennantPark Investment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of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their respective staffs. For the fiscal years ended September 30, 2011 and 2010, PennantPark Investment was reimbursed $0.5 million and $0.1 million, respectively, for the services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Purchases of long-term investments, including PIK, for the fiscal years ended September 30, 2011, 2010 and 2009 totaled $490.6 million, $315.8 million and $117.4 million, respectively. Sales and repayments of long-term investments for the fiscal years ended September 30, 2011, 2010 and 2009 totaled $304.0 million, $145.2 million and $28.0 million,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September 30, 2011</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2010</w:t>
            </w:r>
          </w:p>
        </w:tc>
      </w:tr>
      <w:tr>
        <w:trPr>
          <w:trHeight w:val="142"/>
        </w:trPr>
        <w:tc>
          <w:tcPr>
            <w:tcW w:w="5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top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rPr>
              <w:t>Cost</w:t>
            </w:r>
          </w:p>
        </w:tc>
        <w:tc>
          <w:tcPr>
            <w:tcW w:w="104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$ 305,608,989</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$ 296,488,131</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236,707,418</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234,595,683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Second lien</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189,962,828</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165,272,201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159,611,934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156,671,151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325,318,958</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309,329,169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220,149,211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223,969,304</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Preferred equity</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12,268,187</w:t>
            </w: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9,762,932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11,894,692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9,271,682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33,163,874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46,696,082</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28,345,248</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40,216,586</w:t>
            </w:r>
          </w:p>
        </w:tc>
        <w:tc>
          <w:tcPr>
            <w:tcW w:w="100" w:type="dxa"/>
            <w:vAlign w:val="bottom"/>
            <w:shd w:val="clear" w:color="auto" w:fill="CCEEFF"/>
          </w:tcPr>
          <w:p>
            <w:pPr>
              <w:spacing w:after="0"/>
              <w:rPr>
                <w:sz w:val="18"/>
                <w:szCs w:val="18"/>
                <w:color w:val="auto"/>
              </w:rPr>
            </w:pPr>
          </w:p>
        </w:tc>
      </w:tr>
      <w:tr>
        <w:trPr>
          <w:trHeight w:val="221"/>
        </w:trPr>
        <w:tc>
          <w:tcPr>
            <w:tcW w:w="5820" w:type="dxa"/>
            <w:vAlign w:val="bottom"/>
          </w:tcPr>
          <w:p>
            <w:pPr>
              <w:spacing w:after="0"/>
              <w:rPr>
                <w:sz w:val="20"/>
                <w:szCs w:val="20"/>
                <w:color w:val="auto"/>
              </w:rPr>
            </w:pPr>
            <w:r>
              <w:rPr>
                <w:rFonts w:ascii="Arial" w:cs="Arial" w:eastAsia="Arial" w:hAnsi="Arial"/>
                <w:sz w:val="18"/>
                <w:szCs w:val="18"/>
                <w:color w:val="auto"/>
              </w:rPr>
              <w:t>Total Investments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866,322,836</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827,548,515</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656,708,503</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664,724,406</w:t>
            </w:r>
          </w:p>
        </w:tc>
      </w:tr>
      <w:tr>
        <w:trPr>
          <w:trHeight w:val="218"/>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71,604,519</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shd w:val="clear" w:color="auto" w:fill="CCEEFF"/>
          </w:tcPr>
          <w:p>
            <w:pPr>
              <w:spacing w:after="0"/>
              <w:rPr>
                <w:sz w:val="18"/>
                <w:szCs w:val="18"/>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Total Investments and cash equivalents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$ 937,927,355</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$ 899,153,034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658,522,954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666,538,857</w:t>
            </w:r>
          </w:p>
        </w:tc>
      </w:tr>
      <w:tr>
        <w:trPr>
          <w:trHeight w:val="20"/>
        </w:trPr>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September 30, 2011 and September 30, 2010.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20" w:type="dxa"/>
            <w:vAlign w:val="bottom"/>
            <w:gridSpan w:val="3"/>
            <w:vMerge w:val="continue"/>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2011</w:t>
            </w:r>
          </w:p>
        </w:tc>
        <w:tc>
          <w:tcPr>
            <w:tcW w:w="78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1"/>
              </w:rPr>
              <w:t>Business Services</w:t>
            </w:r>
          </w:p>
        </w:tc>
        <w:tc>
          <w:tcPr>
            <w:tcW w:w="56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5640" w:type="dxa"/>
            <w:vAlign w:val="bottom"/>
            <w:vMerge w:val="continue"/>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11%</w:t>
            </w:r>
          </w:p>
        </w:tc>
        <w:tc>
          <w:tcPr>
            <w:tcW w:w="5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 Utilities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Cargo Transport</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Services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Mining, Steel, Iron and Non-Precious Metals</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Leisure, Amusement, Motion Pictures, Entertainment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Transportation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Communication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 Basic Industry</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8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Diversified / Conglomerate Services</w:t>
            </w:r>
          </w:p>
        </w:tc>
        <w:tc>
          <w:tcPr>
            <w:tcW w:w="11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 Housewares &amp; Durable Consumer Products</w:t>
            </w:r>
          </w:p>
        </w:tc>
        <w:tc>
          <w:tcPr>
            <w:tcW w:w="112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11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120" w:type="dxa"/>
            <w:vAlign w:val="bottom"/>
            <w:tcBorders>
              <w:right w:val="single" w:sz="8" w:color="CCEEFF"/>
            </w:tcBorders>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100%</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40" w:type="dxa"/>
            <w:vAlign w:val="bottom"/>
          </w:tcPr>
          <w:p>
            <w:pPr>
              <w:ind w:left="2780"/>
              <w:spacing w:after="0"/>
              <w:rPr>
                <w:sz w:val="20"/>
                <w:szCs w:val="20"/>
                <w:color w:val="auto"/>
              </w:rPr>
            </w:pPr>
            <w:r>
              <w:rPr>
                <w:rFonts w:ascii="Arial" w:cs="Arial" w:eastAsia="Arial" w:hAnsi="Arial"/>
                <w:sz w:val="18"/>
                <w:szCs w:val="18"/>
                <w:color w:val="auto"/>
              </w:rPr>
              <w:t>F-23</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and performance multiples, among other factors. These nonpublic investments are included in Level 3 of the fair value hierarchy.</w:t>
      </w:r>
    </w:p>
    <w:p>
      <w:pPr>
        <w:spacing w:after="0" w:line="12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impacting Level 3 of the fair value hierarchy are reported as transfers in or out of the Level 3 category as of the end of the quarter in which the reclassifications occur. During fiscal year ended September 30, 2011, our ability to observe valuation inputs has resulted in a reclassification of assets from Level 3 to Level 2. There were no investments transferred between Levels 1 and 2 during the fical year ended September 30, 2011.</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Credit Facility valuations, PennantPark Investment employs the valuation policy approved by its board of directors that is consistent with ASC 820 (See Note 2). Consistent with our valuation policy, PennantPark Investment evaluates the source of inputs, including any markets in which its investments are trading, in determining fair value.</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September 30, 2011 and 2010, our cash equivalents, investments and our Credit Facility were categorized as follows in the fair value hierarchy for ASC 820 purposes.</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5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4400" w:type="dxa"/>
            <w:vAlign w:val="bottom"/>
            <w:gridSpan w:val="10"/>
          </w:tcPr>
          <w:p>
            <w:pPr>
              <w:ind w:left="760"/>
              <w:spacing w:after="0"/>
              <w:rPr>
                <w:sz w:val="20"/>
                <w:szCs w:val="20"/>
                <w:color w:val="auto"/>
              </w:rPr>
            </w:pPr>
            <w:r>
              <w:rPr>
                <w:rFonts w:ascii="Arial" w:cs="Arial" w:eastAsia="Arial" w:hAnsi="Arial"/>
                <w:sz w:val="14"/>
                <w:szCs w:val="14"/>
                <w:b w:val="1"/>
                <w:bCs w:val="1"/>
                <w:color w:val="auto"/>
              </w:rPr>
              <w:t>Fair Value Measurements at September 30, 2011</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98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2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$771,089,501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38,395,050</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$732,694,451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56,459,014</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4,044,595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61,091</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52,353,328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827,548,515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4,044,595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38,456,141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71,604,519</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71,604,519</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2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899,153,034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75,649,114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38,456,141</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785,047,779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Credit Facility</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238,792,125</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238,792,125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3520" w:type="dxa"/>
            <w:vAlign w:val="bottom"/>
            <w:vMerge w:val="restart"/>
          </w:tcPr>
          <w:p>
            <w:pPr>
              <w:spacing w:after="0"/>
              <w:rPr>
                <w:sz w:val="24"/>
                <w:szCs w:val="24"/>
                <w:color w:val="auto"/>
              </w:rPr>
            </w:pPr>
          </w:p>
        </w:tc>
        <w:tc>
          <w:tcPr>
            <w:tcW w:w="2220" w:type="dxa"/>
            <w:vAlign w:val="bottom"/>
          </w:tcPr>
          <w:p>
            <w:pPr>
              <w:spacing w:after="0"/>
              <w:rPr>
                <w:sz w:val="24"/>
                <w:szCs w:val="24"/>
                <w:color w:val="auto"/>
              </w:rPr>
            </w:pPr>
          </w:p>
        </w:tc>
        <w:tc>
          <w:tcPr>
            <w:tcW w:w="4400" w:type="dxa"/>
            <w:vAlign w:val="bottom"/>
            <w:gridSpan w:val="10"/>
          </w:tcPr>
          <w:p>
            <w:pPr>
              <w:ind w:left="760"/>
              <w:spacing w:after="0"/>
              <w:rPr>
                <w:sz w:val="20"/>
                <w:szCs w:val="20"/>
                <w:color w:val="auto"/>
              </w:rPr>
            </w:pPr>
            <w:r>
              <w:rPr>
                <w:rFonts w:ascii="Arial" w:cs="Arial" w:eastAsia="Arial" w:hAnsi="Arial"/>
                <w:sz w:val="14"/>
                <w:szCs w:val="14"/>
                <w:b w:val="1"/>
                <w:bCs w:val="1"/>
                <w:color w:val="auto"/>
              </w:rPr>
              <w:t>Fair Value Measurements at September 30, 2010</w:t>
            </w: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980" w:type="dxa"/>
            <w:vAlign w:val="bottom"/>
            <w:tcBorders>
              <w:top w:val="single" w:sz="8" w:color="auto"/>
            </w:tcBorders>
          </w:tcPr>
          <w:p>
            <w:pPr>
              <w:jc w:val="right"/>
              <w:ind w:right="118"/>
              <w:spacing w:after="0" w:line="129"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Loan and debt investments</w:t>
            </w:r>
          </w:p>
        </w:tc>
        <w:tc>
          <w:tcPr>
            <w:tcW w:w="2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$615,236,138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$615,236,138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49,488,268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4,350,440</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45,137,828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664,724,406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4,350,440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2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1,814,451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1,814,451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2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666,538,857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6,164,891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660,373,966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Credit Facility</w:t>
            </w: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2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213,941,125</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213,941,125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200" w:type="dxa"/>
            <w:vAlign w:val="bottom"/>
            <w:gridSpan w:val="2"/>
          </w:tcPr>
          <w:p>
            <w:pPr>
              <w:jc w:val="right"/>
              <w:ind w:right="1758"/>
              <w:spacing w:after="0"/>
              <w:rPr>
                <w:sz w:val="20"/>
                <w:szCs w:val="20"/>
                <w:color w:val="auto"/>
              </w:rPr>
            </w:pPr>
            <w:r>
              <w:rPr>
                <w:rFonts w:ascii="Arial" w:cs="Arial" w:eastAsia="Arial" w:hAnsi="Arial"/>
                <w:sz w:val="18"/>
                <w:szCs w:val="18"/>
                <w:color w:val="auto"/>
              </w:rPr>
              <w:t>F-25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 for the years ended September 30, 2011 and 2010:</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85"/>
              </w:rPr>
              <w:t>Year Ended September 30, 2011</w:t>
            </w:r>
          </w:p>
        </w:tc>
        <w:tc>
          <w:tcPr>
            <w:tcW w:w="0" w:type="dxa"/>
            <w:vAlign w:val="bottom"/>
          </w:tcPr>
          <w:p>
            <w:pPr>
              <w:spacing w:after="0"/>
              <w:rPr>
                <w:sz w:val="1"/>
                <w:szCs w:val="1"/>
                <w:color w:val="auto"/>
              </w:rPr>
            </w:pPr>
          </w:p>
        </w:tc>
      </w:tr>
      <w:tr>
        <w:trPr>
          <w:trHeight w:val="12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69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Loan and debt</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6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3"/>
        </w:trPr>
        <w:tc>
          <w:tcPr>
            <w:tcW w:w="7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5"/>
              </w:rPr>
              <w:t>615,236,138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45,137,828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660,373,966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Realized (losses)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10,194,422</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6,065,196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16,259,618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appreciation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(48,568,848)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2,904,075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(45,664,773)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486,512,694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9,969,861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496,482,555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(292,284,905)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(11,723,632)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(304,008,537)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Non-cash exchanges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 /or out of Level 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(38,395,050)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(38,395,050)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Ending Balance, September 30, 2011</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732,694,451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52,353,328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785,047,779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9"/>
              </w:rPr>
              <w:t>Net change in unrealized appreciation (depreciation) for the period above reported within the net change in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unrealized (depreciation) appreciation on investments in our Consolidated Statement of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(24,916,057)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2,186,601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(22,729,456)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86"/>
              </w:rPr>
              <w:t>Year Ended September 30, 2010</w:t>
            </w:r>
          </w:p>
        </w:tc>
        <w:tc>
          <w:tcPr>
            <w:tcW w:w="0" w:type="dxa"/>
            <w:vAlign w:val="bottom"/>
          </w:tcPr>
          <w:p>
            <w:pPr>
              <w:spacing w:after="0"/>
              <w:rPr>
                <w:sz w:val="1"/>
                <w:szCs w:val="1"/>
                <w:color w:val="auto"/>
              </w:rPr>
            </w:pPr>
          </w:p>
        </w:tc>
      </w:tr>
      <w:tr>
        <w:trPr>
          <w:trHeight w:val="12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69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Loan and debt</w:t>
            </w: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6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3"/>
        </w:trPr>
        <w:tc>
          <w:tcPr>
            <w:tcW w:w="7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2009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5"/>
              </w:rPr>
              <w:t>442,128,049</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27,632,024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469,760,073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Realized (losses)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(12,411,934)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(3,005,163)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(15,417,097)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(depreciation)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31,964,795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1,693,480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33,658,275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Purchases, PIK and net discount accretion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304,625,814</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12,984,260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317,610,074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 repayments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(138,765,449)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(138,772,371)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ind w:left="440"/>
              <w:spacing w:after="0"/>
              <w:rPr>
                <w:sz w:val="20"/>
                <w:szCs w:val="20"/>
                <w:color w:val="auto"/>
              </w:rPr>
            </w:pPr>
            <w:r>
              <w:rPr>
                <w:rFonts w:ascii="Arial" w:cs="Arial" w:eastAsia="Arial" w:hAnsi="Arial"/>
                <w:sz w:val="18"/>
                <w:szCs w:val="18"/>
                <w:color w:val="auto"/>
              </w:rPr>
              <w:t>Non-cash exchanges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(12,305,137)</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5,840,149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(6,464,988)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 /or out of Level 3</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Ending Balance, September 30, 2010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615,236,138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45,137,828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660,373,966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9"/>
              </w:rPr>
              <w:t>Net change in unrealized appreciation (depreciation) for the period above reported within the net change in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3"/>
              </w:rPr>
              <w:t>unrealized (depreciation) appreciation on investments in our Consolidated Statement of Operations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15,408,002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(1,311,683)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14,096,319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liabilities measured using significant unobservable inputs (Level 3) for the fiscal years ended September 30, 2011 and 2010.</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September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Carrying /</w:t>
            </w:r>
          </w:p>
        </w:tc>
      </w:tr>
      <w:tr>
        <w:trPr>
          <w:trHeight w:val="161"/>
        </w:trPr>
        <w:tc>
          <w:tcPr>
            <w:tcW w:w="9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Credit Facility</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Fair Value</w:t>
            </w:r>
          </w:p>
        </w:tc>
      </w:tr>
      <w:tr>
        <w:trPr>
          <w:trHeight w:val="210"/>
        </w:trPr>
        <w:tc>
          <w:tcPr>
            <w:tcW w:w="92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2010 (Cost—$227,900,000)</w:t>
            </w:r>
          </w:p>
        </w:tc>
        <w:tc>
          <w:tcPr>
            <w:tcW w:w="1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213,941,125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Total unrealized appreciation included in earnings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11,851,000</w:t>
            </w:r>
          </w:p>
        </w:tc>
        <w:tc>
          <w:tcPr>
            <w:tcW w:w="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407,500,000</w:t>
            </w:r>
          </w:p>
        </w:tc>
        <w:tc>
          <w:tcPr>
            <w:tcW w:w="12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(394,500,000)</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Transfers in and/or out of Level 3</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5"/>
        </w:trPr>
        <w:tc>
          <w:tcPr>
            <w:tcW w:w="9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Ending balance of Credit Facility, September 30, 2011, at fair value,</w:t>
            </w:r>
          </w:p>
        </w:tc>
        <w:tc>
          <w:tcPr>
            <w:tcW w:w="1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(Cost—$240,900,000)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238,792,125</w:t>
            </w:r>
          </w:p>
        </w:tc>
        <w:tc>
          <w:tcPr>
            <w:tcW w:w="120" w:type="dxa"/>
            <w:vAlign w:val="bottom"/>
          </w:tcPr>
          <w:p>
            <w:pPr>
              <w:spacing w:after="0"/>
              <w:rPr>
                <w:sz w:val="19"/>
                <w:szCs w:val="19"/>
                <w:color w:val="auto"/>
              </w:rPr>
            </w:pPr>
          </w:p>
        </w:tc>
      </w:tr>
      <w:tr>
        <w:trPr>
          <w:trHeight w:val="466"/>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1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Carrying /</w:t>
            </w:r>
          </w:p>
        </w:tc>
      </w:tr>
      <w:tr>
        <w:trPr>
          <w:trHeight w:val="161"/>
        </w:trPr>
        <w:tc>
          <w:tcPr>
            <w:tcW w:w="920" w:type="dxa"/>
            <w:vAlign w:val="bottom"/>
          </w:tcPr>
          <w:p>
            <w:pPr>
              <w:spacing w:after="0"/>
              <w:rPr>
                <w:sz w:val="14"/>
                <w:szCs w:val="14"/>
                <w:color w:val="auto"/>
              </w:rPr>
            </w:pPr>
          </w:p>
        </w:tc>
        <w:tc>
          <w:tcPr>
            <w:tcW w:w="6560" w:type="dxa"/>
            <w:vAlign w:val="bottom"/>
            <w:gridSpan w:val="2"/>
          </w:tcPr>
          <w:p>
            <w:pPr>
              <w:spacing w:after="0"/>
              <w:rPr>
                <w:sz w:val="20"/>
                <w:szCs w:val="20"/>
                <w:color w:val="auto"/>
              </w:rPr>
            </w:pPr>
            <w:r>
              <w:rPr>
                <w:rFonts w:ascii="Arial" w:cs="Arial" w:eastAsia="Arial" w:hAnsi="Arial"/>
                <w:sz w:val="14"/>
                <w:szCs w:val="14"/>
                <w:b w:val="1"/>
                <w:bCs w:val="1"/>
                <w:color w:val="auto"/>
              </w:rPr>
              <w:t>Credit Facility</w:t>
            </w: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920" w:type="dxa"/>
            <w:vAlign w:val="bottom"/>
          </w:tcPr>
          <w:p>
            <w:pPr>
              <w:spacing w:after="0"/>
              <w:rPr>
                <w:sz w:val="18"/>
                <w:szCs w:val="18"/>
                <w:color w:val="auto"/>
              </w:rPr>
            </w:pPr>
          </w:p>
        </w:tc>
        <w:tc>
          <w:tcPr>
            <w:tcW w:w="65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2009 (Cost—$218,100,000)</w:t>
            </w:r>
          </w:p>
        </w:tc>
        <w:tc>
          <w:tcPr>
            <w:tcW w:w="18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168,475,380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Total unrealized (appreciation) included in earnings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35,665,745</w:t>
            </w:r>
          </w:p>
        </w:tc>
        <w:tc>
          <w:tcPr>
            <w:tcW w:w="12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177,700,000</w:t>
            </w:r>
          </w:p>
        </w:tc>
        <w:tc>
          <w:tcPr>
            <w:tcW w:w="12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(167,900,000)</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Transfers in and/or out of Level 3</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9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Ending balance of Credit Facility, September 30, 2010, at fair value,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1"/>
        </w:trPr>
        <w:tc>
          <w:tcPr>
            <w:tcW w:w="920" w:type="dxa"/>
            <w:vAlign w:val="bottom"/>
          </w:tcPr>
          <w:p>
            <w:pPr>
              <w:spacing w:after="0"/>
              <w:rPr>
                <w:sz w:val="20"/>
                <w:szCs w:val="20"/>
                <w:color w:val="auto"/>
              </w:rPr>
            </w:pPr>
          </w:p>
        </w:tc>
        <w:tc>
          <w:tcPr>
            <w:tcW w:w="6560" w:type="dxa"/>
            <w:vAlign w:val="bottom"/>
            <w:gridSpan w:val="2"/>
          </w:tcPr>
          <w:p>
            <w:pPr>
              <w:ind w:left="220"/>
              <w:spacing w:after="0"/>
              <w:rPr>
                <w:sz w:val="20"/>
                <w:szCs w:val="20"/>
                <w:color w:val="auto"/>
              </w:rPr>
            </w:pPr>
            <w:r>
              <w:rPr>
                <w:rFonts w:ascii="Arial" w:cs="Arial" w:eastAsia="Arial" w:hAnsi="Arial"/>
                <w:sz w:val="18"/>
                <w:szCs w:val="18"/>
                <w:color w:val="auto"/>
              </w:rPr>
              <w:t>(Cost—$227,900,000)</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213,941,125</w:t>
            </w:r>
          </w:p>
        </w:tc>
        <w:tc>
          <w:tcPr>
            <w:tcW w:w="12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Temporary draw outstanding, at cost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5,200,000</w:t>
            </w:r>
          </w:p>
        </w:tc>
        <w:tc>
          <w:tcPr>
            <w:tcW w:w="12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Total Credit Facility, September 30, 2010 (Cost—$233,100,000)</w:t>
            </w:r>
          </w:p>
        </w:tc>
        <w:tc>
          <w:tcPr>
            <w:tcW w:w="1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219,141,125</w:t>
            </w:r>
          </w:p>
        </w:tc>
        <w:tc>
          <w:tcPr>
            <w:tcW w:w="12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temporary draws.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its Credit Facility. We elected to use the fair value option for the Credit Facility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on its earnings. ASC 825-10 also requires entities to display the fair value of the selected assets and liabilities on the face of the Consolidated Statement of Assets and Liabilities and changes in fair value of the Credit Facility are recorded in the Consolidated Statement of Operations. We elected not to apply ASC 825-10 to any other financial assets or liabilities including the SBA debentures. For the years ended September 30, 2011 and 2010, our Credit Facility had a net change in unrealized appreciation of $11.9 million and $35.7 million, respectively. As of September 30, 2011 and 2010, net unrealized depreciation on our Credit Facility totaled $2.1 million and $14.0 million, respectively. We use a nationally recognized independent valuation service to measure the fair value of our Credit Facility in a manner consistent with the valuation process that the board of directors uses to value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An affiliated company is a company in which we own 5% or more of the portfolio company’s voting securities. A controlled affiliate is a company in which we own 25% or more of a portfolio company’s voting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securities. Advances to and distributions from affiliates are included in the Consolidated Statements of Cash Flow under purchases. Transactions related to our investments with both controlled and non-controlled affiliates for the fiscal year ended September 30, 2011 were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Fair Value at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Distributions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Fair Value at</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Advances to</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from</w:t>
            </w:r>
          </w:p>
        </w:tc>
        <w:tc>
          <w:tcPr>
            <w:tcW w:w="100" w:type="dxa"/>
            <w:vAlign w:val="bottom"/>
          </w:tcPr>
          <w:p>
            <w:pPr>
              <w:spacing w:after="0"/>
              <w:rPr>
                <w:sz w:val="12"/>
                <w:szCs w:val="12"/>
                <w:color w:val="auto"/>
              </w:rPr>
            </w:pPr>
          </w:p>
        </w:tc>
        <w:tc>
          <w:tcPr>
            <w:tcW w:w="70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Income</w:t>
            </w:r>
          </w:p>
        </w:tc>
        <w:tc>
          <w:tcPr>
            <w:tcW w:w="2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8"/>
        </w:trPr>
        <w:tc>
          <w:tcPr>
            <w:tcW w:w="11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7"/>
              </w:rPr>
              <w:t>Name of Investment</w:t>
            </w: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6"/>
              <w:spacing w:after="0" w:line="148" w:lineRule="exact"/>
              <w:rPr>
                <w:sz w:val="20"/>
                <w:szCs w:val="20"/>
                <w:color w:val="auto"/>
              </w:rPr>
            </w:pPr>
            <w:r>
              <w:rPr>
                <w:rFonts w:ascii="Arial" w:cs="Arial" w:eastAsia="Arial" w:hAnsi="Arial"/>
                <w:sz w:val="14"/>
                <w:szCs w:val="14"/>
                <w:b w:val="1"/>
                <w:bCs w:val="1"/>
                <w:color w:val="auto"/>
                <w:w w:val="83"/>
              </w:rPr>
              <w:t>2010</w:t>
            </w:r>
          </w:p>
        </w:tc>
        <w:tc>
          <w:tcPr>
            <w:tcW w:w="18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4"/>
              </w:rPr>
              <w:t>affiliates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7"/>
              </w:rPr>
              <w:t>affiliates</w:t>
            </w:r>
          </w:p>
        </w:tc>
        <w:tc>
          <w:tcPr>
            <w:tcW w:w="100" w:type="dxa"/>
            <w:vAlign w:val="bottom"/>
          </w:tcPr>
          <w:p>
            <w:pPr>
              <w:spacing w:after="0"/>
              <w:rPr>
                <w:sz w:val="14"/>
                <w:szCs w:val="14"/>
                <w:color w:val="auto"/>
              </w:rPr>
            </w:pPr>
          </w:p>
        </w:tc>
        <w:tc>
          <w:tcPr>
            <w:tcW w:w="700" w:type="dxa"/>
            <w:vAlign w:val="bottom"/>
          </w:tcPr>
          <w:p>
            <w:pPr>
              <w:jc w:val="right"/>
              <w:ind w:right="59"/>
              <w:spacing w:after="0" w:line="148" w:lineRule="exact"/>
              <w:rPr>
                <w:sz w:val="20"/>
                <w:szCs w:val="20"/>
                <w:color w:val="auto"/>
              </w:rPr>
            </w:pPr>
            <w:r>
              <w:rPr>
                <w:rFonts w:ascii="Arial" w:cs="Arial" w:eastAsia="Arial" w:hAnsi="Arial"/>
                <w:sz w:val="14"/>
                <w:szCs w:val="14"/>
                <w:b w:val="1"/>
                <w:bCs w:val="1"/>
                <w:color w:val="auto"/>
                <w:w w:val="87"/>
              </w:rPr>
              <w:t>Received</w:t>
            </w:r>
          </w:p>
        </w:tc>
        <w:tc>
          <w:tcPr>
            <w:tcW w:w="1080" w:type="dxa"/>
            <w:vAlign w:val="bottom"/>
            <w:gridSpan w:val="2"/>
          </w:tcPr>
          <w:p>
            <w:pPr>
              <w:jc w:val="center"/>
              <w:ind w:left="116"/>
              <w:spacing w:after="0" w:line="148"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Controlled Affiliates</w:t>
            </w: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SuttonPark Holdings,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8,000,100</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auto"/>
                <w:w w:val="88"/>
              </w:rPr>
              <w:t>$5,500,000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785,167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$13,500,001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15,433,680</w:t>
            </w:r>
          </w:p>
        </w:tc>
        <w:tc>
          <w:tcPr>
            <w:tcW w:w="1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1,537,489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14,932,921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18,631,503</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1,305,502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366,901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25,740,212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42,065,283</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6,805,502</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366,901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3,081,976</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54,173,134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5"/>
              </w:rPr>
              <w:t>Class and Year</w:t>
            </w:r>
          </w:p>
        </w:tc>
        <w:tc>
          <w:tcPr>
            <w:tcW w:w="72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8"/>
          </w:tcPr>
          <w:p>
            <w:pPr>
              <w:ind w:left="700"/>
              <w:spacing w:after="0"/>
              <w:rPr>
                <w:sz w:val="20"/>
                <w:szCs w:val="20"/>
                <w:color w:val="auto"/>
              </w:rPr>
            </w:pPr>
            <w:r>
              <w:rPr>
                <w:rFonts w:ascii="Arial" w:cs="Arial" w:eastAsia="Arial" w:hAnsi="Arial"/>
                <w:sz w:val="14"/>
                <w:szCs w:val="14"/>
                <w:b w:val="1"/>
                <w:bCs w:val="1"/>
                <w:color w:val="auto"/>
              </w:rPr>
              <w:t>Years ended September 30,</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72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40"/>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7"/>
              <w:spacing w:after="0" w:line="129"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1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(decrease) in net assets resulting from operations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10,263,474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16,535,491</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35,802,029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42,196,076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29,546,772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21,092,334*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increase (decrease) in net assets per share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Denominator for diluted weighted average shares is 21,094,745 based the over-allotment exercised subsequent to September 30,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Dividends from net investment income and distributions from net realized capital gains are determined in accordance with U.S. federal tax regulations, which may differ from amounts determined in accordance with GAAP and these book-to-tax adjustments could be material.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2011 and 2010: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 paid-in capital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(228,824)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(98,294)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(1,536)</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(Increase) in accumulated net realized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(87,991)</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Increase in undistributed net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228,824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98,294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89,527</w:t>
            </w:r>
          </w:p>
        </w:tc>
      </w:tr>
    </w:tbl>
    <w:p>
      <w:pPr>
        <w:spacing w:after="0" w:line="15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2011 and 2010, the cost of investments for federal income tax purposes was $865.8 million and $659.4 million, respectively, resulting in a gross unrealized appreciation of $31.3 million and $28.8 million, respectively, and gross unrealized depreciation of $69.6 million and $23.5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6"/>
              </w:rPr>
              <w:t>Years ended September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126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9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$ 10,263,474</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$16,535,491</w:t>
            </w:r>
          </w:p>
        </w:tc>
        <w:tc>
          <w:tcPr>
            <w:tcW w:w="4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$ 35,802,029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realized gain(loss) on investments not taxable</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(16,259,622)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15,417,097</w:t>
            </w:r>
          </w:p>
        </w:tc>
        <w:tc>
          <w:tcPr>
            <w:tcW w:w="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39,243,879</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appreciation on investments and Credit Facility</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58,641,223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122,029</w:t>
            </w:r>
          </w:p>
        </w:tc>
        <w:tc>
          <w:tcPr>
            <w:tcW w:w="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(52,326,993)</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Other temporary book-to-tax differences</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(3,178,194)</w:t>
            </w:r>
          </w:p>
        </w:tc>
        <w:tc>
          <w:tcPr>
            <w:tcW w:w="1700" w:type="dxa"/>
            <w:vAlign w:val="bottom"/>
            <w:gridSpan w:val="3"/>
          </w:tcPr>
          <w:p>
            <w:pPr>
              <w:jc w:val="right"/>
              <w:ind w:right="380"/>
              <w:spacing w:after="0"/>
              <w:rPr>
                <w:sz w:val="20"/>
                <w:szCs w:val="20"/>
                <w:color w:val="auto"/>
              </w:rPr>
            </w:pPr>
            <w:r>
              <w:rPr>
                <w:rFonts w:ascii="Arial" w:cs="Arial" w:eastAsia="Arial" w:hAnsi="Arial"/>
                <w:sz w:val="18"/>
                <w:szCs w:val="18"/>
                <w:color w:val="auto"/>
              </w:rPr>
              <w:t>(321,805)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827,527</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87"/>
              </w:rPr>
              <w:t>$ 49,695,705</w:t>
            </w:r>
          </w:p>
        </w:tc>
        <w:tc>
          <w:tcPr>
            <w:tcW w:w="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31,752,812</w:t>
            </w:r>
          </w:p>
        </w:tc>
        <w:tc>
          <w:tcPr>
            <w:tcW w:w="4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$ 23,546,442</w:t>
            </w: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losses on book basis and reconciliation to accumulated losses on a tax basis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8"/>
              </w:rPr>
              <w:t>Years ended September 30,</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Undistributed ordinary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17,639,482</w:t>
            </w:r>
          </w:p>
        </w:tc>
        <w:tc>
          <w:tcPr>
            <w:tcW w:w="1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11,451,782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7,618,230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Undistributed long-term net capital gains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undistributed net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17,639,482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11,451,782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7,618,230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1"/>
                <w:szCs w:val="11"/>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(47,030,821)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(54,591,911)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(11,250,568)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Post-October capital losses</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(8,645,354)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(39,331,872)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Dividends payable and other temporary differences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(12,477,778)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(9,651,137)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(5,638,469)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(36,122,397)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19,300,499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22,096,807</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color w:val="auto"/>
              </w:rPr>
              <w:t>Total accumulated deficit</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3"/>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(77,991,514)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(42,136,121)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(26,505,872)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54"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 of September 30, 2011, the capital loss carry forward of $47.0 million expires, if not utilized against future capital gains, as follows: $3.7 million in 2017 and $43.3 million in 2018.</w:t>
      </w:r>
    </w:p>
    <w:p>
      <w:pPr>
        <w:ind w:left="460" w:hanging="452"/>
        <w:spacing w:after="0"/>
        <w:tabs>
          <w:tab w:leader="none" w:pos="4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Under federal tax law, capital losses realized after October 31 may be deferred and treated as having arisen on the first day of the following fiscal year.</w:t>
      </w:r>
    </w:p>
    <w:p>
      <w:pPr>
        <w:spacing w:after="0" w:line="32" w:lineRule="exact"/>
        <w:rPr>
          <w:rFonts w:ascii="Arial" w:cs="Arial" w:eastAsia="Arial" w:hAnsi="Arial"/>
          <w:sz w:val="16"/>
          <w:szCs w:val="16"/>
          <w:color w:val="auto"/>
        </w:rPr>
      </w:pPr>
    </w:p>
    <w:p>
      <w:pPr>
        <w:ind w:left="460" w:right="140" w:hanging="452"/>
        <w:spacing w:after="0" w:line="323" w:lineRule="auto"/>
        <w:tabs>
          <w:tab w:leader="none" w:pos="4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9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tax characteristics of dividends during the fiscal years ended September 30, 2011 and 2010 were solely from ordinary income and totaled $46.3 million, or $1.10 per share, and $32.3 million, or $1.09 per share,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Cash equivalents represents cash pending investment in longer-term portfolio holdings. Our portfolio may consist of temporary investments in U.S. Treasury Bills (of varying maturities), repurchase agreements, money market funds or repurchase agreement-like treasury securities. These temporary investments with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its total assets at quarter end. We may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accomplish this in several ways, including purchasing U.S. Treasury Bills and closing out its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2011, cash equivalents consisted of $71.6 million, including amounts in money market funds.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Below are the financial highlights for the respective periods: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January 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Year ended</w:t>
            </w:r>
          </w:p>
        </w:tc>
        <w:tc>
          <w:tcPr>
            <w:tcW w:w="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80" w:type="dxa"/>
            <w:vAlign w:val="bottom"/>
          </w:tcPr>
          <w:p>
            <w:pPr>
              <w:spacing w:after="0"/>
              <w:rPr>
                <w:sz w:val="12"/>
                <w:szCs w:val="12"/>
                <w:color w:val="auto"/>
              </w:rPr>
            </w:pP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through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2011</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10.69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12.83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w:t>
            </w:r>
            <w:r>
              <w:rPr>
                <w:rFonts w:ascii="Arial" w:cs="Arial" w:eastAsia="Arial" w:hAnsi="Arial"/>
                <w:sz w:val="11"/>
                <w:szCs w:val="11"/>
                <w:color w:val="auto"/>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Adjusted net asset value, beginning of period</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11.85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11.99</w:t>
            </w:r>
          </w:p>
        </w:tc>
        <w:tc>
          <w:tcPr>
            <w:tcW w:w="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(0.53)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0.62</w:t>
            </w:r>
          </w:p>
        </w:tc>
        <w:tc>
          <w:tcPr>
            <w:tcW w:w="8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increase (decrease) in net assets resulting</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operations</w:t>
            </w: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Distributions to stockholders</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(Dilutive) offering costs</w:t>
            </w: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Initial issuance of common stock</w:t>
            </w:r>
          </w:p>
        </w:tc>
        <w:tc>
          <w:tcPr>
            <w:tcW w:w="10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Accretive (Dilutive) effect of common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w:t>
            </w: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(0.79)</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10.13</w:t>
            </w:r>
          </w:p>
        </w:tc>
        <w:tc>
          <w:tcPr>
            <w:tcW w:w="6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3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11.85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 (4)</w:t>
            </w:r>
          </w:p>
        </w:tc>
        <w:tc>
          <w:tcPr>
            <w:tcW w:w="100" w:type="dxa"/>
            <w:vAlign w:val="bottom"/>
          </w:tcPr>
          <w:p>
            <w:pPr>
              <w:spacing w:after="0"/>
              <w:rPr>
                <w:sz w:val="18"/>
                <w:szCs w:val="18"/>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30.39%</w:t>
            </w:r>
          </w:p>
        </w:tc>
        <w:tc>
          <w:tcPr>
            <w:tcW w:w="8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(8.29)%</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45,689,781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36,158,772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25,368,772</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21,068,772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21,068,772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Ratio** / Supplemental Data:</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r>
              <w:rPr>
                <w:rFonts w:ascii="Arial" w:cs="Arial" w:eastAsia="Arial" w:hAnsi="Arial"/>
                <w:sz w:val="11"/>
                <w:szCs w:val="11"/>
                <w:color w:val="auto"/>
              </w:rPr>
              <w:t>(5)</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7.28%</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Ratio of Credit Facility related expenses to</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average net assets</w:t>
            </w: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w w:val="98"/>
              </w:rPr>
              <w:t>Ratio of total expenses to average net assets</w:t>
            </w:r>
            <w:r>
              <w:rPr>
                <w:rFonts w:ascii="Arial" w:cs="Arial" w:eastAsia="Arial" w:hAnsi="Arial"/>
                <w:sz w:val="11"/>
                <w:szCs w:val="11"/>
                <w:color w:val="auto"/>
                <w:w w:val="98"/>
              </w:rPr>
              <w:t>(6)</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8.43%</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9.35%</w:t>
            </w:r>
          </w:p>
        </w:tc>
        <w:tc>
          <w:tcPr>
            <w:tcW w:w="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Ratio of net investment income to average net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5.96%</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5"/>
              </w:rPr>
              <w:t>462,657,196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386,575,223</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300,580,268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210,728,260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270,393,094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Weighted average debt outstanding</w:t>
            </w:r>
            <w:r>
              <w:rPr>
                <w:rFonts w:ascii="Arial" w:cs="Arial" w:eastAsia="Arial" w:hAnsi="Arial"/>
                <w:sz w:val="11"/>
                <w:szCs w:val="11"/>
                <w:color w:val="auto"/>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w w:val="85"/>
              </w:rPr>
              <w:t>278,294,433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246,216,548</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182,490,685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119,472,732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817,610</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per share</w:t>
            </w:r>
            <w:r>
              <w:rPr>
                <w:rFonts w:ascii="Arial" w:cs="Arial" w:eastAsia="Arial" w:hAnsi="Arial"/>
                <w:sz w:val="11"/>
                <w:szCs w:val="11"/>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3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100" w:type="dxa"/>
            <w:vAlign w:val="bottom"/>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40.89%</w:t>
            </w:r>
          </w:p>
        </w:tc>
        <w:tc>
          <w:tcPr>
            <w:tcW w:w="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25.97%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62.20%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*Not annualized for a period of less than a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ind w:left="340" w:right="140" w:hanging="332"/>
        <w:spacing w:after="0" w:line="286" w:lineRule="auto"/>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On October 1, 2008, PennantPark Investment adopted ASC 825 and made an irrevocable election to apply the fair value option to our Credit Facility. Upon our adoption Net Asset Value increased $41.8 million, or $1.99 per share, due to the fair value adjustment related to our Credit Facility.</w:t>
      </w:r>
    </w:p>
    <w:p>
      <w:pPr>
        <w:ind w:left="340" w:hanging="332"/>
        <w:spacing w:after="0"/>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Calculated based on the weighted average shares outstanding for the respective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and may differ from amounts determined under GAAP.</w:t>
      </w:r>
    </w:p>
    <w:p>
      <w:pPr>
        <w:spacing w:after="0" w:line="3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dividends and distributions, if any, reinvested in accordance with our dividend reinvestment plan.</w:t>
      </w:r>
    </w:p>
    <w:p>
      <w:pPr>
        <w:ind w:left="340" w:right="320" w:hanging="332"/>
        <w:spacing w:after="0" w:line="250"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2011, 2010 and 2009, the ratios were 7.38%, 7.95% and 9.32%, respectively. The ratios before management fee waiver were 6.47% and 4.28%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340" w:right="300" w:hanging="332"/>
        <w:spacing w:after="0" w:line="250" w:lineRule="auto"/>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Before adoption of ASC 825 for the fiscal years ended September 30, 2011, 2010 and 2009, the ratios were 8.55%, 9.15% and (1.75%), respectively. The ratios before management fee waiver to average net assets were 9.13% and 5.78% for the fiscal year ended September 30, 2008 and for the period from April 24, 2007 (initial public offering) through September 30, 2007, respectively.</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Since initial public offering on April 24, 2007.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Includes the SBA debentures outstanding.</w:t>
      </w:r>
    </w:p>
    <w:p>
      <w:pPr>
        <w:spacing w:after="0" w:line="240" w:lineRule="exact"/>
        <w:rPr>
          <w:sz w:val="20"/>
          <w:szCs w:val="20"/>
          <w:color w:val="auto"/>
        </w:rPr>
      </w:pPr>
    </w:p>
    <w:p>
      <w:pPr>
        <w:ind w:left="460" w:right="7520" w:hanging="452"/>
        <w:spacing w:after="0" w:line="391" w:lineRule="auto"/>
        <w:tabs>
          <w:tab w:leader="none" w:pos="257"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CREDIT FACILITY AND SBA DEBENTURES Credit Facility</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June 25, 2007, we entered into a senior secured revolving credit agreement, or the Credit Facility, among us, various lenders and SunTrust Bank, as administrative agent for the lenders. As of September 30, 2011 and 2010, there was $240.9 million and $233.1 million in outstanding borrowings under the Credit Facility (including a $5.2 million temporary draw), with a weighted average interest rate at the time of 1.27% and 1.34% exclusive of the fee on undrawn commitment of 0.20%, respectively.</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Under our Credit Facility, the lenders agreed to extend credit to PennantPark Investment in an aggregate principal or face amount not exceeding $315.0 million at any one time outstanding. The Credit Facility is a five-year revolving facility (with a stated maturity date of June 25, 2012) and pricing is set at 100 basis points over LIBOR. The Credit Facility contains customary affirmative and negative covenants, including the maintenance of a minimum stockholders’ equity, the maintenance of an asset coverage ratio not less than 200% of total assets (less total liabilities other than indebtedness) to total indebtedness, and restrictions on certain payments and issuance of debt. In accordance with the 1940 Act, with certain limited exceptions, PennantPark Investment is only allowed to borrow amounts such that its asset coverage, as defined in the 1940 Act, is at least 200% after such borrowing. As of September 30, 2011, 2010, 2009, 2008 and 2007 our asset coverage ratio was 294%, 266%, 271%, 204% and 2,804%, respectively. As of September 30, 2011, we have excluded the SBA debentures from our asset coverage ratio pursuant to an SEC exemptive relief. For a complete list of such covenants, see our report on Form 8-K, filed June 28, 2007 and on Form 10-Q, filed May 5, 2010. As of September 30, 2011, we were in compliance with our covenants relating to our Credit Facility.</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SBA Debentures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paid-in and is subject to customary regulatory requirements including but not limited to an examination by the SBA. As of September 30, 2011, we have committed $75.0 million to SBIC LP, funded it with equity capital and had SBA debentures outstanding of $150.0 million. SBA debentures are non-recourse to us, have a 10-year maturity, and may be prepaid at any time without penalty. The interest rate of SBA debentures is fixed at the time of issuance, often referred to as pooling, at a market-driven spread over 10-year U.S. Treasury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Notes. SBA current regulations limit the amount that SBIC LP may borrow to a maximum of $150 million, which is up to twice its potential regulatory capital.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2011 the SBIC LP has accessed the maximum borrowing with its $75.0 million in regulatory capital.</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2011, $150.0 million in debt commitments were fully drawn with a weighted average interest rate of 3.70% exclusive of the 3.43% in upfront fees (4.04% inclusive of the 3.43% upfront fees). The SBA debenture’s upfront fees of 3.43% consists of a commitment fee of 1% and an issuance at a 2.43% discount to face. Both fees are amortized over the life of the loan.</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1"/>
              </w:rPr>
              <w:t>As of September 30, 2011</w:t>
            </w:r>
          </w:p>
        </w:tc>
        <w:tc>
          <w:tcPr>
            <w:tcW w:w="180" w:type="dxa"/>
            <w:vAlign w:val="bottom"/>
          </w:tcPr>
          <w:p>
            <w:pPr>
              <w:spacing w:after="0"/>
              <w:rPr>
                <w:sz w:val="14"/>
                <w:szCs w:val="14"/>
                <w:color w:val="auto"/>
              </w:rPr>
            </w:pPr>
          </w:p>
        </w:tc>
        <w:tc>
          <w:tcPr>
            <w:tcW w:w="1800" w:type="dxa"/>
            <w:vAlign w:val="bottom"/>
            <w:gridSpan w:val="5"/>
          </w:tcPr>
          <w:p>
            <w:pPr>
              <w:ind w:left="120"/>
              <w:spacing w:after="0"/>
              <w:rPr>
                <w:sz w:val="20"/>
                <w:szCs w:val="20"/>
                <w:color w:val="auto"/>
              </w:rPr>
            </w:pPr>
            <w:r>
              <w:rPr>
                <w:rFonts w:ascii="Arial" w:cs="Arial" w:eastAsia="Arial" w:hAnsi="Arial"/>
                <w:sz w:val="14"/>
                <w:szCs w:val="14"/>
                <w:b w:val="1"/>
                <w:bCs w:val="1"/>
                <w:color w:val="auto"/>
                <w:w w:val="97"/>
              </w:rPr>
              <w:t>As of September 30, 2010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jc w:val="right"/>
              <w:ind w:right="21"/>
              <w:spacing w:after="0" w:line="129" w:lineRule="exact"/>
              <w:rPr>
                <w:sz w:val="20"/>
                <w:szCs w:val="20"/>
                <w:color w:val="auto"/>
              </w:rPr>
            </w:pPr>
            <w:r>
              <w:rPr>
                <w:rFonts w:ascii="Arial" w:cs="Arial" w:eastAsia="Arial" w:hAnsi="Arial"/>
                <w:sz w:val="14"/>
                <w:szCs w:val="14"/>
                <w:b w:val="1"/>
                <w:bCs w:val="1"/>
                <w:color w:val="auto"/>
              </w:rPr>
              <w:t>All-in</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Borders>
              <w:top w:val="single" w:sz="8" w:color="auto"/>
            </w:tcBorders>
          </w:tcPr>
          <w:p>
            <w:pPr>
              <w:jc w:val="right"/>
              <w:ind w:right="5"/>
              <w:spacing w:after="0" w:line="129" w:lineRule="exact"/>
              <w:rPr>
                <w:sz w:val="20"/>
                <w:szCs w:val="20"/>
                <w:color w:val="auto"/>
              </w:rPr>
            </w:pPr>
            <w:r>
              <w:rPr>
                <w:rFonts w:ascii="Arial" w:cs="Arial" w:eastAsia="Arial" w:hAnsi="Arial"/>
                <w:sz w:val="14"/>
                <w:szCs w:val="14"/>
                <w:b w:val="1"/>
                <w:bCs w:val="1"/>
                <w:color w:val="auto"/>
              </w:rPr>
              <w:t>All-in</w:t>
            </w: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90"/>
              </w:rPr>
              <w:t>Coupon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6"/>
              </w:rPr>
              <w:t>Coupon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Issuance Dates</w:t>
            </w:r>
          </w:p>
        </w:tc>
        <w:tc>
          <w:tcPr>
            <w:tcW w:w="52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2"/>
          </w:tcPr>
          <w:p>
            <w:pPr>
              <w:ind w:left="1140"/>
              <w:spacing w:after="0"/>
              <w:rPr>
                <w:sz w:val="20"/>
                <w:szCs w:val="20"/>
                <w:color w:val="auto"/>
              </w:rPr>
            </w:pPr>
            <w:r>
              <w:rPr>
                <w:rFonts w:ascii="Arial" w:cs="Arial" w:eastAsia="Arial" w:hAnsi="Arial"/>
                <w:sz w:val="14"/>
                <w:szCs w:val="14"/>
                <w:b w:val="1"/>
                <w:bCs w:val="1"/>
                <w:color w:val="auto"/>
              </w:rPr>
              <w:t>Maturity</w:t>
            </w:r>
          </w:p>
        </w:tc>
        <w:tc>
          <w:tcPr>
            <w:tcW w:w="520" w:type="dxa"/>
            <w:vAlign w:val="bottom"/>
          </w:tcPr>
          <w:p>
            <w:pPr>
              <w:ind w:left="60"/>
              <w:spacing w:after="0" w:line="162" w:lineRule="exact"/>
              <w:rPr>
                <w:sz w:val="20"/>
                <w:szCs w:val="20"/>
                <w:color w:val="auto"/>
              </w:rPr>
            </w:pPr>
            <w:r>
              <w:rPr>
                <w:rFonts w:ascii="Arial" w:cs="Arial" w:eastAsia="Arial" w:hAnsi="Arial"/>
                <w:sz w:val="12"/>
                <w:szCs w:val="12"/>
                <w:b w:val="1"/>
                <w:bCs w:val="1"/>
                <w:color w:val="auto"/>
              </w:rPr>
              <w:t>Rate</w:t>
            </w:r>
            <w:r>
              <w:rPr>
                <w:rFonts w:ascii="Arial" w:cs="Arial" w:eastAsia="Arial" w:hAnsi="Arial"/>
                <w:sz w:val="18"/>
                <w:szCs w:val="18"/>
                <w:b w:val="1"/>
                <w:bCs w:val="1"/>
                <w:color w:val="auto"/>
                <w:vertAlign w:val="superscript"/>
              </w:rPr>
              <w:t>(1)</w:t>
            </w: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w w:val="87"/>
              </w:rPr>
              <w:t>Principal Balance</w:t>
            </w:r>
          </w:p>
        </w:tc>
        <w:tc>
          <w:tcPr>
            <w:tcW w:w="180" w:type="dxa"/>
            <w:vAlign w:val="bottom"/>
          </w:tcPr>
          <w:p>
            <w:pPr>
              <w:spacing w:after="0"/>
              <w:rPr>
                <w:sz w:val="15"/>
                <w:szCs w:val="15"/>
                <w:color w:val="auto"/>
              </w:rPr>
            </w:pPr>
          </w:p>
        </w:tc>
        <w:tc>
          <w:tcPr>
            <w:tcW w:w="500" w:type="dxa"/>
            <w:vAlign w:val="bottom"/>
          </w:tcPr>
          <w:p>
            <w:pPr>
              <w:ind w:left="40"/>
              <w:spacing w:after="0" w:line="162" w:lineRule="exact"/>
              <w:rPr>
                <w:sz w:val="20"/>
                <w:szCs w:val="20"/>
                <w:color w:val="auto"/>
              </w:rPr>
            </w:pPr>
            <w:r>
              <w:rPr>
                <w:rFonts w:ascii="Arial" w:cs="Arial" w:eastAsia="Arial" w:hAnsi="Arial"/>
                <w:sz w:val="12"/>
                <w:szCs w:val="12"/>
                <w:b w:val="1"/>
                <w:bCs w:val="1"/>
                <w:color w:val="auto"/>
              </w:rPr>
              <w:t>Rate</w:t>
            </w:r>
            <w:r>
              <w:rPr>
                <w:rFonts w:ascii="Arial" w:cs="Arial" w:eastAsia="Arial" w:hAnsi="Arial"/>
                <w:sz w:val="18"/>
                <w:szCs w:val="18"/>
                <w:b w:val="1"/>
                <w:bCs w:val="1"/>
                <w:color w:val="auto"/>
                <w:vertAlign w:val="superscript"/>
              </w:rPr>
              <w:t>(1)</w:t>
            </w:r>
          </w:p>
        </w:tc>
        <w:tc>
          <w:tcPr>
            <w:tcW w:w="1300" w:type="dxa"/>
            <w:vAlign w:val="bottom"/>
            <w:gridSpan w:val="4"/>
          </w:tcPr>
          <w:p>
            <w:pPr>
              <w:ind w:left="180"/>
              <w:spacing w:after="0"/>
              <w:rPr>
                <w:sz w:val="20"/>
                <w:szCs w:val="20"/>
                <w:color w:val="auto"/>
              </w:rPr>
            </w:pPr>
            <w:r>
              <w:rPr>
                <w:rFonts w:ascii="Arial" w:cs="Arial" w:eastAsia="Arial" w:hAnsi="Arial"/>
                <w:sz w:val="14"/>
                <w:szCs w:val="14"/>
                <w:b w:val="1"/>
                <w:bCs w:val="1"/>
                <w:color w:val="auto"/>
                <w:w w:val="94"/>
              </w:rPr>
              <w:t>Principal Balance</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700" w:type="dxa"/>
            <w:vAlign w:val="bottom"/>
            <w:tcBorders>
              <w:top w:val="single" w:sz="8" w:color="CCEEFF"/>
              <w:bottom w:val="single" w:sz="8" w:color="auto"/>
            </w:tcBorders>
            <w:gridSpan w:val="3"/>
            <w:shd w:val="clear" w:color="auto" w:fill="CCEEFF"/>
          </w:tcPr>
          <w:p>
            <w:pPr>
              <w:spacing w:after="0" w:line="149" w:lineRule="exact"/>
              <w:rPr>
                <w:sz w:val="20"/>
                <w:szCs w:val="20"/>
                <w:color w:val="auto"/>
              </w:rPr>
            </w:pPr>
            <w:r>
              <w:rPr>
                <w:rFonts w:ascii="Arial" w:cs="Arial" w:eastAsia="Arial" w:hAnsi="Arial"/>
                <w:sz w:val="16"/>
                <w:szCs w:val="16"/>
                <w:b w:val="1"/>
                <w:bCs w:val="1"/>
                <w:color w:val="auto"/>
                <w:w w:val="97"/>
              </w:rPr>
              <w:t>Fixed SBA Debentures</w:t>
            </w:r>
          </w:p>
        </w:tc>
        <w:tc>
          <w:tcPr>
            <w:tcW w:w="50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80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September 22, 2010</w:t>
            </w:r>
          </w:p>
        </w:tc>
        <w:tc>
          <w:tcPr>
            <w:tcW w:w="3220" w:type="dxa"/>
            <w:vAlign w:val="bottom"/>
            <w:gridSpan w:val="3"/>
          </w:tcPr>
          <w:p>
            <w:pPr>
              <w:ind w:left="340"/>
              <w:spacing w:after="0"/>
              <w:rPr>
                <w:sz w:val="20"/>
                <w:szCs w:val="20"/>
                <w:color w:val="auto"/>
              </w:rPr>
            </w:pPr>
            <w:r>
              <w:rPr>
                <w:rFonts w:ascii="Arial" w:cs="Arial" w:eastAsia="Arial" w:hAnsi="Arial"/>
                <w:sz w:val="18"/>
                <w:szCs w:val="18"/>
                <w:color w:val="auto"/>
              </w:rPr>
              <w:t>September 1, 2020</w:t>
            </w:r>
          </w:p>
        </w:tc>
        <w:tc>
          <w:tcPr>
            <w:tcW w:w="520" w:type="dxa"/>
            <w:vAlign w:val="bottom"/>
          </w:tcPr>
          <w:p>
            <w:pPr>
              <w:ind w:left="60"/>
              <w:spacing w:after="0"/>
              <w:rPr>
                <w:sz w:val="20"/>
                <w:szCs w:val="20"/>
                <w:color w:val="auto"/>
              </w:rPr>
            </w:pPr>
            <w:r>
              <w:rPr>
                <w:rFonts w:ascii="Arial" w:cs="Arial" w:eastAsia="Arial" w:hAnsi="Arial"/>
                <w:sz w:val="18"/>
                <w:szCs w:val="18"/>
                <w:color w:val="auto"/>
                <w:w w:val="86"/>
              </w:rPr>
              <w:t>3.50%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500,000</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86"/>
              </w:rPr>
              <w:t>3.50%</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29, 2011</w:t>
            </w:r>
          </w:p>
        </w:tc>
        <w:tc>
          <w:tcPr>
            <w:tcW w:w="32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March 1, 2021</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4.46%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44,500,000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gridSpan w:val="4"/>
          </w:tcPr>
          <w:p>
            <w:pPr>
              <w:spacing w:after="0"/>
              <w:rPr>
                <w:sz w:val="20"/>
                <w:szCs w:val="20"/>
                <w:color w:val="auto"/>
              </w:rPr>
            </w:pPr>
            <w:r>
              <w:rPr>
                <w:rFonts w:ascii="Arial" w:cs="Arial" w:eastAsia="Arial" w:hAnsi="Arial"/>
                <w:sz w:val="18"/>
                <w:szCs w:val="18"/>
                <w:color w:val="auto"/>
              </w:rPr>
              <w:t>September 21, 2011</w:t>
            </w:r>
          </w:p>
        </w:tc>
        <w:tc>
          <w:tcPr>
            <w:tcW w:w="3220" w:type="dxa"/>
            <w:vAlign w:val="bottom"/>
            <w:gridSpan w:val="3"/>
          </w:tcPr>
          <w:p>
            <w:pPr>
              <w:ind w:left="340"/>
              <w:spacing w:after="0"/>
              <w:rPr>
                <w:sz w:val="20"/>
                <w:szCs w:val="20"/>
                <w:color w:val="auto"/>
              </w:rPr>
            </w:pPr>
            <w:r>
              <w:rPr>
                <w:rFonts w:ascii="Arial" w:cs="Arial" w:eastAsia="Arial" w:hAnsi="Arial"/>
                <w:sz w:val="18"/>
                <w:szCs w:val="18"/>
                <w:color w:val="auto"/>
              </w:rPr>
              <w:t>September 1, 2021</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6"/>
              </w:rPr>
              <w:t>3.38%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105,000,000</w:t>
            </w: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3.50%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0" w:type="dxa"/>
            <w:vAlign w:val="bottom"/>
            <w:gridSpan w:val="4"/>
          </w:tcPr>
          <w:p>
            <w:pPr>
              <w:spacing w:after="0"/>
              <w:rPr>
                <w:sz w:val="20"/>
                <w:szCs w:val="20"/>
                <w:color w:val="auto"/>
              </w:rPr>
            </w:pPr>
            <w:r>
              <w:rPr>
                <w:rFonts w:ascii="Arial" w:cs="Arial" w:eastAsia="Arial" w:hAnsi="Arial"/>
                <w:sz w:val="18"/>
                <w:szCs w:val="18"/>
                <w:b w:val="1"/>
                <w:bCs w:val="1"/>
                <w:color w:val="auto"/>
              </w:rPr>
              <w:t>Interim SBA Debentures</w:t>
            </w:r>
          </w:p>
        </w:tc>
        <w:tc>
          <w:tcPr>
            <w:tcW w:w="3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6"/>
              </w:rPr>
              <w:t>0.84%</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SBA Debentures</w:t>
            </w:r>
          </w:p>
        </w:tc>
        <w:tc>
          <w:tcPr>
            <w:tcW w:w="3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3.70%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150,000,000</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0.93%</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20" w:type="dxa"/>
            <w:vAlign w:val="bottom"/>
            <w:gridSpan w:val="5"/>
            <w:vMerge w:val="restart"/>
          </w:tcPr>
          <w:p>
            <w:pPr>
              <w:spacing w:after="0"/>
              <w:rPr>
                <w:sz w:val="20"/>
                <w:szCs w:val="20"/>
                <w:color w:val="auto"/>
              </w:rPr>
            </w:pPr>
            <w:r>
              <w:rPr>
                <w:rFonts w:ascii="Arial" w:cs="Arial" w:eastAsia="Arial" w:hAnsi="Arial"/>
                <w:sz w:val="18"/>
                <w:szCs w:val="18"/>
                <w:color w:val="auto"/>
              </w:rPr>
              <w:t>SBA Commitment</w:t>
            </w:r>
          </w:p>
        </w:tc>
        <w:tc>
          <w:tcPr>
            <w:tcW w:w="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20" w:type="dxa"/>
            <w:vAlign w:val="bottom"/>
            <w:gridSpan w:val="5"/>
            <w:vMerge w:val="continue"/>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150,000,000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33,500,000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Available Undrawn SBA Commitment</w:t>
            </w:r>
          </w:p>
        </w:tc>
        <w:tc>
          <w:tcPr>
            <w:tcW w:w="5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Excluding 3.43% of upfront fees.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Current SBA regulations limit the amount that SBIC LP may borrow to a maximum of $150 million, which is up to twice its potential regulatory capital. This means that SBIC LP may access the maximum borrowing if it has $75 million in regulatory capital. Under SBA regulations, SBIC LP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If our SBIC subsidiary fails to comply with applicable SBA regulations the SBA could, depending on the severity of the violation, limit or prohibit its use of debentures, declare outstanding debentures immediately due and payable and/or limit it from making new investments. These actions by the SBA would, in turn, negatively affect us because SBIC LP is wholly owned by us. As of September 30, 2011, SBIC LP was in compliance with our requirements relating to our SBA debentures.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June 1, 2011, we received exemptive relief from the SEC allowing us to modify the asset coverage requirement to exclude the SBA debentures from the calculation. Accordingly, our ratio of total assets on a consolidated basis to outstanding indebtedness may be less than 200%, which while providing increased investment flexibility, would also increase our exposure to risks associated with leverage.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net asset value may decline as a result of economic conditions in the United States. Our continued compliance with the covenants under our Credit Facility and SBA debentures depend on many factors, some of which are beyond our control. Material net asset devaluation could have a material adverse effect on our operations and could require us to reduce our borrowings under our Credit Facility and SBA debentures in order to comply with certain covenants including the ratio of total assets to total indebtedness.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400" w:right="2740"/>
        <w:spacing w:after="0" w:line="262"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2011</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60"/>
          </w:cols>
          <w:pgMar w:left="240" w:top="460" w:right="399" w:bottom="1440" w:gutter="0" w:footer="0" w:header="0"/>
        </w:sectPr>
      </w:pPr>
    </w:p>
    <w:bookmarkStart w:id="253" w:name="page254"/>
    <w:bookmarkEnd w:id="2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751840</wp:posOffset>
            </wp:positionV>
            <wp:extent cx="1629410" cy="3517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629410" cy="3517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300"/>
        <w:spacing w:after="0"/>
        <w:rPr>
          <w:sz w:val="20"/>
          <w:szCs w:val="20"/>
          <w:color w:val="auto"/>
        </w:rPr>
      </w:pPr>
      <w:r>
        <w:rPr>
          <w:rFonts w:ascii="Arial" w:cs="Arial" w:eastAsia="Arial" w:hAnsi="Arial"/>
          <w:sz w:val="32"/>
          <w:szCs w:val="32"/>
          <w:b w:val="1"/>
          <w:bCs w:val="1"/>
          <w:color w:val="auto"/>
        </w:rPr>
        <w:t>$</w:t>
      </w:r>
    </w:p>
    <w:p>
      <w:pPr>
        <w:spacing w:after="0" w:line="335" w:lineRule="exact"/>
        <w:rPr>
          <w:sz w:val="20"/>
          <w:szCs w:val="20"/>
          <w:color w:val="auto"/>
        </w:rPr>
      </w:pPr>
    </w:p>
    <w:p>
      <w:pPr>
        <w:ind w:left="4820" w:hanging="264"/>
        <w:spacing w:after="0"/>
        <w:tabs>
          <w:tab w:leader="none" w:pos="482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Senior Notes due 2025</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16" w:lineRule="exact"/>
        <w:rPr>
          <w:rFonts w:ascii="Arial" w:cs="Arial" w:eastAsia="Arial" w:hAnsi="Arial"/>
          <w:sz w:val="22"/>
          <w:szCs w:val="22"/>
          <w:b w:val="1"/>
          <w:bCs w:val="1"/>
          <w:color w:val="auto"/>
        </w:rPr>
      </w:pPr>
    </w:p>
    <w:p>
      <w:pPr>
        <w:ind w:left="4240"/>
        <w:spacing w:after="0"/>
        <w:rPr>
          <w:rFonts w:ascii="Arial" w:cs="Arial" w:eastAsia="Arial" w:hAnsi="Arial"/>
          <w:sz w:val="22"/>
          <w:szCs w:val="22"/>
          <w:b w:val="1"/>
          <w:bCs w:val="1"/>
          <w:color w:val="auto"/>
        </w:rPr>
      </w:pPr>
      <w:r>
        <w:rPr>
          <w:rFonts w:ascii="Arial" w:cs="Arial" w:eastAsia="Arial" w:hAnsi="Arial"/>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-247015</wp:posOffset>
            </wp:positionV>
            <wp:extent cx="40563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056380" cy="8890"/>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198755</wp:posOffset>
            </wp:positionV>
            <wp:extent cx="40563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Joint Bookrunners</w:t>
      </w:r>
    </w:p>
    <w:p>
      <w:pPr>
        <w:spacing w:after="0" w:line="98"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Stifel Nicolaus Weisel</w:t>
      </w:r>
    </w:p>
    <w:p>
      <w:pPr>
        <w:spacing w:after="0" w:line="71"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RBC Capital Markets</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Co-Managers</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Baird</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Credit Suisse</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Janney Montgomery Scott</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Ladenburg Thalmann &amp; Co. Inc.</w:t>
      </w:r>
    </w:p>
    <w:p>
      <w:pPr>
        <w:spacing w:after="0" w:line="1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Stephens Inc.</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Sterne Agee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100"/>
        <w:spacing w:after="0"/>
        <w:tabs>
          <w:tab w:leader="none" w:pos="5880" w:val="left"/>
        </w:tabs>
        <w:rPr>
          <w:sz w:val="20"/>
          <w:szCs w:val="20"/>
          <w:color w:val="auto"/>
        </w:rPr>
      </w:pPr>
      <w:r>
        <w:rPr>
          <w:rFonts w:ascii="Arial" w:cs="Arial" w:eastAsia="Arial" w:hAnsi="Arial"/>
          <w:sz w:val="18"/>
          <w:szCs w:val="18"/>
          <w:b w:val="1"/>
          <w:bCs w:val="1"/>
          <w:color w:val="auto"/>
        </w:rPr>
        <w:t>January</w:t>
      </w:r>
      <w:r>
        <w:rPr>
          <w:sz w:val="20"/>
          <w:szCs w:val="20"/>
          <w:color w:val="auto"/>
        </w:rPr>
        <w:tab/>
      </w:r>
      <w:r>
        <w:rPr>
          <w:rFonts w:ascii="Arial" w:cs="Arial" w:eastAsia="Arial" w:hAnsi="Arial"/>
          <w:sz w:val="15"/>
          <w:szCs w:val="15"/>
          <w:b w:val="1"/>
          <w:b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1"/>
      <w:numFmt w:val="lowerLetter"/>
      <w:start w:val="1"/>
    </w:lvl>
    <w:lvl w:ilvl="1">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1)"/>
      <w:numFmt w:val="decimal"/>
      <w:start w:val="1"/>
    </w:lvl>
  </w:abstractNum>
  <w:abstractNum w:abstractNumId="7">
    <w:nsid w:val="100F8FCA"/>
    <w:multiLevelType w:val="hybridMultilevel"/>
    <w:lvl w:ilvl="0">
      <w:lvlJc w:val="left"/>
      <w:lvlText w:val="(%1)"/>
      <w:numFmt w:val="decimal"/>
      <w:start w:val="1"/>
    </w:lvl>
  </w:abstractNum>
  <w:abstractNum w:abstractNumId="8">
    <w:nsid w:val="6590700B"/>
    <w:multiLevelType w:val="hybridMultilevel"/>
    <w:lvl w:ilvl="0">
      <w:lvlJc w:val="left"/>
      <w:lvlText w:val="(%1)"/>
      <w:numFmt w:val="decimal"/>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1)"/>
      <w:numFmt w:val="decimal"/>
      <w:start w:val="1"/>
    </w:lvl>
  </w:abstractNum>
  <w:abstractNum w:abstractNumId="12">
    <w:nsid w:val="799D0247"/>
    <w:multiLevelType w:val="hybridMultilevel"/>
    <w:lvl w:ilvl="0">
      <w:lvlJc w:val="left"/>
      <w:lvlText w:val="(%1)"/>
      <w:numFmt w:val="decimal"/>
      <w:start w:val="1"/>
    </w:lvl>
  </w:abstractNum>
  <w:abstractNum w:abstractNumId="13">
    <w:nsid w:val="6B94764"/>
    <w:multiLevelType w:val="hybridMultilevel"/>
    <w:lvl w:ilvl="0">
      <w:lvlJc w:val="left"/>
      <w:lvlText w:val="(%1)"/>
      <w:numFmt w:val="lowerLetter"/>
      <w:start w:val="1"/>
    </w:lvl>
  </w:abstractNum>
  <w:abstractNum w:abstractNumId="14">
    <w:nsid w:val="42C296BD"/>
    <w:multiLevelType w:val="hybridMultilevel"/>
    <w:lvl w:ilvl="0">
      <w:lvlJc w:val="left"/>
      <w:lvlText w:val="(%1)"/>
      <w:numFmt w:val="decimal"/>
      <w:start w:val="1"/>
    </w:lvl>
  </w:abstractNum>
  <w:abstractNum w:abstractNumId="15">
    <w:nsid w:val="168E121F"/>
    <w:multiLevelType w:val="hybridMultilevel"/>
    <w:lvl w:ilvl="0">
      <w:lvlJc w:val="left"/>
      <w:lvlText w:val="(%1)"/>
      <w:numFmt w:val="decimal"/>
      <w:start w:val="1"/>
    </w:lvl>
  </w:abstractNum>
  <w:abstractNum w:abstractNumId="16">
    <w:nsid w:val="1EBA5D23"/>
    <w:multiLevelType w:val="hybridMultilevel"/>
    <w:lvl w:ilvl="0">
      <w:lvlJc w:val="left"/>
      <w:lvlText w:val="(%1)"/>
      <w:numFmt w:val="decimal"/>
      <w:start w:val="1"/>
    </w:lvl>
  </w:abstractNum>
  <w:abstractNum w:abstractNumId="17">
    <w:nsid w:val="661E3F1E"/>
    <w:multiLevelType w:val="hybridMultilevel"/>
    <w:lvl w:ilvl="0">
      <w:lvlJc w:val="left"/>
      <w:lvlText w:val="(%1)"/>
      <w:numFmt w:val="decimal"/>
      <w:start w:val="1"/>
    </w:lvl>
  </w:abstractNum>
  <w:abstractNum w:abstractNumId="18">
    <w:nsid w:val="5DC79EA8"/>
    <w:multiLevelType w:val="hybridMultilevel"/>
    <w:lvl w:ilvl="0">
      <w:lvlJc w:val="left"/>
      <w:lvlText w:val="(%1)"/>
      <w:numFmt w:val="decimal"/>
      <w:start w:val="1"/>
    </w:lvl>
  </w:abstractNum>
  <w:abstractNum w:abstractNumId="19">
    <w:nsid w:val="540A471C"/>
    <w:multiLevelType w:val="hybridMultilevel"/>
    <w:lvl w:ilvl="0">
      <w:lvlJc w:val="left"/>
      <w:lvlText w:val="(%1)"/>
      <w:numFmt w:val="decimal"/>
      <w:start w:val="4"/>
    </w:lvl>
    <w:lvl w:ilvl="1">
      <w:lvlJc w:val="left"/>
      <w:lvlText w:val="(%2)"/>
      <w:numFmt w:val="lowerLetter"/>
      <w:start w:val="2"/>
    </w:lvl>
  </w:abstractNum>
  <w:abstractNum w:abstractNumId="20">
    <w:nsid w:val="7BD3EE7B"/>
    <w:multiLevelType w:val="hybridMultilevel"/>
    <w:lvl w:ilvl="0">
      <w:lvlJc w:val="left"/>
      <w:lvlText w:val="(%1)"/>
      <w:numFmt w:val="lowerLetter"/>
      <w:start w:val="3"/>
    </w:lvl>
  </w:abstractNum>
  <w:abstractNum w:abstractNumId="21">
    <w:nsid w:val="51D9C564"/>
    <w:multiLevelType w:val="hybridMultilevel"/>
    <w:lvl w:ilvl="0">
      <w:lvlJc w:val="left"/>
      <w:lvlText w:val="(%1)"/>
      <w:numFmt w:val="lowerLetter"/>
      <w:start w:val="4"/>
    </w:lvl>
  </w:abstractNum>
  <w:abstractNum w:abstractNumId="22">
    <w:nsid w:val="613EFDC5"/>
    <w:multiLevelType w:val="hybridMultilevel"/>
    <w:lvl w:ilvl="0">
      <w:lvlJc w:val="left"/>
      <w:lvlText w:val="(%1)"/>
      <w:numFmt w:val="lowerLetter"/>
      <w:start w:val="5"/>
    </w:lvl>
  </w:abstractNum>
  <w:abstractNum w:abstractNumId="23">
    <w:nsid w:val="BF72B14"/>
    <w:multiLevelType w:val="hybridMultilevel"/>
    <w:lvl w:ilvl="0">
      <w:lvlJc w:val="left"/>
      <w:lvlText w:val="(%1)"/>
      <w:numFmt w:val="decimal"/>
      <w:start w:val="1"/>
    </w:lvl>
  </w:abstractNum>
  <w:abstractNum w:abstractNumId="24">
    <w:nsid w:val="11447B73"/>
    <w:multiLevelType w:val="hybridMultilevel"/>
    <w:lvl w:ilvl="0">
      <w:lvlJc w:val="left"/>
      <w:lvlText w:val="(%1)"/>
      <w:numFmt w:val="decimal"/>
      <w:start w:val="1"/>
    </w:lvl>
  </w:abstractNum>
  <w:abstractNum w:abstractNumId="25">
    <w:nsid w:val="42963E5A"/>
    <w:multiLevelType w:val="hybridMultilevel"/>
    <w:lvl w:ilvl="0">
      <w:lvlJc w:val="left"/>
      <w:lvlText w:val="%1."/>
      <w:numFmt w:val="decimal"/>
      <w:start w:val="11"/>
    </w:lvl>
  </w:abstractNum>
  <w:abstractNum w:abstractNumId="26">
    <w:nsid w:val="A0382C5"/>
    <w:multiLevelType w:val="hybridMultilevel"/>
    <w:lvl w:ilvl="0">
      <w:lvlJc w:val="left"/>
      <w:lvlText w:val="(%1)"/>
      <w:numFmt w:val="decimal"/>
      <w:start w:val="1"/>
    </w:lvl>
  </w:abstractNum>
  <w:abstractNum w:abstractNumId="27">
    <w:nsid w:val="8F2B15E"/>
    <w:multiLevelType w:val="hybridMultilevel"/>
    <w:lvl w:ilvl="0">
      <w:lvlJc w:val="left"/>
      <w:lvlText w:val="(%1)"/>
      <w:numFmt w:val="decimal"/>
      <w:start w:val="7"/>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1)"/>
      <w:numFmt w:val="decimal"/>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
      <w:numFmt w:val="bullet"/>
      <w:start w:val="1"/>
    </w:lvl>
  </w:abstractNum>
  <w:abstractNum w:abstractNumId="42">
    <w:nsid w:val="94211F2"/>
    <w:multiLevelType w:val="hybridMultilevel"/>
    <w:lvl w:ilvl="0">
      <w:lvlJc w:val="left"/>
      <w:lvlText w:val="(%1)"/>
      <w:numFmt w:val="decimal"/>
      <w:start w:val="1"/>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1)"/>
      <w:numFmt w:val="decimal"/>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
      <w:numFmt w:val="bullet"/>
      <w:start w:val="1"/>
    </w:lvl>
  </w:abstractNum>
  <w:abstractNum w:abstractNumId="47">
    <w:nsid w:val="14E17E33"/>
    <w:multiLevelType w:val="hybridMultilevel"/>
    <w:lvl w:ilvl="0">
      <w:lvlJc w:val="left"/>
      <w:lvlText w:val="(%1)"/>
      <w:numFmt w:val="decimal"/>
      <w:start w:val="1"/>
    </w:lvl>
  </w:abstractNum>
  <w:abstractNum w:abstractNumId="48">
    <w:nsid w:val="3222E7CD"/>
    <w:multiLevelType w:val="hybridMultilevel"/>
    <w:lvl w:ilvl="0">
      <w:lvlJc w:val="left"/>
      <w:lvlText w:val="(%1)"/>
      <w:numFmt w:val="decimal"/>
      <w:start w:val="4"/>
    </w:lvl>
  </w:abstractNum>
  <w:abstractNum w:abstractNumId="49">
    <w:nsid w:val="74DE0EE3"/>
    <w:multiLevelType w:val="hybridMultilevel"/>
    <w:lvl w:ilvl="0">
      <w:lvlJc w:val="left"/>
      <w:lvlText w:val="(%1)"/>
      <w:numFmt w:val="decimal"/>
      <w:start w:val="1"/>
    </w:lvl>
  </w:abstractNum>
  <w:abstractNum w:abstractNumId="50">
    <w:nsid w:val="68EBC550"/>
    <w:multiLevelType w:val="hybridMultilevel"/>
    <w:lvl w:ilvl="0">
      <w:lvlJc w:val="left"/>
      <w:lvlText w:val="(%1)"/>
      <w:numFmt w:val="decimal"/>
      <w:start w:val="5"/>
    </w:lvl>
  </w:abstractNum>
  <w:abstractNum w:abstractNumId="51">
    <w:nsid w:val="2DF6D648"/>
    <w:multiLevelType w:val="hybridMultilevel"/>
    <w:lvl w:ilvl="0">
      <w:lvlJc w:val="left"/>
      <w:lvlText w:val="(%1)"/>
      <w:numFmt w:val="decimal"/>
      <w:start w:val="2"/>
    </w:lvl>
  </w:abstractNum>
  <w:abstractNum w:abstractNumId="52">
    <w:nsid w:val="46B7D447"/>
    <w:multiLevelType w:val="hybridMultilevel"/>
    <w:lvl w:ilvl="0">
      <w:lvlJc w:val="left"/>
      <w:lvlText w:val="(%1)"/>
      <w:numFmt w:val="upperLetter"/>
      <w:start w:val="2"/>
    </w:lvl>
  </w:abstractNum>
  <w:abstractNum w:abstractNumId="53">
    <w:nsid w:val="4A2AC315"/>
    <w:multiLevelType w:val="hybridMultilevel"/>
    <w:lvl w:ilvl="0">
      <w:lvlJc w:val="left"/>
      <w:lvlText w:val="(%1)"/>
      <w:numFmt w:val="decimal"/>
      <w:start w:val="1"/>
    </w:lvl>
  </w:abstractNum>
  <w:abstractNum w:abstractNumId="54">
    <w:nsid w:val="39EE015C"/>
    <w:multiLevelType w:val="hybridMultilevel"/>
    <w:lvl w:ilvl="0">
      <w:lvlJc w:val="left"/>
      <w:lvlText w:val="(%1)"/>
      <w:numFmt w:val="decimal"/>
      <w:start w:val="3"/>
    </w:lvl>
  </w:abstractNum>
  <w:abstractNum w:abstractNumId="55">
    <w:nsid w:val="57FC4FBB"/>
    <w:multiLevelType w:val="hybridMultilevel"/>
    <w:lvl w:ilvl="0">
      <w:lvlJc w:val="left"/>
      <w:lvlText w:val="(%1)"/>
      <w:numFmt w:val="decimal"/>
      <w:start w:val="1"/>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
      <w:numFmt w:val="bullet"/>
      <w:start w:val="1"/>
    </w:lvl>
  </w:abstractNum>
  <w:abstractNum w:abstractNumId="58">
    <w:nsid w:val="60EF0119"/>
    <w:multiLevelType w:val="hybridMultilevel"/>
    <w:lvl w:ilvl="0">
      <w:lvlJc w:val="left"/>
      <w:lvlText w:val="•"/>
      <w:numFmt w:val="bullet"/>
      <w:start w:val="1"/>
    </w:lvl>
  </w:abstractNum>
  <w:abstractNum w:abstractNumId="59">
    <w:nsid w:val="26F324BA"/>
    <w:multiLevelType w:val="hybridMultilevel"/>
    <w:lvl w:ilvl="0">
      <w:lvlJc w:val="left"/>
      <w:lvlText w:val="•"/>
      <w:numFmt w:val="bullet"/>
      <w:start w:val="1"/>
    </w:lvl>
  </w:abstractNum>
  <w:abstractNum w:abstractNumId="60">
    <w:nsid w:val="7F01579B"/>
    <w:multiLevelType w:val="hybridMultilevel"/>
    <w:lvl w:ilvl="0">
      <w:lvlJc w:val="left"/>
      <w:lvlText w:val="(%1)"/>
      <w:numFmt w:val="decimal"/>
      <w:start w:val="1"/>
    </w:lvl>
  </w:abstractNum>
  <w:abstractNum w:abstractNumId="61">
    <w:nsid w:val="49DA307D"/>
    <w:multiLevelType w:val="hybridMultilevel"/>
    <w:lvl w:ilvl="0">
      <w:lvlJc w:val="left"/>
      <w:lvlText w:val="(%1)"/>
      <w:numFmt w:val="decimal"/>
      <w:start w:val="1"/>
    </w:lvl>
  </w:abstractNum>
  <w:abstractNum w:abstractNumId="62">
    <w:nsid w:val="7055A5F5"/>
    <w:multiLevelType w:val="hybridMultilevel"/>
    <w:lvl w:ilvl="0">
      <w:lvlJc w:val="left"/>
      <w:lvlText w:val="•"/>
      <w:numFmt w:val="bullet"/>
      <w:start w:val="1"/>
    </w:lvl>
  </w:abstractNum>
  <w:abstractNum w:abstractNumId="63">
    <w:nsid w:val="5FB8370B"/>
    <w:multiLevelType w:val="hybridMultilevel"/>
    <w:lvl w:ilvl="0">
      <w:lvlJc w:val="left"/>
      <w:lvlText w:val="%1)"/>
      <w:numFmt w:val="lowerLetter"/>
      <w:start w:val="2"/>
    </w:lvl>
    <w:lvl w:ilvl="1">
      <w:lvlJc w:val="left"/>
      <w:lvlText w:val="•"/>
      <w:numFmt w:val="bullet"/>
      <w:start w:val="1"/>
    </w:lvl>
  </w:abstractNum>
  <w:abstractNum w:abstractNumId="64">
    <w:nsid w:val="50801EE1"/>
    <w:multiLevelType w:val="hybridMultilevel"/>
    <w:lvl w:ilvl="0">
      <w:lvlJc w:val="left"/>
      <w:lvlText w:val="•"/>
      <w:numFmt w:val="bullet"/>
      <w:start w:val="1"/>
    </w:lvl>
  </w:abstractNum>
  <w:abstractNum w:abstractNumId="65">
    <w:nsid w:val="488AC1A"/>
    <w:multiLevelType w:val="hybridMultilevel"/>
    <w:lvl w:ilvl="0">
      <w:lvlJc w:val="left"/>
      <w:lvlText w:val="•"/>
      <w:numFmt w:val="bullet"/>
      <w:start w:val="1"/>
    </w:lvl>
  </w:abstractNum>
  <w:abstractNum w:abstractNumId="66">
    <w:nsid w:val="5FB8011C"/>
    <w:multiLevelType w:val="hybridMultilevel"/>
    <w:lvl w:ilvl="0">
      <w:lvlJc w:val="left"/>
      <w:lvlText w:val="•"/>
      <w:numFmt w:val="bullet"/>
      <w:start w:val="1"/>
    </w:lvl>
  </w:abstractNum>
  <w:abstractNum w:abstractNumId="67">
    <w:nsid w:val="6AA78F7F"/>
    <w:multiLevelType w:val="hybridMultilevel"/>
    <w:lvl w:ilvl="0">
      <w:lvlJc w:val="left"/>
      <w:lvlText w:val="•"/>
      <w:numFmt w:val="bullet"/>
      <w:start w:val="1"/>
    </w:lvl>
  </w:abstractNum>
  <w:abstractNum w:abstractNumId="68">
    <w:nsid w:val="7672BD23"/>
    <w:multiLevelType w:val="hybridMultilevel"/>
    <w:lvl w:ilvl="0">
      <w:lvlJc w:val="left"/>
      <w:lvlText w:val="•"/>
      <w:numFmt w:val="bullet"/>
      <w:start w:val="1"/>
    </w:lvl>
  </w:abstractNum>
  <w:abstractNum w:abstractNumId="69">
    <w:nsid w:val="6FC75AF8"/>
    <w:multiLevelType w:val="hybridMultilevel"/>
    <w:lvl w:ilvl="0">
      <w:lvlJc w:val="left"/>
      <w:lvlText w:val="•"/>
      <w:numFmt w:val="bullet"/>
      <w:start w:val="1"/>
    </w:lvl>
  </w:abstractNum>
  <w:abstractNum w:abstractNumId="70">
    <w:nsid w:val="6A5F7029"/>
    <w:multiLevelType w:val="hybridMultilevel"/>
    <w:lvl w:ilvl="0">
      <w:lvlJc w:val="left"/>
      <w:lvlText w:val="(%1)"/>
      <w:numFmt w:val="decimal"/>
      <w:start w:val="1"/>
    </w:lvl>
  </w:abstractNum>
  <w:abstractNum w:abstractNumId="71">
    <w:nsid w:val="7D5E18F8"/>
    <w:multiLevelType w:val="hybridMultilevel"/>
    <w:lvl w:ilvl="0">
      <w:lvlJc w:val="left"/>
      <w:lvlText w:val="(%1)"/>
      <w:numFmt w:val="decimal"/>
      <w:start w:val="1"/>
    </w:lvl>
  </w:abstractNum>
  <w:abstractNum w:abstractNumId="72">
    <w:nsid w:val="5F3534A4"/>
    <w:multiLevelType w:val="hybridMultilevel"/>
    <w:lvl w:ilvl="0">
      <w:lvlJc w:val="left"/>
      <w:lvlText w:val="(%1)"/>
      <w:numFmt w:val="decimal"/>
      <w:start w:val="1"/>
    </w:lvl>
  </w:abstractNum>
  <w:abstractNum w:abstractNumId="73">
    <w:nsid w:val="73A1821B"/>
    <w:multiLevelType w:val="hybridMultilevel"/>
    <w:lvl w:ilvl="0">
      <w:lvlJc w:val="left"/>
      <w:lvlText w:val="*"/>
      <w:numFmt w:val="bullet"/>
      <w:start w:val="1"/>
    </w:lvl>
  </w:abstractNum>
  <w:abstractNum w:abstractNumId="74">
    <w:nsid w:val="7DE67713"/>
    <w:multiLevelType w:val="hybridMultilevel"/>
    <w:lvl w:ilvl="0">
      <w:lvlJc w:val="left"/>
      <w:lvlText w:val="(%1)"/>
      <w:numFmt w:val="decimal"/>
      <w:start w:val="1"/>
    </w:lvl>
  </w:abstractNum>
  <w:abstractNum w:abstractNumId="75">
    <w:nsid w:val="555C55B5"/>
    <w:multiLevelType w:val="hybridMultilevel"/>
    <w:lvl w:ilvl="0">
      <w:lvlJc w:val="left"/>
      <w:lvlText w:val="•"/>
      <w:numFmt w:val="bullet"/>
      <w:start w:val="1"/>
    </w:lvl>
  </w:abstractNum>
  <w:abstractNum w:abstractNumId="76">
    <w:nsid w:val="3FA62ACA"/>
    <w:multiLevelType w:val="hybridMultilevel"/>
    <w:lvl w:ilvl="0">
      <w:lvlJc w:val="left"/>
      <w:lvlText w:val="="/>
      <w:numFmt w:val="bullet"/>
      <w:start w:val="1"/>
    </w:lvl>
  </w:abstractNum>
  <w:abstractNum w:abstractNumId="77">
    <w:nsid w:val="14FCE74E"/>
    <w:multiLevelType w:val="hybridMultilevel"/>
    <w:lvl w:ilvl="0">
      <w:lvlJc w:val="left"/>
      <w:lvlText w:val="(*)"/>
      <w:numFmt w:val="bullet"/>
      <w:start w:val="1"/>
    </w:lvl>
    <w:lvl w:ilvl="1">
      <w:lvlJc w:val="left"/>
      <w:lvlText w:val="="/>
      <w:numFmt w:val="bullet"/>
      <w:start w:val="1"/>
    </w:lvl>
  </w:abstractNum>
  <w:abstractNum w:abstractNumId="78">
    <w:nsid w:val="6A3DD3E8"/>
    <w:multiLevelType w:val="hybridMultilevel"/>
    <w:lvl w:ilvl="0">
      <w:lvlJc w:val="left"/>
      <w:lvlText w:val="(%1)"/>
      <w:numFmt w:val="decimal"/>
      <w:start w:val="1"/>
    </w:lvl>
  </w:abstractNum>
  <w:abstractNum w:abstractNumId="79">
    <w:nsid w:val="71C91298"/>
    <w:multiLevelType w:val="hybridMultilevel"/>
    <w:lvl w:ilvl="0">
      <w:lvlJc w:val="left"/>
      <w:lvlText w:val="(%1)"/>
      <w:numFmt w:val="decimal"/>
      <w:start w:val="1"/>
    </w:lvl>
  </w:abstractNum>
  <w:abstractNum w:abstractNumId="80">
    <w:nsid w:val="9DAF632"/>
    <w:multiLevelType w:val="hybridMultilevel"/>
    <w:lvl w:ilvl="0">
      <w:lvlJc w:val="left"/>
      <w:lvlText w:val="•"/>
      <w:numFmt w:val="bullet"/>
      <w:start w:val="1"/>
    </w:lvl>
  </w:abstractNum>
  <w:abstractNum w:abstractNumId="81">
    <w:nsid w:val="53299938"/>
    <w:multiLevelType w:val="hybridMultilevel"/>
    <w:lvl w:ilvl="0">
      <w:lvlJc w:val="left"/>
      <w:lvlText w:val="•"/>
      <w:numFmt w:val="bullet"/>
      <w:start w:val="1"/>
    </w:lvl>
  </w:abstractNum>
  <w:abstractNum w:abstractNumId="82">
    <w:nsid w:val="1FBFE8E0"/>
    <w:multiLevelType w:val="hybridMultilevel"/>
    <w:lvl w:ilvl="0">
      <w:lvlJc w:val="left"/>
      <w:lvlText w:val="•"/>
      <w:numFmt w:val="bullet"/>
      <w:start w:val="1"/>
    </w:lvl>
  </w:abstractNum>
  <w:abstractNum w:abstractNumId="83">
    <w:nsid w:val="5092CA79"/>
    <w:multiLevelType w:val="hybridMultilevel"/>
    <w:lvl w:ilvl="0">
      <w:lvlJc w:val="left"/>
      <w:lvlText w:val="•"/>
      <w:numFmt w:val="bullet"/>
      <w:start w:val="1"/>
    </w:lvl>
  </w:abstractNum>
  <w:abstractNum w:abstractNumId="84">
    <w:nsid w:val="1D545C4D"/>
    <w:multiLevelType w:val="hybridMultilevel"/>
    <w:lvl w:ilvl="0">
      <w:lvlJc w:val="left"/>
      <w:lvlText w:val="•"/>
      <w:numFmt w:val="bullet"/>
      <w:start w:val="1"/>
    </w:lvl>
  </w:abstractNum>
  <w:abstractNum w:abstractNumId="85">
    <w:nsid w:val="59ADEA3D"/>
    <w:multiLevelType w:val="hybridMultilevel"/>
    <w:lvl w:ilvl="0">
      <w:lvlJc w:val="left"/>
      <w:lvlText w:val="•"/>
      <w:numFmt w:val="bullet"/>
      <w:start w:val="1"/>
    </w:lvl>
  </w:abstractNum>
  <w:abstractNum w:abstractNumId="86">
    <w:nsid w:val="288F1A34"/>
    <w:multiLevelType w:val="hybridMultilevel"/>
    <w:lvl w:ilvl="0">
      <w:lvlJc w:val="left"/>
      <w:lvlText w:val="•"/>
      <w:numFmt w:val="bullet"/>
      <w:start w:val="1"/>
    </w:lvl>
  </w:abstractNum>
  <w:abstractNum w:abstractNumId="87">
    <w:nsid w:val="2A155DBC"/>
    <w:multiLevelType w:val="hybridMultilevel"/>
    <w:lvl w:ilvl="0">
      <w:lvlJc w:val="left"/>
      <w:lvlText w:val="•"/>
      <w:numFmt w:val="bullet"/>
      <w:start w:val="1"/>
    </w:lvl>
  </w:abstractNum>
  <w:abstractNum w:abstractNumId="88">
    <w:nsid w:val="1D9F6E5F"/>
    <w:multiLevelType w:val="hybridMultilevel"/>
    <w:lvl w:ilvl="0">
      <w:lvlJc w:val="left"/>
      <w:lvlText w:val="•"/>
      <w:numFmt w:val="bullet"/>
      <w:start w:val="1"/>
    </w:lvl>
  </w:abstractNum>
  <w:abstractNum w:abstractNumId="89">
    <w:nsid w:val="97E1B4E"/>
    <w:multiLevelType w:val="hybridMultilevel"/>
    <w:lvl w:ilvl="0">
      <w:lvlJc w:val="left"/>
      <w:lvlText w:val="•"/>
      <w:numFmt w:val="bullet"/>
      <w:start w:val="1"/>
    </w:lvl>
  </w:abstractNum>
  <w:abstractNum w:abstractNumId="90">
    <w:nsid w:val="51088277"/>
    <w:multiLevelType w:val="hybridMultilevel"/>
    <w:lvl w:ilvl="0">
      <w:lvlJc w:val="left"/>
      <w:lvlText w:val="•"/>
      <w:numFmt w:val="bullet"/>
      <w:start w:val="1"/>
    </w:lvl>
  </w:abstractNum>
  <w:abstractNum w:abstractNumId="91">
    <w:nsid w:val="1CA0C5FA"/>
    <w:multiLevelType w:val="hybridMultilevel"/>
    <w:lvl w:ilvl="0">
      <w:lvlJc w:val="left"/>
      <w:lvlText w:val="•"/>
      <w:numFmt w:val="bullet"/>
      <w:start w:val="1"/>
    </w:lvl>
  </w:abstractNum>
  <w:abstractNum w:abstractNumId="92">
    <w:nsid w:val="53584BCB"/>
    <w:multiLevelType w:val="hybridMultilevel"/>
    <w:lvl w:ilvl="0">
      <w:lvlJc w:val="left"/>
      <w:lvlText w:val="•"/>
      <w:numFmt w:val="bullet"/>
      <w:start w:val="1"/>
    </w:lvl>
  </w:abstractNum>
  <w:abstractNum w:abstractNumId="93">
    <w:nsid w:val="415E286C"/>
    <w:multiLevelType w:val="hybridMultilevel"/>
    <w:lvl w:ilvl="0">
      <w:lvlJc w:val="left"/>
      <w:lvlText w:val="•"/>
      <w:numFmt w:val="bullet"/>
      <w:start w:val="1"/>
    </w:lvl>
  </w:abstractNum>
  <w:abstractNum w:abstractNumId="94">
    <w:nsid w:val="7C58FD05"/>
    <w:multiLevelType w:val="hybridMultilevel"/>
    <w:lvl w:ilvl="0">
      <w:lvlJc w:val="left"/>
      <w:lvlText w:val="•"/>
      <w:numFmt w:val="bullet"/>
      <w:start w:val="1"/>
    </w:lvl>
  </w:abstractNum>
  <w:abstractNum w:abstractNumId="95">
    <w:nsid w:val="23D86AAC"/>
    <w:multiLevelType w:val="hybridMultilevel"/>
    <w:lvl w:ilvl="0">
      <w:lvlJc w:val="left"/>
      <w:lvlText w:val="•"/>
      <w:numFmt w:val="bullet"/>
      <w:start w:val="1"/>
    </w:lvl>
  </w:abstractNum>
  <w:abstractNum w:abstractNumId="96">
    <w:nsid w:val="45E6D486"/>
    <w:multiLevelType w:val="hybridMultilevel"/>
    <w:lvl w:ilvl="0">
      <w:lvlJc w:val="left"/>
      <w:lvlText w:val="•"/>
      <w:numFmt w:val="bullet"/>
      <w:start w:val="1"/>
    </w:lvl>
  </w:abstractNum>
  <w:abstractNum w:abstractNumId="97">
    <w:nsid w:val="5C10FE21"/>
    <w:multiLevelType w:val="hybridMultilevel"/>
    <w:lvl w:ilvl="0">
      <w:lvlJc w:val="left"/>
      <w:lvlText w:val="•"/>
      <w:numFmt w:val="bullet"/>
      <w:start w:val="1"/>
    </w:lvl>
  </w:abstractNum>
  <w:abstractNum w:abstractNumId="98">
    <w:nsid w:val="E7FFA2B"/>
    <w:multiLevelType w:val="hybridMultilevel"/>
    <w:lvl w:ilvl="0">
      <w:lvlJc w:val="left"/>
      <w:lvlText w:val="•"/>
      <w:numFmt w:val="bullet"/>
      <w:start w:val="1"/>
    </w:lvl>
  </w:abstractNum>
  <w:abstractNum w:abstractNumId="99">
    <w:nsid w:val="3C5991AA"/>
    <w:multiLevelType w:val="hybridMultilevel"/>
    <w:lvl w:ilvl="0">
      <w:lvlJc w:val="left"/>
      <w:lvlText w:val="•"/>
      <w:numFmt w:val="bullet"/>
      <w:start w:val="1"/>
    </w:lvl>
  </w:abstractNum>
  <w:abstractNum w:abstractNumId="100">
    <w:nsid w:val="4BD8591A"/>
    <w:multiLevelType w:val="hybridMultilevel"/>
    <w:lvl w:ilvl="0">
      <w:lvlJc w:val="left"/>
      <w:lvlText w:val="•"/>
      <w:numFmt w:val="bullet"/>
      <w:start w:val="1"/>
    </w:lvl>
  </w:abstractNum>
  <w:abstractNum w:abstractNumId="101">
    <w:nsid w:val="78DF6A55"/>
    <w:multiLevelType w:val="hybridMultilevel"/>
    <w:lvl w:ilvl="0">
      <w:lvlJc w:val="left"/>
      <w:lvlText w:val="•"/>
      <w:numFmt w:val="bullet"/>
      <w:start w:val="1"/>
    </w:lvl>
  </w:abstractNum>
  <w:abstractNum w:abstractNumId="102">
    <w:nsid w:val="39B7AAA2"/>
    <w:multiLevelType w:val="hybridMultilevel"/>
    <w:lvl w:ilvl="0">
      <w:lvlJc w:val="left"/>
      <w:lvlText w:val="•"/>
      <w:numFmt w:val="bullet"/>
      <w:start w:val="1"/>
    </w:lvl>
  </w:abstractNum>
  <w:abstractNum w:abstractNumId="103">
    <w:nsid w:val="2B0D8DBE"/>
    <w:multiLevelType w:val="hybridMultilevel"/>
    <w:lvl w:ilvl="0">
      <w:lvlJc w:val="left"/>
      <w:lvlText w:val="•"/>
      <w:numFmt w:val="bullet"/>
      <w:start w:val="1"/>
    </w:lvl>
  </w:abstractNum>
  <w:abstractNum w:abstractNumId="104">
    <w:nsid w:val="6C80EC70"/>
    <w:multiLevelType w:val="hybridMultilevel"/>
    <w:lvl w:ilvl="0">
      <w:lvlJc w:val="left"/>
      <w:lvlText w:val="•"/>
      <w:numFmt w:val="bullet"/>
      <w:start w:val="1"/>
    </w:lvl>
  </w:abstractNum>
  <w:abstractNum w:abstractNumId="105">
    <w:nsid w:val="379E21B5"/>
    <w:multiLevelType w:val="hybridMultilevel"/>
    <w:lvl w:ilvl="0">
      <w:lvlJc w:val="left"/>
      <w:lvlText w:val="•"/>
      <w:numFmt w:val="bullet"/>
      <w:start w:val="1"/>
    </w:lvl>
  </w:abstractNum>
  <w:abstractNum w:abstractNumId="106">
    <w:nsid w:val="69E373"/>
    <w:multiLevelType w:val="hybridMultilevel"/>
    <w:lvl w:ilvl="0">
      <w:lvlJc w:val="left"/>
      <w:lvlText w:val="(%1)"/>
      <w:numFmt w:val="decimal"/>
      <w:start w:val="1"/>
    </w:lvl>
    <w:lvl w:ilvl="1">
      <w:lvlJc w:val="left"/>
      <w:lvlText w:val="(%2)"/>
      <w:numFmt w:val="lowerLetter"/>
      <w:start w:val="1"/>
    </w:lvl>
  </w:abstractNum>
  <w:abstractNum w:abstractNumId="107">
    <w:nsid w:val="2C27173B"/>
    <w:multiLevelType w:val="hybridMultilevel"/>
    <w:lvl w:ilvl="0">
      <w:lvlJc w:val="left"/>
      <w:lvlText w:val="(%1)"/>
      <w:numFmt w:val="decimal"/>
      <w:start w:val="4"/>
    </w:lvl>
  </w:abstractNum>
  <w:abstractNum w:abstractNumId="108">
    <w:nsid w:val="4C9B0904"/>
    <w:multiLevelType w:val="hybridMultilevel"/>
    <w:lvl w:ilvl="0">
      <w:lvlJc w:val="left"/>
      <w:lvlText w:val="•"/>
      <w:numFmt w:val="bullet"/>
      <w:start w:val="1"/>
    </w:lvl>
  </w:abstractNum>
  <w:abstractNum w:abstractNumId="109">
    <w:nsid w:val="6AA7B75C"/>
    <w:multiLevelType w:val="hybridMultilevel"/>
    <w:lvl w:ilvl="0">
      <w:lvlJc w:val="left"/>
      <w:lvlText w:val="•"/>
      <w:numFmt w:val="bullet"/>
      <w:start w:val="1"/>
    </w:lvl>
  </w:abstractNum>
  <w:abstractNum w:abstractNumId="110">
    <w:nsid w:val="1DF029D3"/>
    <w:multiLevelType w:val="hybridMultilevel"/>
    <w:lvl w:ilvl="0">
      <w:lvlJc w:val="left"/>
      <w:lvlText w:val="•"/>
      <w:numFmt w:val="bullet"/>
      <w:start w:val="1"/>
    </w:lvl>
  </w:abstractNum>
  <w:abstractNum w:abstractNumId="111">
    <w:nsid w:val="5675FF36"/>
    <w:multiLevelType w:val="hybridMultilevel"/>
    <w:lvl w:ilvl="0">
      <w:lvlJc w:val="left"/>
      <w:lvlText w:val="(%1)"/>
      <w:numFmt w:val="decimal"/>
      <w:start w:val="1"/>
    </w:lvl>
  </w:abstractNum>
  <w:abstractNum w:abstractNumId="112">
    <w:nsid w:val="3DD15094"/>
    <w:multiLevelType w:val="hybridMultilevel"/>
    <w:lvl w:ilvl="0">
      <w:lvlJc w:val="left"/>
      <w:lvlText w:val="•"/>
      <w:numFmt w:val="bullet"/>
      <w:start w:val="1"/>
    </w:lvl>
    <w:lvl w:ilvl="1">
      <w:lvlJc w:val="left"/>
      <w:lvlText w:val="%2)"/>
      <w:numFmt w:val="decimal"/>
      <w:start w:val="1"/>
    </w:lvl>
  </w:abstractNum>
  <w:abstractNum w:abstractNumId="113">
    <w:nsid w:val="3DB012B3"/>
    <w:multiLevelType w:val="hybridMultilevel"/>
    <w:lvl w:ilvl="0">
      <w:lvlJc w:val="left"/>
      <w:lvlText w:val="(%1)"/>
      <w:numFmt w:val="decimal"/>
      <w:start w:val="3"/>
    </w:lvl>
  </w:abstractNum>
  <w:abstractNum w:abstractNumId="114">
    <w:nsid w:val="2708C9AF"/>
    <w:multiLevelType w:val="hybridMultilevel"/>
    <w:lvl w:ilvl="0">
      <w:lvlJc w:val="left"/>
      <w:lvlText w:val="•"/>
      <w:numFmt w:val="bullet"/>
      <w:start w:val="1"/>
    </w:lvl>
  </w:abstractNum>
  <w:abstractNum w:abstractNumId="115">
    <w:nsid w:val="5B25ACE2"/>
    <w:multiLevelType w:val="hybridMultilevel"/>
    <w:lvl w:ilvl="0">
      <w:lvlJc w:val="left"/>
      <w:lvlText w:val="(%1)"/>
      <w:numFmt w:val="decimal"/>
      <w:start w:val="1"/>
    </w:lvl>
  </w:abstractNum>
  <w:abstractNum w:abstractNumId="116">
    <w:nsid w:val="175DFCF0"/>
    <w:multiLevelType w:val="hybridMultilevel"/>
    <w:lvl w:ilvl="0">
      <w:lvlJc w:val="left"/>
      <w:lvlText w:val="(%1)"/>
      <w:numFmt w:val="decimal"/>
      <w:start w:val="1"/>
    </w:lvl>
  </w:abstractNum>
  <w:abstractNum w:abstractNumId="117">
    <w:nsid w:val="4F97E3E4"/>
    <w:multiLevelType w:val="hybridMultilevel"/>
    <w:lvl w:ilvl="0">
      <w:lvlJc w:val="left"/>
      <w:lvlText w:val="(%1)"/>
      <w:numFmt w:val="lowerLetter"/>
      <w:start w:val="1"/>
    </w:lvl>
  </w:abstractNum>
  <w:abstractNum w:abstractNumId="118">
    <w:nsid w:val="53B0A9E"/>
    <w:multiLevelType w:val="hybridMultilevel"/>
    <w:lvl w:ilvl="0">
      <w:lvlJc w:val="left"/>
      <w:lvlText w:val="(%1)"/>
      <w:numFmt w:val="decimal"/>
      <w:start w:val="1"/>
    </w:lvl>
  </w:abstractNum>
  <w:abstractNum w:abstractNumId="119">
    <w:nsid w:val="34FD6B4F"/>
    <w:multiLevelType w:val="hybridMultilevel"/>
    <w:lvl w:ilvl="0">
      <w:lvlJc w:val="left"/>
      <w:lvlText w:val="(%1)"/>
      <w:numFmt w:val="decimal"/>
      <w:start w:val="4"/>
    </w:lvl>
  </w:abstractNum>
  <w:abstractNum w:abstractNumId="120">
    <w:nsid w:val="5915FF32"/>
    <w:multiLevelType w:val="hybridMultilevel"/>
    <w:lvl w:ilvl="0">
      <w:lvlJc w:val="left"/>
      <w:lvlText w:val="(%1)"/>
      <w:numFmt w:val="lowerLetter"/>
      <w:start w:val="2"/>
    </w:lvl>
  </w:abstractNum>
  <w:abstractNum w:abstractNumId="121">
    <w:nsid w:val="56438D15"/>
    <w:multiLevelType w:val="hybridMultilevel"/>
    <w:lvl w:ilvl="0">
      <w:lvlJc w:val="left"/>
      <w:lvlText w:val="(%1)"/>
      <w:numFmt w:val="lowerLetter"/>
      <w:start w:val="3"/>
    </w:lvl>
  </w:abstractNum>
  <w:abstractNum w:abstractNumId="122">
    <w:nsid w:val="519E3149"/>
    <w:multiLevelType w:val="hybridMultilevel"/>
    <w:lvl w:ilvl="0">
      <w:lvlJc w:val="left"/>
      <w:lvlText w:val="(%1)"/>
      <w:numFmt w:val="lowerLetter"/>
      <w:start w:val="4"/>
    </w:lvl>
  </w:abstractNum>
  <w:abstractNum w:abstractNumId="123">
    <w:nsid w:val="2C6E4AFD"/>
    <w:multiLevelType w:val="hybridMultilevel"/>
    <w:lvl w:ilvl="0">
      <w:lvlJc w:val="left"/>
      <w:lvlText w:val="(%1)"/>
      <w:numFmt w:val="lowerLetter"/>
      <w:start w:val="5"/>
    </w:lvl>
  </w:abstractNum>
  <w:abstractNum w:abstractNumId="124">
    <w:nsid w:val="17A1B582"/>
    <w:multiLevelType w:val="hybridMultilevel"/>
    <w:lvl w:ilvl="0">
      <w:lvlJc w:val="left"/>
      <w:lvlText w:val="(%1)"/>
      <w:numFmt w:val="lowerLetter"/>
      <w:start w:val="6"/>
    </w:lvl>
  </w:abstractNum>
  <w:abstractNum w:abstractNumId="125">
    <w:nsid w:val="4DF72E4E"/>
    <w:multiLevelType w:val="hybridMultilevel"/>
    <w:lvl w:ilvl="0">
      <w:lvlJc w:val="left"/>
      <w:lvlText w:val="(%1)"/>
      <w:numFmt w:val="decimal"/>
      <w:start w:val="1"/>
    </w:lvl>
  </w:abstractNum>
  <w:abstractNum w:abstractNumId="126">
    <w:nsid w:val="5046B5A9"/>
    <w:multiLevelType w:val="hybridMultilevel"/>
    <w:lvl w:ilvl="0">
      <w:lvlJc w:val="left"/>
      <w:lvlText w:val="(%1)"/>
      <w:numFmt w:val="decimal"/>
      <w:start w:val="1"/>
    </w:lvl>
  </w:abstractNum>
  <w:abstractNum w:abstractNumId="127">
    <w:nsid w:val="5D888A08"/>
    <w:multiLevelType w:val="hybridMultilevel"/>
    <w:lvl w:ilvl="0">
      <w:lvlJc w:val="left"/>
      <w:lvlText w:val="%1."/>
      <w:numFmt w:val="decimal"/>
      <w:start w:val="11"/>
    </w:lvl>
  </w:abstractNum>
  <w:abstractNum w:abstractNumId="128">
    <w:nsid w:val="2A082C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2019-12-07T15:12:44Z</dcterms:created>
  <dcterms:modified xsi:type="dcterms:W3CDTF">2019-12-07T15:12:44Z</dcterms:modified>
</cp:coreProperties>
</file>