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April 14,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14, 2021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30,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Notes due 2026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14, 2021</w:t>
      </w:r>
    </w:p>
    <w:p>
      <w:pPr>
        <w:spacing w:after="0" w:line="211" w:lineRule="exact"/>
        <w:rPr>
          <w:sz w:val="24"/>
          <w:szCs w:val="24"/>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4.50% Notes due 2026 and should only be read together with the preliminary prospectus supplement dated April 14, 2021, together with the accompanying prospectus dated January 30,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8"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PennantPark Investment Corporation (“PNNT”)</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4.50% Notes due 2026</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Rating (Egan-Jones)*:</w:t>
      </w:r>
      <w:r>
        <w:rPr>
          <w:sz w:val="20"/>
          <w:szCs w:val="20"/>
          <w:color w:val="auto"/>
        </w:rPr>
        <w:tab/>
      </w:r>
      <w:r>
        <w:rPr>
          <w:rFonts w:ascii="Arial" w:cs="Arial" w:eastAsia="Arial" w:hAnsi="Arial"/>
          <w:sz w:val="17"/>
          <w:szCs w:val="17"/>
          <w:color w:val="auto"/>
        </w:rPr>
        <w:t>BBB</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Aggregate Principal Amount Offered:</w:t>
      </w:r>
      <w:r>
        <w:rPr>
          <w:sz w:val="20"/>
          <w:szCs w:val="20"/>
          <w:color w:val="auto"/>
        </w:rPr>
        <w:tab/>
      </w:r>
      <w:r>
        <w:rPr>
          <w:rFonts w:ascii="Arial" w:cs="Arial" w:eastAsia="Arial" w:hAnsi="Arial"/>
          <w:sz w:val="16"/>
          <w:szCs w:val="16"/>
          <w:color w:val="auto"/>
        </w:rPr>
        <w:t>$150,000,000</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May 1, 2026</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7"/>
          <w:szCs w:val="17"/>
          <w:color w:val="auto"/>
        </w:rPr>
        <w:t>April 14, 2021</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7"/>
          <w:szCs w:val="17"/>
          <w:color w:val="auto"/>
        </w:rPr>
        <w:t>April 21, 2021 (T+5)</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PNNT expects to use the net proceeds from this offering to reduce outstanding obligations under its</w:t>
      </w:r>
    </w:p>
    <w:p>
      <w:pPr>
        <w:spacing w:after="0" w:line="23" w:lineRule="exact"/>
        <w:rPr>
          <w:sz w:val="24"/>
          <w:szCs w:val="24"/>
          <w:color w:val="auto"/>
        </w:rPr>
      </w:pPr>
    </w:p>
    <w:p>
      <w:pPr>
        <w:ind w:left="3640" w:right="160"/>
        <w:spacing w:after="0" w:line="260" w:lineRule="auto"/>
        <w:rPr>
          <w:sz w:val="20"/>
          <w:szCs w:val="20"/>
          <w:color w:val="auto"/>
        </w:rPr>
      </w:pPr>
      <w:r>
        <w:rPr>
          <w:rFonts w:ascii="Arial" w:cs="Arial" w:eastAsia="Arial" w:hAnsi="Arial"/>
          <w:sz w:val="18"/>
          <w:szCs w:val="18"/>
          <w:color w:val="auto"/>
        </w:rPr>
        <w:t>multi-currency, senior secured revolving credit facility with Truist Bank, to invest in new or existing portfolio companies or for other general corporate or strategic purposes.</w:t>
      </w:r>
    </w:p>
    <w:p>
      <w:pPr>
        <w:sectPr>
          <w:pgSz w:w="11900" w:h="16838" w:orient="portrait"/>
          <w:cols w:equalWidth="0" w:num="1">
            <w:col w:w="11020"/>
          </w:cols>
          <w:pgMar w:left="440" w:top="229" w:right="439" w:bottom="1440"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Notes will be issued at a price of 99.443% of their principal amount, plus accrued interest, if any, from April 21, 2021</w:t>
      </w:r>
    </w:p>
    <w:p>
      <w:pPr>
        <w:spacing w:after="0" w:line="62" w:lineRule="exact"/>
        <w:rPr>
          <w:sz w:val="24"/>
          <w:szCs w:val="24"/>
          <w:color w:val="auto"/>
        </w:rPr>
      </w:pPr>
    </w:p>
    <w:p>
      <w:pPr>
        <w:sectPr>
          <w:pgSz w:w="11900" w:h="16838" w:orient="portrait"/>
          <w:cols w:equalWidth="0" w:num="2">
            <w:col w:w="2920" w:space="720"/>
            <w:col w:w="7380"/>
          </w:cols>
          <w:pgMar w:left="440" w:top="229" w:right="439" w:bottom="1440" w:gutter="0" w:footer="0" w:header="0"/>
          <w:type w:val="continuous"/>
        </w:sectPr>
      </w:pPr>
    </w:p>
    <w:p>
      <w:pPr>
        <w:spacing w:after="0"/>
        <w:tabs>
          <w:tab w:leader="none" w:pos="362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6"/>
          <w:szCs w:val="16"/>
          <w:color w:val="auto"/>
        </w:rPr>
        <w:t>0.75% due March 31, 2026</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Benchmark Treasury Price and Yield:</w:t>
      </w:r>
      <w:r>
        <w:rPr>
          <w:sz w:val="20"/>
          <w:szCs w:val="20"/>
          <w:color w:val="auto"/>
        </w:rPr>
        <w:tab/>
      </w:r>
      <w:r>
        <w:rPr>
          <w:rFonts w:ascii="Arial" w:cs="Arial" w:eastAsia="Arial" w:hAnsi="Arial"/>
          <w:sz w:val="16"/>
          <w:szCs w:val="16"/>
          <w:color w:val="auto"/>
        </w:rPr>
        <w:t>99-15+/ 0.856%</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+377 basis points</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Yield to Maturity:</w:t>
      </w:r>
      <w:r>
        <w:rPr>
          <w:sz w:val="20"/>
          <w:szCs w:val="20"/>
          <w:color w:val="auto"/>
        </w:rPr>
        <w:tab/>
      </w:r>
      <w:r>
        <w:rPr>
          <w:rFonts w:ascii="Arial" w:cs="Arial" w:eastAsia="Arial" w:hAnsi="Arial"/>
          <w:sz w:val="16"/>
          <w:szCs w:val="16"/>
          <w:color w:val="auto"/>
        </w:rPr>
        <w:t>4.625%</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Coupon (Interest Rate):</w:t>
      </w:r>
      <w:r>
        <w:rPr>
          <w:sz w:val="20"/>
          <w:szCs w:val="20"/>
          <w:color w:val="auto"/>
        </w:rPr>
        <w:tab/>
      </w:r>
      <w:r>
        <w:rPr>
          <w:rFonts w:ascii="Arial" w:cs="Arial" w:eastAsia="Arial" w:hAnsi="Arial"/>
          <w:sz w:val="16"/>
          <w:szCs w:val="16"/>
          <w:color w:val="auto"/>
        </w:rPr>
        <w:t>4.50%</w:t>
      </w:r>
    </w:p>
    <w:p>
      <w:pPr>
        <w:spacing w:after="0" w:line="117" w:lineRule="exact"/>
        <w:rPr>
          <w:sz w:val="24"/>
          <w:szCs w:val="24"/>
          <w:color w:val="auto"/>
        </w:rPr>
      </w:pPr>
    </w:p>
    <w:p>
      <w:pPr>
        <w:spacing w:after="0"/>
        <w:tabs>
          <w:tab w:leader="none" w:pos="36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1 and November 1, commencing November 1, 2021</w:t>
      </w:r>
    </w:p>
    <w:p>
      <w:pPr>
        <w:sectPr>
          <w:pgSz w:w="11900" w:h="16838" w:orient="portrait"/>
          <w:cols w:equalWidth="0" w:num="1">
            <w:col w:w="11020"/>
          </w:cols>
          <w:pgMar w:left="440" w:top="229" w:right="439" w:bottom="1440" w:gutter="0" w:footer="0" w:header="0"/>
          <w:type w:val="continuous"/>
        </w:sectPr>
      </w:pPr>
    </w:p>
    <w:bookmarkStart w:id="1" w:name="page2"/>
    <w:bookmarkEnd w:id="1"/>
    <w:p>
      <w:pPr>
        <w:ind w:left="4"/>
        <w:spacing w:after="0" w:line="277" w:lineRule="auto"/>
        <w:rPr>
          <w:sz w:val="20"/>
          <w:szCs w:val="20"/>
          <w:color w:val="auto"/>
        </w:rPr>
      </w:pPr>
      <w:r>
        <w:rPr>
          <w:rFonts w:ascii="Arial" w:cs="Arial" w:eastAsia="Arial" w:hAnsi="Arial"/>
          <w:sz w:val="18"/>
          <w:szCs w:val="18"/>
          <w:color w:val="auto"/>
        </w:rPr>
        <w:t>Offer to Purchase upon a Change of Control Repurchase Event</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If a Change of Control Repurchase Event (as defined in the Preliminary Prospectus) occurs prior to maturity, unless PNNT has exercised its right to redeem the Notes in full, holders of the Notes will have the right, at their option, to require PNNT to repurchase for cash some or all of the Notes at a repurchase price equal to 100% of the principal amount of the Notes being repurchased, plus accrued and unpaid interest to, but not including,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-932815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184" w:space="460"/>
            <w:col w:w="7380"/>
          </w:cols>
          <w:pgMar w:left="436" w:top="490" w:right="439" w:bottom="1440" w:gutter="0" w:footer="0" w:header="0"/>
        </w:sectPr>
      </w:pPr>
    </w:p>
    <w:p>
      <w:pPr>
        <w:ind w:left="4"/>
        <w:spacing w:after="0"/>
        <w:tabs>
          <w:tab w:leader="none" w:pos="3624" w:val="left"/>
        </w:tabs>
        <w:rPr>
          <w:sz w:val="20"/>
          <w:szCs w:val="20"/>
          <w:color w:val="auto"/>
        </w:rPr>
      </w:pPr>
      <w:r>
        <w:rPr>
          <w:rFonts w:ascii="Arial" w:cs="Arial" w:eastAsia="Arial" w:hAnsi="Arial"/>
          <w:sz w:val="18"/>
          <w:szCs w:val="18"/>
          <w:color w:val="auto"/>
        </w:rPr>
        <w:t>Make-Whole Redemption:</w:t>
      </w:r>
      <w:r>
        <w:rPr>
          <w:sz w:val="20"/>
          <w:szCs w:val="20"/>
          <w:color w:val="auto"/>
        </w:rPr>
        <w:tab/>
      </w:r>
      <w:r>
        <w:rPr>
          <w:rFonts w:ascii="Arial" w:cs="Arial" w:eastAsia="Arial" w:hAnsi="Arial"/>
          <w:sz w:val="16"/>
          <w:szCs w:val="16"/>
          <w:color w:val="auto"/>
        </w:rPr>
        <w:t>Equal to the greater of the following amounts:</w:t>
      </w:r>
    </w:p>
    <w:p>
      <w:pPr>
        <w:spacing w:after="0" w:line="131" w:lineRule="exact"/>
        <w:rPr>
          <w:sz w:val="20"/>
          <w:szCs w:val="20"/>
          <w:color w:val="auto"/>
        </w:rPr>
      </w:pPr>
    </w:p>
    <w:p>
      <w:pPr>
        <w:ind w:left="3744"/>
        <w:spacing w:after="0"/>
        <w:tabs>
          <w:tab w:leader="none" w:pos="3964" w:val="left"/>
        </w:tabs>
        <w:rPr>
          <w:sz w:val="20"/>
          <w:szCs w:val="20"/>
          <w:color w:val="auto"/>
        </w:rPr>
      </w:pPr>
      <w:r>
        <w:rPr>
          <w:rFonts w:ascii="Arial" w:cs="Arial" w:eastAsia="Arial" w:hAnsi="Arial"/>
          <w:sz w:val="18"/>
          <w:szCs w:val="18"/>
          <w:color w:val="auto"/>
        </w:rPr>
        <w:t>•</w:t>
        <w:tab/>
        <w:t>100% of the principal amount of the Notes to be redeemed, or</w:t>
      </w:r>
    </w:p>
    <w:p>
      <w:pPr>
        <w:spacing w:after="0" w:line="131" w:lineRule="exact"/>
        <w:rPr>
          <w:sz w:val="20"/>
          <w:szCs w:val="20"/>
          <w:color w:val="auto"/>
        </w:rPr>
      </w:pPr>
    </w:p>
    <w:p>
      <w:pPr>
        <w:ind w:left="3744"/>
        <w:spacing w:after="0"/>
        <w:tabs>
          <w:tab w:leader="none" w:pos="3964" w:val="left"/>
        </w:tabs>
        <w:rPr>
          <w:sz w:val="20"/>
          <w:szCs w:val="20"/>
          <w:color w:val="auto"/>
        </w:rPr>
      </w:pPr>
      <w:r>
        <w:rPr>
          <w:rFonts w:ascii="Arial" w:cs="Arial" w:eastAsia="Arial" w:hAnsi="Arial"/>
          <w:sz w:val="17"/>
          <w:szCs w:val="17"/>
          <w:color w:val="auto"/>
        </w:rPr>
        <w:t>•</w:t>
        <w:tab/>
        <w:t>the sum of the present values of the remaining scheduled payments of principal and interest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(exclusive of accrued and unpaid interest to the date of redemption) on the Notes to be redeemed,</w:t>
      </w:r>
    </w:p>
    <w:p>
      <w:pPr>
        <w:spacing w:after="0" w:line="9" w:lineRule="exact"/>
        <w:rPr>
          <w:sz w:val="20"/>
          <w:szCs w:val="20"/>
          <w:color w:val="auto"/>
        </w:rPr>
      </w:pPr>
    </w:p>
    <w:p>
      <w:pPr>
        <w:ind w:left="4004"/>
        <w:spacing w:after="0"/>
        <w:rPr>
          <w:sz w:val="20"/>
          <w:szCs w:val="20"/>
          <w:color w:val="auto"/>
        </w:rPr>
      </w:pPr>
      <w:r>
        <w:rPr>
          <w:rFonts w:ascii="Arial" w:cs="Arial" w:eastAsia="Arial" w:hAnsi="Arial"/>
          <w:sz w:val="16"/>
          <w:szCs w:val="16"/>
          <w:color w:val="auto"/>
        </w:rPr>
        <w:t>discounted to the redemption date on a semi-annual basis (assuming a 360-day year consisting of</w:t>
      </w:r>
    </w:p>
    <w:p>
      <w:pPr>
        <w:spacing w:after="0" w:line="32"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twelve 30-day months) using the applicable Treasury Rate plus 50 basis points,</w:t>
      </w:r>
    </w:p>
    <w:p>
      <w:pPr>
        <w:spacing w:after="0" w:line="116" w:lineRule="exact"/>
        <w:rPr>
          <w:sz w:val="20"/>
          <w:szCs w:val="20"/>
          <w:color w:val="auto"/>
        </w:rPr>
      </w:pPr>
    </w:p>
    <w:p>
      <w:pPr>
        <w:ind w:left="3644" w:right="100"/>
        <w:spacing w:after="0" w:line="257" w:lineRule="auto"/>
        <w:rPr>
          <w:sz w:val="20"/>
          <w:szCs w:val="20"/>
          <w:color w:val="auto"/>
        </w:rPr>
      </w:pPr>
      <w:r>
        <w:rPr>
          <w:rFonts w:ascii="Arial" w:cs="Arial" w:eastAsia="Arial" w:hAnsi="Arial"/>
          <w:sz w:val="18"/>
          <w:szCs w:val="18"/>
          <w:color w:val="auto"/>
        </w:rPr>
        <w:t xml:space="preserve">plus, in each case, accrued and unpaid interest to the redemption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PNNT redeems any Notes on or after February 1, 2026 (the date falling three months prior to the maturity date of the Notes), the redemption price for the Notes will be equal to 100% of the principal amount of the Notes to be redeemed, plus accrued and unpaid interest, if any, to, but excluding, the date of redemption</w:t>
      </w:r>
    </w:p>
    <w:p>
      <w:pPr>
        <w:spacing w:after="0" w:line="93"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Denomination:</w:t>
      </w:r>
      <w:r>
        <w:rPr>
          <w:sz w:val="20"/>
          <w:szCs w:val="20"/>
          <w:color w:val="auto"/>
        </w:rPr>
        <w:tab/>
      </w: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708062 AC8</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ISIN:</w:t>
      </w:r>
      <w:r>
        <w:rPr>
          <w:sz w:val="20"/>
          <w:szCs w:val="20"/>
          <w:color w:val="auto"/>
        </w:rPr>
        <w:tab/>
      </w:r>
      <w:r>
        <w:rPr>
          <w:rFonts w:ascii="Arial" w:cs="Arial" w:eastAsia="Arial" w:hAnsi="Arial"/>
          <w:sz w:val="18"/>
          <w:szCs w:val="18"/>
          <w:color w:val="auto"/>
        </w:rPr>
        <w:t>US708062AC82</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Underwriting Discount</w:t>
      </w:r>
      <w:r>
        <w:rPr>
          <w:sz w:val="20"/>
          <w:szCs w:val="20"/>
          <w:color w:val="auto"/>
        </w:rPr>
        <w:tab/>
      </w:r>
      <w:r>
        <w:rPr>
          <w:rFonts w:ascii="Arial" w:cs="Arial" w:eastAsia="Arial" w:hAnsi="Arial"/>
          <w:sz w:val="16"/>
          <w:szCs w:val="16"/>
          <w:color w:val="auto"/>
        </w:rPr>
        <w:t>2.00%</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Raymond James &amp; Associates, Inc.</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J.P. Morgan Securities LLC</w:t>
      </w:r>
    </w:p>
    <w:p>
      <w:pPr>
        <w:spacing w:after="0" w:line="116"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Compass Point Research &amp; Trading, LLC</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Capital One Securities, Inc.</w:t>
      </w:r>
    </w:p>
    <w:p>
      <w:pPr>
        <w:spacing w:after="0" w:line="251"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24" w:right="20" w:hanging="424"/>
        <w:spacing w:after="0" w:line="270"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PNNT expects that delivery of the Notes will be made to investors on or about April 21, 2021, which will be the fifth business day following the date of pricing of the notes (such settlement cycle being herein referred to as “T+5”). Under Rule 15c6-1 under the Securities Exchange Act of 1934, as amended, trades in the secondary market generally are required to settle in two business days, unless the parties to any such trade expressly agree otherwise. Accordingly, purchasers who wish to trade notes on any date prior to the second business day before delivery, by virtue of the fact that the notes initially will settle T+5, to specify an alternate settlement cycle at the time of any such trade to prevent a failed settlement. Purchasers of notes who wish to trade notes prior to their date of delivery should consult their own advisor.</w:t>
      </w:r>
    </w:p>
    <w:p>
      <w:pPr>
        <w:spacing w:after="0" w:line="174" w:lineRule="exact"/>
        <w:rPr>
          <w:sz w:val="20"/>
          <w:szCs w:val="20"/>
          <w:color w:val="auto"/>
        </w:rPr>
      </w:pPr>
    </w:p>
    <w:p>
      <w:pPr>
        <w:ind w:left="4" w:right="14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PNNT before investing. The preliminary prospectus supplement, dated April 14, 2021, and the accompanying prospectus, dated January 30, 2020, each of which has been filed with the Securities and Exchange Commission (the “SEC”), contain this and other information about PNNT and should be read carefully before investing.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90" w:right="439" w:bottom="1440" w:gutter="0" w:footer="0" w:header="0"/>
          <w:type w:val="continuous"/>
        </w:sectPr>
      </w:pPr>
    </w:p>
    <w:bookmarkStart w:id="2" w:name="page3"/>
    <w:bookmarkEnd w:id="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PNNT and are not soliciting an offer to buy such securities in any state or jurisdiction where such offer and sale is not permitted.</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PNNT’s shelf registration statement is on file and has been declared effective by the SEC. The offering may be made only by means of a preliminary prospectus supplement and an accompanying prospectus. Before you invest, you should read the preliminary prospectus supplement, dated April 14, 2021, the accompanying prospectus dated, January 30, 2020 and other documents PNNT has filed with the SEC for more complete information about PNNT and this offering. You may obtain these documents for free by visiting EDGAR on the SEC web 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Alternatively, PNNT, any underwriter or any dealer participating in the offering will arrange to send you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supplement and accompanying prospectus if you request it from any of the following: Raymond James &amp; Associates, Inc., 880 Carillon Parkway, St. Petersburg, FL 33716, email: prospectus@raymondjames.com, telephone: 800-248-8863; Keefe, Bruyette &amp; Woods, </w:t>
      </w:r>
      <w:r>
        <w:rPr>
          <w:rFonts w:ascii="Arial" w:cs="Arial" w:eastAsia="Arial" w:hAnsi="Arial"/>
          <w:sz w:val="16"/>
          <w:szCs w:val="16"/>
          <w:b w:val="1"/>
          <w:bCs w:val="1"/>
          <w:i w:val="1"/>
          <w:iCs w:val="1"/>
          <w:color w:val="auto"/>
        </w:rPr>
        <w:t>A Stifel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Attn: Prospectus Department, 787 Seventh Avenue, Fourth Floor, New York, NY 10019, telephone: 1-800-966-1559, facsimile: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1-212-581-1592 or email: USCapitalMarkets@kbw.com; and Truist Securities Inc., Attn: Prospectus Department, 303 Peachtree Road, Atlanta,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 30308, telephone: 1-800-685-4786 or email: TSIDocs@Truist.com.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2021-04-15T06:52:11Z</dcterms:created>
  <dcterms:modified xsi:type="dcterms:W3CDTF">2021-04-15T06:52:11Z</dcterms:modified>
</cp:coreProperties>
</file>