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1119505</wp:posOffset>
            </wp:positionH>
            <wp:positionV relativeFrom="paragraph">
              <wp:posOffset>142875</wp:posOffset>
            </wp:positionV>
            <wp:extent cx="4637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1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2023</w:t>
      </w:r>
    </w:p>
    <w:p>
      <w:pPr>
        <w:spacing w:after="0" w:line="200" w:lineRule="exact"/>
        <w:rPr>
          <w:sz w:val="24"/>
          <w:szCs w:val="24"/>
          <w:color w:val="auto"/>
        </w:rPr>
      </w:pPr>
    </w:p>
    <w:p>
      <w:pPr>
        <w:spacing w:after="0" w:line="26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73" w:lineRule="exact"/>
        <w:rPr>
          <w:sz w:val="24"/>
          <w:szCs w:val="24"/>
          <w:color w:val="auto"/>
        </w:rPr>
      </w:pPr>
    </w:p>
    <w:tbl>
      <w:tblPr>
        <w:tblLayout w:type="fixed"/>
        <w:tblInd w:w="1940" w:type="dxa"/>
        <w:tblCellMar>
          <w:top w:w="0" w:type="dxa"/>
          <w:left w:w="0" w:type="dxa"/>
          <w:bottom w:w="0" w:type="dxa"/>
          <w:right w:w="0" w:type="dxa"/>
        </w:tblCellMar>
      </w:tblPr>
      <w:tr>
        <w:trPr>
          <w:trHeight w:val="220"/>
        </w:trPr>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814-00736</w:t>
            </w:r>
          </w:p>
        </w:tc>
        <w:tc>
          <w:tcPr>
            <w:tcW w:w="23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20-8250744</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 File</w:t>
            </w:r>
          </w:p>
        </w:tc>
        <w:tc>
          <w:tcPr>
            <w:tcW w:w="23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of incorporation)</w:t>
            </w:r>
          </w:p>
        </w:tc>
        <w:tc>
          <w:tcPr>
            <w:tcW w:w="24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Number)</w:t>
            </w:r>
          </w:p>
        </w:tc>
        <w:tc>
          <w:tcPr>
            <w:tcW w:w="23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200" w:lineRule="exact"/>
        <w:rPr>
          <w:sz w:val="24"/>
          <w:szCs w:val="24"/>
          <w:color w:val="auto"/>
        </w:rPr>
      </w:pPr>
    </w:p>
    <w:p>
      <w:pPr>
        <w:spacing w:after="0" w:line="372" w:lineRule="exact"/>
        <w:rPr>
          <w:sz w:val="24"/>
          <w:szCs w:val="24"/>
          <w:color w:val="auto"/>
        </w:rPr>
      </w:pPr>
    </w:p>
    <w:tbl>
      <w:tblPr>
        <w:tblLayout w:type="fixed"/>
        <w:tblInd w:w="1460" w:type="dxa"/>
        <w:tblCellMar>
          <w:top w:w="0" w:type="dxa"/>
          <w:left w:w="0" w:type="dxa"/>
          <w:bottom w:w="0" w:type="dxa"/>
          <w:right w:w="0" w:type="dxa"/>
        </w:tblCellMar>
      </w:tblPr>
      <w:tr>
        <w:trPr>
          <w:trHeight w:val="216"/>
        </w:trPr>
        <w:tc>
          <w:tcPr>
            <w:tcW w:w="62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1691 Michigan Avenue</w:t>
            </w:r>
          </w:p>
        </w:tc>
        <w:tc>
          <w:tcPr>
            <w:tcW w:w="9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33139</w:t>
            </w:r>
          </w:p>
        </w:tc>
        <w:tc>
          <w:tcPr>
            <w:tcW w:w="0" w:type="dxa"/>
            <w:vAlign w:val="bottom"/>
          </w:tcPr>
          <w:p>
            <w:pPr>
              <w:spacing w:after="0"/>
              <w:rPr>
                <w:sz w:val="1"/>
                <w:szCs w:val="1"/>
                <w:color w:val="auto"/>
              </w:rPr>
            </w:pPr>
          </w:p>
        </w:tc>
      </w:tr>
      <w:tr>
        <w:trPr>
          <w:trHeight w:val="112"/>
        </w:trPr>
        <w:tc>
          <w:tcPr>
            <w:tcW w:w="62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Miami Beach, Florida</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60" w:type="dxa"/>
            <w:vAlign w:val="bottom"/>
            <w:vMerge w:val="continue"/>
          </w:tcPr>
          <w:p>
            <w:pPr>
              <w:spacing w:after="0"/>
              <w:rPr>
                <w:sz w:val="9"/>
                <w:szCs w:val="9"/>
                <w:color w:val="auto"/>
              </w:rPr>
            </w:pPr>
          </w:p>
        </w:tc>
        <w:tc>
          <w:tcPr>
            <w:tcW w:w="9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26"/>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7"/>
        </w:trPr>
        <w:tc>
          <w:tcPr>
            <w:tcW w:w="626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(786) 297-9500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6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2"/>
        </w:trPr>
        <w:tc>
          <w:tcPr>
            <w:tcW w:w="626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2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630"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2"/>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1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PNNT</w:t>
            </w:r>
          </w:p>
        </w:tc>
        <w:tc>
          <w:tcPr>
            <w:tcW w:w="1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r>
    </w:tbl>
    <w:p>
      <w:pPr>
        <w:spacing w:after="0" w:line="200" w:lineRule="exact"/>
        <w:rPr>
          <w:sz w:val="20"/>
          <w:szCs w:val="20"/>
          <w:color w:val="auto"/>
        </w:rPr>
      </w:pPr>
    </w:p>
    <w:p>
      <w:pPr>
        <w:spacing w:after="0" w:line="218" w:lineRule="exact"/>
        <w:rPr>
          <w:sz w:val="20"/>
          <w:szCs w:val="20"/>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9"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(the “Company”) is closely monitoring the recent developments involving Silicon Valley Bank (“SVB”) and Signature Bank (“Signature”). The Company does not hold cash deposits or securities at SVB or Signature, does not maintain any financing arrangements with SVB or Signature and does not otherwise have any direct business relationship with SVB or Signature.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reviewed the extent of exposure of the Company’s portfolio companies to SVB and Signature. Based on that review, a limited number of portfolio companies have a relationship with SVB and Signature in the form of a cash depository and/or treasury management account. Based on the March 12, 2023 joint statement by the Treasury, the Federal Reserve, and FDIC that all SVB and Signature depositors will be protected and/or made whole, we do not expect that such relationships will have an adverse impact in any material respect on these portfolio companies. None of the Company’s portfolio companies have a lending relationship with SVB or Signature.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on Form 8-K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Dated: March 13, 2023</w:t>
      </w:r>
      <w:r>
        <w:rPr>
          <w:sz w:val="20"/>
          <w:szCs w:val="20"/>
          <w:color w:val="auto"/>
        </w:rPr>
        <w:tab/>
      </w:r>
      <w:r>
        <w:rPr>
          <w:rFonts w:ascii="Times New Roman" w:cs="Times New Roman" w:eastAsia="Times New Roman" w:hAnsi="Times New Roman"/>
          <w:sz w:val="17"/>
          <w:szCs w:val="17"/>
          <w:b w:val="1"/>
          <w:bCs w:val="1"/>
          <w:color w:val="auto"/>
        </w:rPr>
        <w:t>PENNANTPARK INVESTMENT CORPORATION</w:t>
      </w:r>
    </w:p>
    <w:p>
      <w:pPr>
        <w:spacing w:after="0" w:line="200" w:lineRule="exact"/>
        <w:rPr>
          <w:sz w:val="20"/>
          <w:szCs w:val="20"/>
          <w:color w:val="auto"/>
        </w:rPr>
      </w:pPr>
    </w:p>
    <w:p>
      <w:pPr>
        <w:spacing w:after="0" w:line="245" w:lineRule="exact"/>
        <w:rPr>
          <w:sz w:val="20"/>
          <w:szCs w:val="20"/>
          <w:color w:val="auto"/>
        </w:rPr>
      </w:pPr>
    </w:p>
    <w:p>
      <w:pPr>
        <w:ind w:left="576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88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2023-03-13T17:18:14Z</dcterms:created>
  <dcterms:modified xsi:type="dcterms:W3CDTF">2023-03-13T17:18:14Z</dcterms:modified>
</cp:coreProperties>
</file>