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 2009.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Registration No. 333-150033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Post-Effective Amendment No. 1 </w:t>
      </w:r>
      <w:r>
        <w:rPr>
          <w:rFonts w:ascii="MS PGothic" w:cs="MS PGothic" w:eastAsia="MS PGothic" w:hAnsi="MS PGothic"/>
          <w:sz w:val="18"/>
          <w:szCs w:val="18"/>
          <w:color w:val="auto"/>
          <w:highlight w:val="black"/>
        </w:rPr>
        <w: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590 Madison Avenue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15th Floor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10022</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(212) 905-1000</w:t>
      </w: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Arthur H. Penn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 PennantPark Investment Corporation</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590 Madison Avenue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15th Floor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10022</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Thomas Friedmann, Esq.</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David Harris, Esq.</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Dechert, LLP</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1775 I Street, N.W.</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Washington, DC 20006-2401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APPROXIMATE DATE OF PROPOSED PUBLIC OFFERING:</w:t>
      </w:r>
    </w:p>
    <w:p>
      <w:pPr>
        <w:jc w:val="center"/>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ind w:right="200" w:firstLine="342"/>
        <w:spacing w:after="0" w:line="169" w:lineRule="exact"/>
        <w:rPr>
          <w:sz w:val="20"/>
          <w:szCs w:val="20"/>
          <w:color w:val="auto"/>
        </w:rPr>
      </w:pPr>
      <w:r>
        <w:rPr>
          <w:rFonts w:ascii="Times New Roman" w:cs="Times New Roman" w:eastAsia="Times New Roman" w:hAnsi="Times New Roman"/>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ind w:left="360"/>
        <w:spacing w:after="0"/>
        <w:rPr>
          <w:sz w:val="20"/>
          <w:szCs w:val="20"/>
          <w:color w:val="auto"/>
        </w:rPr>
      </w:pPr>
      <w:r>
        <w:rPr>
          <w:rFonts w:ascii="Times New Roman" w:cs="Times New Roman" w:eastAsia="Times New Roman" w:hAnsi="Times New Roman"/>
          <w:sz w:val="14"/>
          <w:szCs w:val="14"/>
          <w:color w:val="auto"/>
        </w:rPr>
        <w:t>It is proposed that this filing will become effective (check appropriate box):</w:t>
      </w:r>
    </w:p>
    <w:p>
      <w:pPr>
        <w:spacing w:after="0" w:line="29"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appropriate, check the following box:</w:t>
      </w:r>
    </w:p>
    <w:p>
      <w:pPr>
        <w:spacing w:after="0" w:line="18"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This amendment designates a new effective date for a previously filed registration statement.</w:t>
      </w:r>
    </w:p>
    <w:p>
      <w:pPr>
        <w:spacing w:after="0" w:line="65" w:lineRule="exact"/>
        <w:rPr>
          <w:sz w:val="24"/>
          <w:szCs w:val="24"/>
          <w:color w:val="auto"/>
        </w:rPr>
      </w:pPr>
    </w:p>
    <w:p>
      <w:pPr>
        <w:ind w:right="20" w:firstLine="350"/>
        <w:spacing w:after="0" w:line="241" w:lineRule="auto"/>
        <w:tabs>
          <w:tab w:leader="none" w:pos="529"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 UNDER THE SECURITIES ACT OF 1933</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14"/>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600" w:type="dxa"/>
            <w:vAlign w:val="bottom"/>
            <w:tcBorders>
              <w:right w:val="single" w:sz="8" w:color="auto"/>
            </w:tcBorders>
          </w:tcPr>
          <w:p>
            <w:pPr>
              <w:jc w:val="center"/>
              <w:ind w:left="18"/>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6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50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ind w:left="12"/>
              <w:spacing w:after="0" w:line="152" w:lineRule="exact"/>
              <w:rPr>
                <w:sz w:val="20"/>
                <w:szCs w:val="20"/>
                <w:color w:val="auto"/>
              </w:rPr>
            </w:pPr>
            <w:r>
              <w:rPr>
                <w:rFonts w:ascii="Times New Roman" w:cs="Times New Roman" w:eastAsia="Times New Roman" w:hAnsi="Times New Roman"/>
                <w:sz w:val="14"/>
                <w:szCs w:val="14"/>
                <w:b w:val="1"/>
                <w:bCs w:val="1"/>
                <w:color w:val="auto"/>
                <w:w w:val="96"/>
              </w:rPr>
              <w:t>Amount Being</w:t>
            </w:r>
          </w:p>
        </w:tc>
        <w:tc>
          <w:tcPr>
            <w:tcW w:w="1600" w:type="dxa"/>
            <w:vAlign w:val="bottom"/>
            <w:tcBorders>
              <w:right w:val="single" w:sz="8" w:color="auto"/>
            </w:tcBorders>
          </w:tcPr>
          <w:p>
            <w:pPr>
              <w:jc w:val="center"/>
              <w:ind w:left="14"/>
              <w:spacing w:after="0" w:line="152"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600" w:type="dxa"/>
            <w:vAlign w:val="bottom"/>
            <w:tcBorders>
              <w:right w:val="single" w:sz="8" w:color="auto"/>
            </w:tcBorders>
          </w:tcPr>
          <w:p>
            <w:pPr>
              <w:jc w:val="center"/>
              <w:ind w:left="18"/>
              <w:spacing w:after="0" w:line="15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560" w:type="dxa"/>
            <w:vAlign w:val="bottom"/>
          </w:tcPr>
          <w:p>
            <w:pPr>
              <w:jc w:val="center"/>
              <w:ind w:left="37"/>
              <w:spacing w:after="0" w:line="152"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4"/>
              </w:rPr>
              <w:t>Registered</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4"/>
              </w:rPr>
              <w:t>Per Unit</w:t>
            </w:r>
          </w:p>
        </w:tc>
        <w:tc>
          <w:tcPr>
            <w:tcW w:w="1600" w:type="dxa"/>
            <w:vAlign w:val="bottom"/>
            <w:tcBorders>
              <w:bottom w:val="single" w:sz="8" w:color="auto"/>
              <w:right w:val="single" w:sz="8" w:color="auto"/>
            </w:tcBorders>
          </w:tcPr>
          <w:p>
            <w:pPr>
              <w:jc w:val="center"/>
              <w:ind w:left="18"/>
              <w:spacing w:after="0" w:line="176" w:lineRule="exact"/>
              <w:rPr>
                <w:sz w:val="20"/>
                <w:szCs w:val="20"/>
                <w:color w:val="auto"/>
              </w:rPr>
            </w:pPr>
            <w:r>
              <w:rPr>
                <w:rFonts w:ascii="Times New Roman" w:cs="Times New Roman" w:eastAsia="Times New Roman" w:hAnsi="Times New Roman"/>
                <w:sz w:val="13"/>
                <w:szCs w:val="13"/>
                <w:b w:val="1"/>
                <w:bCs w:val="1"/>
                <w:color w:val="auto"/>
              </w:rPr>
              <w:t>Offering Price</w:t>
            </w:r>
            <w:r>
              <w:rPr>
                <w:rFonts w:ascii="Times New Roman" w:cs="Times New Roman" w:eastAsia="Times New Roman" w:hAnsi="Times New Roman"/>
                <w:sz w:val="20"/>
                <w:szCs w:val="20"/>
                <w:b w:val="1"/>
                <w:bCs w:val="1"/>
                <w:color w:val="auto"/>
                <w:vertAlign w:val="superscript"/>
              </w:rPr>
              <w:t>(1)</w:t>
            </w:r>
          </w:p>
        </w:tc>
        <w:tc>
          <w:tcPr>
            <w:tcW w:w="1560" w:type="dxa"/>
            <w:vAlign w:val="bottom"/>
            <w:tcBorders>
              <w:bottom w:val="single" w:sz="8" w:color="auto"/>
            </w:tcBorders>
          </w:tcPr>
          <w:p>
            <w:pPr>
              <w:jc w:val="center"/>
              <w:ind w:left="17"/>
              <w:spacing w:after="0" w:line="176" w:lineRule="exact"/>
              <w:rPr>
                <w:sz w:val="20"/>
                <w:szCs w:val="20"/>
                <w:color w:val="auto"/>
              </w:rPr>
            </w:pPr>
            <w:r>
              <w:rPr>
                <w:rFonts w:ascii="Times New Roman" w:cs="Times New Roman" w:eastAsia="Times New Roman" w:hAnsi="Times New Roman"/>
                <w:sz w:val="13"/>
                <w:szCs w:val="13"/>
                <w:b w:val="1"/>
                <w:bCs w:val="1"/>
                <w:color w:val="auto"/>
              </w:rPr>
              <w:t>Registration Fee</w:t>
            </w:r>
            <w:r>
              <w:rPr>
                <w:rFonts w:ascii="Times New Roman" w:cs="Times New Roman" w:eastAsia="Times New Roman" w:hAnsi="Times New Roman"/>
                <w:sz w:val="20"/>
                <w:szCs w:val="20"/>
                <w:b w:val="1"/>
                <w:bCs w:val="1"/>
                <w:color w:val="auto"/>
                <w:vertAlign w:val="superscript"/>
              </w:rPr>
              <w:t>(1)</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1"/>
                <w:szCs w:val="11"/>
                <w:color w:val="auto"/>
              </w:rPr>
              <w:t>Common Stock, $0.001 par value</w:t>
            </w:r>
            <w:r>
              <w:rPr>
                <w:rFonts w:ascii="Times New Roman" w:cs="Times New Roman" w:eastAsia="Times New Roman" w:hAnsi="Times New Roman"/>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85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right w:val="single" w:sz="8" w:color="auto"/>
            </w:tcBorders>
          </w:tcPr>
          <w:p>
            <w:pPr>
              <w:jc w:val="right"/>
              <w:ind w:right="85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color w:val="auto"/>
              </w:rPr>
              <w:t>Preferred Stock, $0.001 par value</w:t>
            </w:r>
            <w:r>
              <w:rPr>
                <w:rFonts w:ascii="Times New Roman" w:cs="Times New Roman" w:eastAsia="Times New Roman" w:hAnsi="Times New Roman"/>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color w:val="auto"/>
              </w:rPr>
              <w:t>Warrants</w:t>
            </w:r>
            <w:r>
              <w:rPr>
                <w:rFonts w:ascii="Times New Roman" w:cs="Times New Roman" w:eastAsia="Times New Roman" w:hAnsi="Times New Roman"/>
                <w:sz w:val="16"/>
                <w:szCs w:val="16"/>
                <w:color w:val="auto"/>
                <w:vertAlign w:val="superscript"/>
              </w:rPr>
              <w:t>(3)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color w:val="auto"/>
              </w:rPr>
              <w:t>Subscription Rights</w:t>
            </w:r>
            <w:r>
              <w:rPr>
                <w:rFonts w:ascii="Times New Roman" w:cs="Times New Roman" w:eastAsia="Times New Roman" w:hAnsi="Times New Roman"/>
                <w:sz w:val="16"/>
                <w:szCs w:val="16"/>
                <w:color w:val="auto"/>
                <w:vertAlign w:val="superscript"/>
              </w:rPr>
              <w:t>(4)</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color w:val="auto"/>
              </w:rPr>
              <w:t>Debt Securities</w:t>
            </w:r>
            <w:r>
              <w:rPr>
                <w:rFonts w:ascii="Times New Roman" w:cs="Times New Roman" w:eastAsia="Times New Roman" w:hAnsi="Times New Roman"/>
                <w:sz w:val="16"/>
                <w:szCs w:val="16"/>
                <w:color w:val="auto"/>
                <w:vertAlign w:val="superscript"/>
              </w:rPr>
              <w:t>(5)</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8"/>
              <w:spacing w:after="0" w:line="142" w:lineRule="exact"/>
              <w:rPr>
                <w:sz w:val="20"/>
                <w:szCs w:val="20"/>
                <w:color w:val="auto"/>
              </w:rPr>
            </w:pPr>
            <w:r>
              <w:rPr>
                <w:rFonts w:ascii="Times New Roman" w:cs="Times New Roman" w:eastAsia="Times New Roman" w:hAnsi="Times New Roman"/>
                <w:sz w:val="11"/>
                <w:szCs w:val="11"/>
                <w:color w:val="auto"/>
              </w:rPr>
              <w:t>250,000,000</w:t>
            </w:r>
            <w:r>
              <w:rPr>
                <w:rFonts w:ascii="Times New Roman" w:cs="Times New Roman" w:eastAsia="Times New Roman" w:hAnsi="Times New Roman"/>
                <w:sz w:val="16"/>
                <w:szCs w:val="16"/>
                <w:color w:val="auto"/>
                <w:vertAlign w:val="superscript"/>
              </w:rPr>
              <w:t>(6)</w:t>
            </w:r>
          </w:p>
        </w:tc>
        <w:tc>
          <w:tcPr>
            <w:tcW w:w="1560" w:type="dxa"/>
            <w:vAlign w:val="bottom"/>
          </w:tcPr>
          <w:p>
            <w:pPr>
              <w:jc w:val="center"/>
              <w:ind w:left="17"/>
              <w:spacing w:after="0" w:line="142" w:lineRule="exact"/>
              <w:rPr>
                <w:sz w:val="20"/>
                <w:szCs w:val="20"/>
                <w:color w:val="auto"/>
              </w:rPr>
            </w:pPr>
            <w:r>
              <w:rPr>
                <w:rFonts w:ascii="Times New Roman" w:cs="Times New Roman" w:eastAsia="Times New Roman" w:hAnsi="Times New Roman"/>
                <w:sz w:val="11"/>
                <w:szCs w:val="11"/>
                <w:color w:val="auto"/>
              </w:rPr>
              <w:t>9,825</w:t>
            </w:r>
            <w:r>
              <w:rPr>
                <w:rFonts w:ascii="Times New Roman" w:cs="Times New Roman" w:eastAsia="Times New Roman" w:hAnsi="Times New Roman"/>
                <w:sz w:val="16"/>
                <w:szCs w:val="16"/>
                <w:color w:val="auto"/>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4"/>
          <w:szCs w:val="24"/>
          <w:color w:val="auto"/>
        </w:rPr>
      </w:pPr>
    </w:p>
    <w:p>
      <w:pPr>
        <w:ind w:left="340" w:right="220" w:hanging="332"/>
        <w:spacing w:after="0" w:line="23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line="22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6 below, there is being registered hereunder an indeterminate number of subscription rights as may be sold, from time to time, representing rights to purchase common stock.</w:t>
      </w:r>
    </w:p>
    <w:p>
      <w:pPr>
        <w:ind w:left="340" w:right="320" w:hanging="332"/>
        <w:spacing w:after="0" w:line="22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ind w:right="380" w:firstLine="34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CC062A"/>
        </w:rPr>
        <w:t>Subject to Completion dated September 1, 2009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130810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7"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3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We fund a portion of our investments with borrowed money, a practice commonly known as leverage. We can offer no assurances that we will achieve our investment objectives.</w:t>
      </w:r>
    </w:p>
    <w:p>
      <w:pPr>
        <w:spacing w:after="0" w:line="5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are managed by PennantPark Investment Advisers, LLC. PennantPark Investment Administration, LLC provides the administrative services necessary for us to operate.</w:t>
      </w:r>
    </w:p>
    <w:p>
      <w:pPr>
        <w:spacing w:after="0" w:line="39"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common stock has been approved for quotation on NASDAQ Global Select Market under the symbol “PNNT”. The last reported closing price for our common stock on August 31, 2009 was $8.35 per share and our June 30, 2009 net asset value was $11.72 per share.</w:t>
      </w:r>
    </w:p>
    <w:p>
      <w:pPr>
        <w:spacing w:after="0" w:line="3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Times New Roman" w:cs="Times New Roman" w:eastAsia="Times New Roman" w:hAnsi="Times New Roman"/>
          <w:sz w:val="18"/>
          <w:szCs w:val="18"/>
          <w:i w:val="1"/>
          <w:iCs w:val="1"/>
          <w:color w:val="auto"/>
        </w:rPr>
        <w:t>www.pennantpark.com.</w:t>
      </w:r>
      <w:r>
        <w:rPr>
          <w:rFonts w:ascii="Times New Roman" w:cs="Times New Roman" w:eastAsia="Times New Roman" w:hAnsi="Times New Roman"/>
          <w:sz w:val="18"/>
          <w:szCs w:val="18"/>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the Company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0"/>
          <w:szCs w:val="20"/>
          <w:color w:val="auto"/>
        </w:rPr>
      </w:pPr>
    </w:p>
    <w:p>
      <w:pPr>
        <w:ind w:right="7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dated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2009)</w:t>
            </w:r>
          </w:p>
        </w:tc>
      </w:tr>
    </w:tbl>
    <w:p>
      <w:pPr>
        <w:sectPr>
          <w:pgSz w:w="11900" w:h="16838" w:orient="portrait"/>
          <w:cols w:equalWidth="0" w:num="1">
            <w:col w:w="11380"/>
          </w:cols>
          <w:pgMar w:left="240" w:top="455" w:right="2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060" w:type="dxa"/>
            <w:vAlign w:val="bottom"/>
            <w:gridSpan w:val="34"/>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6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SELECTED FINANCIAL DATA</w:t>
              </w:r>
            </w:hyperlink>
          </w:p>
        </w:tc>
        <w:tc>
          <w:tcPr>
            <w:tcW w:w="86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PRICE RANGE OF COMMON STOCK</w:t>
              </w:r>
            </w:hyperlink>
          </w:p>
        </w:tc>
        <w:tc>
          <w:tcPr>
            <w:tcW w:w="81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BUSINESS</w:t>
              </w:r>
            </w:hyperlink>
          </w:p>
        </w:tc>
        <w:tc>
          <w:tcPr>
            <w:tcW w:w="102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77">
              <w:r>
                <w:rPr>
                  <w:rFonts w:ascii="Times New Roman" w:cs="Times New Roman" w:eastAsia="Times New Roman" w:hAnsi="Times New Roman"/>
                  <w:sz w:val="18"/>
                  <w:szCs w:val="18"/>
                  <w:color w:val="0000EE"/>
                  <w:w w:val="96"/>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6"/>
              </w:rPr>
            </w:pPr>
            <w:hyperlink w:anchor="page81">
              <w:r>
                <w:rPr>
                  <w:rFonts w:ascii="Times New Roman" w:cs="Times New Roman" w:eastAsia="Times New Roman" w:hAnsi="Times New Roman"/>
                  <w:sz w:val="18"/>
                  <w:szCs w:val="18"/>
                  <w:color w:val="0000EE"/>
                  <w:w w:val="96"/>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6"/>
              </w:rPr>
            </w:pPr>
            <w:hyperlink w:anchor="page88">
              <w:r>
                <w:rPr>
                  <w:rFonts w:ascii="Times New Roman" w:cs="Times New Roman" w:eastAsia="Times New Roman" w:hAnsi="Times New Roman"/>
                  <w:sz w:val="18"/>
                  <w:szCs w:val="18"/>
                  <w:color w:val="0000EE"/>
                  <w:w w:val="96"/>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6"/>
              </w:rPr>
            </w:pPr>
            <w:hyperlink w:anchor="page92">
              <w:r>
                <w:rPr>
                  <w:rFonts w:ascii="Times New Roman" w:cs="Times New Roman" w:eastAsia="Times New Roman" w:hAnsi="Times New Roman"/>
                  <w:sz w:val="18"/>
                  <w:szCs w:val="18"/>
                  <w:color w:val="0000EE"/>
                  <w:w w:val="96"/>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102">
              <w:r>
                <w:rPr>
                  <w:rFonts w:ascii="Times New Roman" w:cs="Times New Roman" w:eastAsia="Times New Roman" w:hAnsi="Times New Roman"/>
                  <w:sz w:val="18"/>
                  <w:szCs w:val="18"/>
                  <w:color w:val="0000EE"/>
                  <w:w w:val="97"/>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115">
              <w:r>
                <w:rPr>
                  <w:rFonts w:ascii="Times New Roman" w:cs="Times New Roman" w:eastAsia="Times New Roman" w:hAnsi="Times New Roman"/>
                  <w:sz w:val="18"/>
                  <w:szCs w:val="18"/>
                  <w:color w:val="0000EE"/>
                  <w:w w:val="94"/>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6"/>
              </w:rPr>
            </w:pPr>
            <w:hyperlink w:anchor="page120">
              <w:r>
                <w:rPr>
                  <w:rFonts w:ascii="Times New Roman" w:cs="Times New Roman" w:eastAsia="Times New Roman" w:hAnsi="Times New Roman"/>
                  <w:sz w:val="18"/>
                  <w:szCs w:val="18"/>
                  <w:color w:val="0000EE"/>
                  <w:w w:val="96"/>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6"/>
              </w:rPr>
            </w:pPr>
            <w:hyperlink w:anchor="page121">
              <w:r>
                <w:rPr>
                  <w:rFonts w:ascii="Times New Roman" w:cs="Times New Roman" w:eastAsia="Times New Roman" w:hAnsi="Times New Roman"/>
                  <w:sz w:val="18"/>
                  <w:szCs w:val="18"/>
                  <w:color w:val="0000EE"/>
                  <w:w w:val="96"/>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130">
              <w:r>
                <w:rPr>
                  <w:rFonts w:ascii="Times New Roman" w:cs="Times New Roman" w:eastAsia="Times New Roman" w:hAnsi="Times New Roman"/>
                  <w:sz w:val="18"/>
                  <w:szCs w:val="18"/>
                  <w:color w:val="0000EE"/>
                  <w:w w:val="96"/>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5"/>
              </w:rPr>
            </w:pPr>
            <w:hyperlink w:anchor="page178">
              <w:r>
                <w:rPr>
                  <w:rFonts w:ascii="Times New Roman" w:cs="Times New Roman" w:eastAsia="Times New Roman" w:hAnsi="Times New Roman"/>
                  <w:sz w:val="18"/>
                  <w:szCs w:val="18"/>
                  <w:color w:val="0000EE"/>
                  <w:w w:val="95"/>
                </w:rPr>
                <w:t>PART C OTHER INFORMATION</w:t>
              </w:r>
            </w:hyperlink>
          </w:p>
        </w:tc>
        <w:tc>
          <w:tcPr>
            <w:tcW w:w="85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w:t>
      </w:r>
    </w:p>
    <w:p>
      <w:pPr>
        <w:spacing w:after="0" w:line="120"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3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4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provided for borrowings up to $2.0 billion. During Mr. Penn’s tenure with Apollo Investment, it invested approximately $2.8 billion in 73 companies in partnership with 54 different financial sponsors.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Administration</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 having served for a decade as a Director at BlackRock, Inc., a leading investment firm.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size of the middle-market, coupled with the demands of these companies for flexible sources of capital, creates an attractive investment environment for PennantPark.</w:t>
      </w:r>
    </w:p>
    <w:p>
      <w:pPr>
        <w:spacing w:after="0" w:line="37" w:lineRule="exact"/>
        <w:rPr>
          <w:sz w:val="20"/>
          <w:szCs w:val="20"/>
          <w:color w:val="auto"/>
        </w:rPr>
      </w:pPr>
    </w:p>
    <w:p>
      <w:pPr>
        <w:ind w:left="900" w:right="6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increasing difficulty in raising debt through the capital markets. </w:t>
      </w:r>
      <w:r>
        <w:rPr>
          <w:rFonts w:ascii="Times New Roman" w:cs="Times New Roman" w:eastAsia="Times New Roman" w:hAnsi="Times New Roman"/>
          <w:sz w:val="18"/>
          <w:szCs w:val="18"/>
          <w:color w:val="auto"/>
        </w:rPr>
        <w:t>While 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1" w:lineRule="exact"/>
        <w:rPr>
          <w:rFonts w:ascii="Times New Roman" w:cs="Times New Roman" w:eastAsia="Times New Roman" w:hAnsi="Times New Roman"/>
          <w:sz w:val="18"/>
          <w:szCs w:val="18"/>
          <w:color w:val="auto"/>
        </w:rPr>
      </w:pPr>
    </w:p>
    <w:p>
      <w:pPr>
        <w:ind w:left="900" w:right="420" w:hanging="325"/>
        <w:spacing w:after="0" w:line="27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the current credit market dislocation improves the risk/reward of our investments. </w:t>
      </w:r>
      <w:r>
        <w:rPr>
          <w:rFonts w:ascii="Times New Roman" w:cs="Times New Roman" w:eastAsia="Times New Roman" w:hAnsi="Times New Roman"/>
          <w:sz w:val="18"/>
          <w:szCs w:val="18"/>
          <w:color w:val="auto"/>
        </w:rPr>
        <w:t>The downturn in the credit market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resulted in less competition, more conservative capital structures, higher yields and stronger covenants.</w:t>
      </w:r>
    </w:p>
    <w:p>
      <w:pPr>
        <w:spacing w:after="0" w:line="35" w:lineRule="exact"/>
        <w:rPr>
          <w:rFonts w:ascii="Times New Roman" w:cs="Times New Roman" w:eastAsia="Times New Roman" w:hAnsi="Times New Roman"/>
          <w:sz w:val="18"/>
          <w:szCs w:val="18"/>
          <w:color w:val="auto"/>
        </w:rPr>
      </w:pPr>
    </w:p>
    <w:p>
      <w:pPr>
        <w:ind w:left="900" w:right="12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mezzanine capital to support private investments.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substantial amounts of private equity capital that have been raised in recent years.</w:t>
      </w:r>
    </w:p>
    <w:p>
      <w:pPr>
        <w:spacing w:after="0" w:line="51"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opportunities to invest mezzanine and other debt capital will remain strong. </w:t>
      </w:r>
      <w:r>
        <w:rPr>
          <w:rFonts w:ascii="Times New Roman" w:cs="Times New Roman" w:eastAsia="Times New Roman" w:hAnsi="Times New Roman"/>
          <w:sz w:val="18"/>
          <w:szCs w:val="18"/>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we have the following competitive advantages over other capital providers in middle-market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Disciplined Investment Approach with Strong Value Orientation</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may pursue short-term origination targets. We believe our approach has and will continue to enable us to build an attractive investment portfolio that meets our return and value criteria over the long-term.</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Source and Evaluate Transactions through our Investment Adviser’s Research Capability and Established Network</w:t>
      </w:r>
    </w:p>
    <w:p>
      <w:pPr>
        <w:spacing w:after="0" w:line="94"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Transaction Structuring</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20"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We believe the in-depth coverage and experience of Mr. Penn, as well as that of the other investment professionals of our Investment Adviser, enable us to invest throughout various stages of the economic cycle and provide us with ongoing market insights in addition to a significant investment sourcing engine.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Longer Investment Horizon with Attractive Publicly Traded Model</w:t>
      </w:r>
    </w:p>
    <w:p>
      <w:pPr>
        <w:spacing w:after="0" w:line="9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such as hedge funds, frequently invest in middle-market companies. As a result, competition for investment opportunities at middle-market companies can be intense.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97" w:lineRule="exact"/>
        <w:rPr>
          <w:sz w:val="20"/>
          <w:szCs w:val="20"/>
          <w:color w:val="auto"/>
        </w:rPr>
      </w:pPr>
    </w:p>
    <w:p>
      <w:pPr>
        <w:jc w:val="both"/>
        <w:ind w:right="160" w:firstLine="456"/>
        <w:spacing w:after="0" w:line="301" w:lineRule="auto"/>
        <w:rPr>
          <w:sz w:val="20"/>
          <w:szCs w:val="20"/>
          <w:color w:val="auto"/>
        </w:rPr>
      </w:pPr>
      <w:r>
        <w:rPr>
          <w:rFonts w:ascii="Times New Roman" w:cs="Times New Roman" w:eastAsia="Times New Roman" w:hAnsi="Times New Roman"/>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0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believe that our substantial debt capital resources provide us with the flexibility to take advantage of market opportunities when they arise.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investment activities are managed by PennantPark Investment Advisers and supervised by our board of directors, a majority of whom are independent of PennantPark.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136"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As a BDC,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92"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We may offer, from time to time, up to $250 million of our securities, on terms to be determined at the time of each such offering and set forth in a supplement to this prospectus.</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Our administrative and principal executive offices are located at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NY 10022. Our common stock is quoted on NASDAQ Global Select Market under the symbol “PNNT”. Our Internet website address is </w:t>
      </w:r>
      <w:r>
        <w:rPr>
          <w:rFonts w:ascii="Times New Roman" w:cs="Times New Roman" w:eastAsia="Times New Roman" w:hAnsi="Times New Roman"/>
          <w:sz w:val="18"/>
          <w:szCs w:val="18"/>
          <w:i w:val="1"/>
          <w:iCs w:val="1"/>
          <w:color w:val="auto"/>
        </w:rPr>
        <w:t>www.pennantpark.com.</w:t>
      </w:r>
      <w:r>
        <w:rPr>
          <w:rFonts w:ascii="Times New Roman" w:cs="Times New Roman" w:eastAsia="Times New Roman" w:hAnsi="Times New Roman"/>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 %</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21"/>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common stockholder expenses (as a percentage of offering price) %</w:t>
            </w:r>
          </w:p>
        </w:tc>
        <w:tc>
          <w:tcPr>
            <w:tcW w:w="320" w:type="dxa"/>
            <w:vAlign w:val="bottom"/>
            <w:tcBorders>
              <w:top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shares)</w:t>
            </w:r>
            <w:r>
              <w:rPr>
                <w:rFonts w:ascii="Times New Roman" w:cs="Times New Roman" w:eastAsia="Times New Roman" w:hAnsi="Times New Roman"/>
                <w:sz w:val="11"/>
                <w:szCs w:val="11"/>
                <w:b w:val="1"/>
                <w:bCs w:val="1"/>
                <w:color w:val="auto"/>
              </w:rPr>
              <w:t>(4)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3.25%</w:t>
            </w:r>
            <w:r>
              <w:rPr>
                <w:rFonts w:ascii="Times New Roman" w:cs="Times New Roman" w:eastAsia="Times New Roman" w:hAnsi="Times New Roman"/>
                <w:sz w:val="11"/>
                <w:szCs w:val="11"/>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payable under the Investment Management Agreement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w:t>
            </w:r>
            <w:r>
              <w:rPr>
                <w:rFonts w:ascii="Times New Roman" w:cs="Times New Roman" w:eastAsia="Times New Roman" w:hAnsi="Times New Roman"/>
                <w:sz w:val="11"/>
                <w:szCs w:val="11"/>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2.06%</w:t>
            </w:r>
            <w:r>
              <w:rPr>
                <w:rFonts w:ascii="Times New Roman" w:cs="Times New Roman" w:eastAsia="Times New Roman" w:hAnsi="Times New Roman"/>
                <w:sz w:val="11"/>
                <w:szCs w:val="11"/>
                <w:color w:val="auto"/>
                <w:w w:val="97"/>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1.66%</w:t>
            </w:r>
            <w:r>
              <w:rPr>
                <w:rFonts w:ascii="Times New Roman" w:cs="Times New Roman" w:eastAsia="Times New Roman" w:hAnsi="Times New Roman"/>
                <w:sz w:val="11"/>
                <w:szCs w:val="11"/>
                <w:color w:val="auto"/>
                <w:w w:val="97"/>
              </w:rPr>
              <w:t>(8)</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9.23%</w:t>
            </w:r>
            <w:r>
              <w:rPr>
                <w:rFonts w:ascii="Times New Roman" w:cs="Times New Roman" w:eastAsia="Times New Roman" w:hAnsi="Times New Roman"/>
                <w:sz w:val="11"/>
                <w:szCs w:val="11"/>
                <w:color w:val="auto"/>
                <w:w w:val="97"/>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right="8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w:t>
      </w:r>
    </w:p>
    <w:p>
      <w:pPr>
        <w:spacing w:after="0" w:line="25"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our dividend reinvestment plan are included in “other expenses” because they are not material expenses.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 net assets at June 30, 2009.</w:t>
      </w:r>
    </w:p>
    <w:p>
      <w:pPr>
        <w:spacing w:after="0" w:line="76" w:lineRule="exact"/>
        <w:rPr>
          <w:rFonts w:ascii="Times New Roman" w:cs="Times New Roman" w:eastAsia="Times New Roman" w:hAnsi="Times New Roman"/>
          <w:sz w:val="18"/>
          <w:szCs w:val="18"/>
          <w:color w:val="auto"/>
        </w:rPr>
      </w:pPr>
    </w:p>
    <w:p>
      <w:pPr>
        <w:ind w:left="460" w:right="68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2.00% of our average adjusted gross total assets. See “Certain Relationships and Transactions—Investment Management Agreement.”</w:t>
      </w:r>
    </w:p>
    <w:p>
      <w:pPr>
        <w:spacing w:after="0" w:line="25" w:lineRule="exact"/>
        <w:rPr>
          <w:rFonts w:ascii="Times New Roman" w:cs="Times New Roman" w:eastAsia="Times New Roman" w:hAnsi="Times New Roman"/>
          <w:sz w:val="18"/>
          <w:szCs w:val="18"/>
          <w:color w:val="auto"/>
        </w:rPr>
      </w:pPr>
    </w:p>
    <w:p>
      <w:pPr>
        <w:ind w:left="460" w:right="40" w:hanging="452"/>
        <w:spacing w:after="0" w:line="253"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46" w:lineRule="exact"/>
        <w:rPr>
          <w:rFonts w:ascii="Times New Roman" w:cs="Times New Roman" w:eastAsia="Times New Roman" w:hAnsi="Times New Roman"/>
          <w:sz w:val="18"/>
          <w:szCs w:val="18"/>
          <w:color w:val="auto"/>
        </w:rPr>
      </w:pPr>
    </w:p>
    <w:p>
      <w:pPr>
        <w:ind w:left="460" w:right="260" w:hanging="452"/>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55" w:lineRule="exact"/>
        <w:rPr>
          <w:sz w:val="20"/>
          <w:szCs w:val="20"/>
          <w:color w:val="auto"/>
        </w:rPr>
      </w:pPr>
    </w:p>
    <w:p>
      <w:pPr>
        <w:ind w:left="460" w:right="220" w:hanging="452"/>
        <w:spacing w:after="0" w:line="25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the “Consolidated Statement of Operations” in our financial statements.</w:t>
      </w:r>
    </w:p>
    <w:p>
      <w:pPr>
        <w:spacing w:after="0" w:line="41"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5.68% of total assets. For a presentation and calculation of total annual expenses based on total assets, see page 37 of this prospectus.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92"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6.97% of net assets attributable to common shares as set forth in the table above (other than performance-based incentive fees) and (3) a 5% annual return: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7"/>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w w:val="88"/>
              </w:rPr>
              <w:t>$ 110</w:t>
            </w:r>
          </w:p>
        </w:tc>
        <w:tc>
          <w:tcPr>
            <w:tcW w:w="1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$ 239</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$ 362</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649</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9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3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or a prolonged disruption in the credit markets could materially damage our business.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to circumstances that we may be unable to control, such as a protracted disruption in the credit markets, a severe decline in the value of the United States dollar, a sharp economic downturn or an operational problem that affects third parties or us, and could materially damage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market developments may adversely affect our business and results of operations by reducing availability under our credit facility.</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55"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retain our status as a RIC;</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maintain a minimum amount of shareholder’s equity;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outstanding borrowings under the credit facility not exceed a certain percentage of the values of our portfolio companies.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continued compliance with these covenants depends on many factors, some of which are beyond our control. For example, during the fiscal year ended September 30, 2008, net unrealized depreciation in our portfolio increased and, given the further deterioration in public debt and equity markets and pricing levels subsequent to this period, net unrealized depreciation in our portfolio may continue to increase in the future. Further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b w:val="1"/>
          <w:bCs w:val="1"/>
          <w:color w:val="auto"/>
        </w:rPr>
        <w:t>We rely in part on our senior secured investments to provide us with adequate liquidity, but even these investments face liquidity constraints under current market conditions.</w:t>
      </w:r>
    </w:p>
    <w:p>
      <w:pPr>
        <w:spacing w:after="0" w:line="3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incurs credit risk when it loans money or commits to loan money to a portfolio company.</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addition, current market developments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Any unrealized losses we experience on our investment portfolio may be an indication of future realized losses, which could reduce our income available for distribution.</w:t>
      </w:r>
    </w:p>
    <w:p>
      <w:pPr>
        <w:spacing w:after="0" w:line="37"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As a business development company, we are required to carry our investments at market value or, if no market value is ascertainable or if market value does not reflect the fair value of such investment in the bona fide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two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21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In the past following periods of volatility in the market price of a company’s securities, securities class action litigation has often been brought against that company.</w:t>
      </w:r>
    </w:p>
    <w:p>
      <w:pPr>
        <w:spacing w:after="0" w:line="3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limited operating history.</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our credit facility in accordance with our investment objectives.</w:t>
      </w:r>
    </w:p>
    <w:p>
      <w:pPr>
        <w:spacing w:after="0" w:line="211" w:lineRule="exact"/>
        <w:rPr>
          <w:sz w:val="20"/>
          <w:szCs w:val="20"/>
          <w:color w:val="auto"/>
        </w:rPr>
      </w:pPr>
    </w:p>
    <w:p>
      <w:pPr>
        <w:ind w:right="60"/>
        <w:spacing w:after="0" w:line="336" w:lineRule="auto"/>
        <w:rPr>
          <w:sz w:val="20"/>
          <w:szCs w:val="20"/>
          <w:color w:val="auto"/>
        </w:rPr>
      </w:pPr>
      <w:r>
        <w:rPr>
          <w:rFonts w:ascii="Times New Roman" w:cs="Times New Roman" w:eastAsia="Times New Roman" w:hAnsi="Times New Roman"/>
          <w:sz w:val="16"/>
          <w:szCs w:val="16"/>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borrowers may default on their payments, which may have a materially negative effect on our financial performance.</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make long-term, subordinated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condition and results of operation will depend on our ability to manage future growth effectively.</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highly competitive market for investment opportunities.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8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PennantPark may not replicate the historical performance of other investment companies with which Mr. Penn and our other investment professionals have been affiliated.</w:t>
      </w:r>
    </w:p>
    <w:p>
      <w:pPr>
        <w:spacing w:after="0" w:line="37"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Mr. Penn, our Chief Executive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Officer and the Managing Member of our Investment Adviser, has had more than two years of experience managing the investments of PennantPark and approximately three years of experience managing another business development company. However,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failure on our part to maintain our status as a business development company would reduce our operating flexibility.</w:t>
      </w:r>
    </w:p>
    <w:p>
      <w:pPr>
        <w:spacing w:after="0" w:line="9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regulated investment company tax treatment would substantially reduce net assets and income available for debt service and dividends.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operated so as to qualify as a RIC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and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difficulty paying our required distributions if we recognize income before or without receiving cash representing such income.</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governing our operation as a BDC will affect our ability to, and the way in which we, raise additional capital.</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60" w:lineRule="exact"/>
        <w:rPr>
          <w:sz w:val="20"/>
          <w:szCs w:val="20"/>
          <w:color w:val="auto"/>
        </w:rPr>
      </w:pPr>
    </w:p>
    <w:p>
      <w:pPr>
        <w:ind w:left="900" w:right="140" w:hanging="325"/>
        <w:spacing w:after="0" w:line="25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Senior Securities. </w:t>
      </w:r>
      <w:r>
        <w:rPr>
          <w:rFonts w:ascii="Times New Roman" w:cs="Times New Roman" w:eastAsia="Times New Roman" w:hAnsi="Times New Roman"/>
          <w:sz w:val="18"/>
          <w:szCs w:val="18"/>
          <w:color w:val="auto"/>
        </w:rPr>
        <w:t>As a result of issuing senior securities, we would also be exposed to typical risks associated with leverage, including an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53" w:lineRule="exact"/>
        <w:rPr>
          <w:rFonts w:ascii="Times New Roman" w:cs="Times New Roman" w:eastAsia="Times New Roman" w:hAnsi="Times New Roman"/>
          <w:sz w:val="18"/>
          <w:szCs w:val="18"/>
          <w:color w:val="auto"/>
        </w:rPr>
      </w:pPr>
    </w:p>
    <w:p>
      <w:pPr>
        <w:ind w:left="900" w:right="20" w:hanging="325"/>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Common Stock. </w:t>
      </w:r>
      <w:r>
        <w:rPr>
          <w:rFonts w:ascii="Times New Roman" w:cs="Times New Roman" w:eastAsia="Times New Roman" w:hAnsi="Times New Roman"/>
          <w:sz w:val="18"/>
          <w:szCs w:val="18"/>
          <w:color w:val="auto"/>
        </w:rPr>
        <w:t>Our Board of Directors may decide to issue common stock to finance our operations rather than issuing debt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securities. As a BDC,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64" w:lineRule="exact"/>
        <w:rPr>
          <w:rFonts w:ascii="Times New Roman" w:cs="Times New Roman" w:eastAsia="Times New Roman" w:hAnsi="Times New Roman"/>
          <w:sz w:val="18"/>
          <w:szCs w:val="18"/>
          <w:color w:val="auto"/>
        </w:rPr>
      </w:pPr>
    </w:p>
    <w:p>
      <w:pPr>
        <w:ind w:left="900" w:right="120" w:hanging="325"/>
        <w:spacing w:after="0" w:line="25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Securitization. </w:t>
      </w:r>
      <w:r>
        <w:rPr>
          <w:rFonts w:ascii="Times New Roman" w:cs="Times New Roman" w:eastAsia="Times New Roman" w:hAnsi="Times New Roman"/>
          <w:sz w:val="18"/>
          <w:szCs w:val="18"/>
          <w:color w:val="auto"/>
        </w:rPr>
        <w:t>In addition to issuing securities to raise capital as described above, we anticipate that in the future, as market conditions permit,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80"/>
        <w:spacing w:after="0" w:line="254" w:lineRule="auto"/>
        <w:rPr>
          <w:sz w:val="20"/>
          <w:szCs w:val="20"/>
          <w:color w:val="auto"/>
        </w:rPr>
      </w:pPr>
      <w:r>
        <w:rPr>
          <w:rFonts w:ascii="Times New Roman" w:cs="Times New Roman" w:eastAsia="Times New Roman" w:hAnsi="Times New Roman"/>
          <w:sz w:val="18"/>
          <w:szCs w:val="18"/>
          <w:color w:val="auto"/>
        </w:rPr>
        <w:t>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currently use borrowed funds to make investments and are exposed to the typical risks associated with leverage.</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3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currently utilize a revolving five-year, $300 million credit facility to make investments in our portfolio companies. Our credit facility expires in June</w:t>
      </w:r>
    </w:p>
    <w:p>
      <w:pPr>
        <w:spacing w:after="0" w:line="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incur additional debt, it could increase the risk of investing in our shares.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As of June 30, 2009 we had outstanding borrowings of $187.3 million under our credit facility with an annual interest rate at that time of 1.31%. Accordingly, to cover the annual interest on our borrowings outstanding at June 30, 2009 at the then current rate we would have to receive an annual return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03"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As a BDC,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is designed to illustrate the effect on return to a holder of our common stock of the leverage created by our use of borrowing at June 30, 2009 of 33% of our total assets (including such borrowed funds), at the weighted average annual interest rate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return on portfolio (net of expenses)</w:t>
            </w:r>
            <w:r>
              <w:rPr>
                <w:rFonts w:ascii="Times New Roman" w:cs="Times New Roman" w:eastAsia="Times New Roman" w:hAnsi="Times New Roman"/>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Corresponding return to common stockholders</w:t>
            </w:r>
            <w:r>
              <w:rPr>
                <w:rFonts w:ascii="Times New Roman" w:cs="Times New Roman" w:eastAsia="Times New Roman" w:hAnsi="Times New Roman"/>
                <w:sz w:val="11"/>
                <w:szCs w:val="11"/>
                <w:color w:val="auto"/>
              </w:rPr>
              <w:t>(2)</w:t>
            </w:r>
          </w:p>
        </w:tc>
        <w:tc>
          <w:tcPr>
            <w:tcW w:w="2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assumed portfolio return is required by regulation of the SEC and is not a prediction of, and does not represent, our projected or actual performance.</w:t>
      </w:r>
    </w:p>
    <w:p>
      <w:pPr>
        <w:spacing w:after="0" w:line="99" w:lineRule="exact"/>
        <w:rPr>
          <w:rFonts w:ascii="Times New Roman" w:cs="Times New Roman" w:eastAsia="Times New Roman" w:hAnsi="Times New Roman"/>
          <w:sz w:val="16"/>
          <w:szCs w:val="16"/>
          <w:color w:val="auto"/>
        </w:rPr>
      </w:pPr>
    </w:p>
    <w:p>
      <w:pPr>
        <w:jc w:val="both"/>
        <w:ind w:left="460" w:right="60" w:hanging="452"/>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3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also assumes that we will maintain a constant level of leverage. The amount of leverage that we use will vary from time to time.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interest rates may affect our cost of capital and net investment income.</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June 30, 2009, the applicable LIBOR rate has decreased from 5.32% to 0.31%.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w:t>
      </w:r>
    </w:p>
    <w:p>
      <w:pPr>
        <w:spacing w:after="0" w:line="21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37"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3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issue preferred stock and/or debt securities, the net asset value and market value of our common stock may become more volatile.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our net assets, we would be in danger of failing to maintain required asset coverage ratios which may be required by the preferred stock and/or debt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8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Holders of any preferred stock that we may issue will have the right to elect members of the board of directors and have class voting rights on certain matters.</w:t>
      </w:r>
    </w:p>
    <w:p>
      <w:pPr>
        <w:spacing w:after="0" w:line="37"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market or market value of any publicly issued debt securities may be volatile.</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5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these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debt securities with terms identical to these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debt securities trading in the secondary market,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repayment features, if any, of these debt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credit ratings may not reflect all risks of an investment in debt securities.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relating to redemption may materially adversely affect the return on any debt securities.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99"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We have obtained, and in the future we may again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4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August 25, 2009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BDCs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w:t>
      </w:r>
    </w:p>
    <w:p>
      <w:pPr>
        <w:spacing w:after="0" w:line="13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issue subscription rights or warrants for our common stock, your interest in us may be diluted as a result of such rights or warrants offering.</w:t>
      </w:r>
    </w:p>
    <w:p>
      <w:pPr>
        <w:spacing w:after="0" w:line="92"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be exposed to risks associated with changes in interest rates.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339" w:lineRule="auto"/>
        <w:rPr>
          <w:sz w:val="20"/>
          <w:szCs w:val="20"/>
          <w:color w:val="auto"/>
        </w:rPr>
      </w:pPr>
      <w:r>
        <w:rPr>
          <w:rFonts w:ascii="Times New Roman" w:cs="Times New Roman" w:eastAsia="Times New Roman" w:hAnsi="Times New Roman"/>
          <w:sz w:val="16"/>
          <w:szCs w:val="16"/>
          <w:color w:val="auto"/>
        </w:rPr>
        <w:t>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need to raise additional capital to grow because we must distribute most of our income.</w:t>
      </w:r>
    </w:p>
    <w:p>
      <w:pPr>
        <w:spacing w:after="0" w:line="92" w:lineRule="exact"/>
        <w:rPr>
          <w:sz w:val="20"/>
          <w:szCs w:val="20"/>
          <w:color w:val="auto"/>
        </w:rPr>
      </w:pPr>
    </w:p>
    <w:p>
      <w:pPr>
        <w:jc w:val="both"/>
        <w:ind w:right="200" w:firstLine="456"/>
        <w:spacing w:after="0" w:line="256" w:lineRule="auto"/>
        <w:rPr>
          <w:sz w:val="20"/>
          <w:szCs w:val="20"/>
          <w:color w:val="auto"/>
        </w:rPr>
      </w:pPr>
      <w:r>
        <w:rPr>
          <w:rFonts w:ascii="Times New Roman" w:cs="Times New Roman" w:eastAsia="Times New Roman" w:hAnsi="Times New Roman"/>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3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fluctuations in our quarterly results.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significant potential conflicts of interest which could impact our investment returns.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3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laws or regulations governing our operations may adversely affect our business.</w:t>
      </w:r>
    </w:p>
    <w:p>
      <w:pPr>
        <w:spacing w:after="0" w:line="92"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may change our investment objectives, operating policies and strategies without prior notice or stockholder approval.</w:t>
      </w:r>
    </w:p>
    <w:p>
      <w:pPr>
        <w:spacing w:after="0" w:line="9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ILLIQUID NATURE OF OUR PORTFOLIO ASSETS</w:t>
      </w:r>
    </w:p>
    <w:p>
      <w:pPr>
        <w:spacing w:after="0" w:line="9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3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All of our investments are recorded using broker/dealers quotes, or at fair value as determined in good faith by our board of directors. We expect that primarily most, if not all, of the Company’s investments (other than cash and cash equivalents) and credit facility borrowings will be classified as Level 3 under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4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At June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lack of liquidity in our investments may adversely affect our business.</w:t>
      </w:r>
    </w:p>
    <w:p>
      <w:pPr>
        <w:spacing w:after="0" w:line="9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3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general disruption in the credit markets could materially damage our business.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We rely in part on our senior secured securities to provide us with adequate liquidity, but even these securities face liquidity constraints under current market conditions.</w:t>
      </w:r>
    </w:p>
    <w:p>
      <w:pPr>
        <w:spacing w:after="0" w:line="3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investments in prospective portfolio companies may be risky, and you could lose all or part of your investment.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invest primarily in mezzanine debt, senior secured loans and selected equity investments issued by U.S. middle-market companies.</w:t>
      </w:r>
    </w:p>
    <w:p>
      <w:pPr>
        <w:spacing w:after="0" w:line="16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Mezzanine Debt: </w:t>
      </w:r>
      <w:r>
        <w:rPr>
          <w:rFonts w:ascii="Times New Roman" w:cs="Times New Roman" w:eastAsia="Times New Roman" w:hAnsi="Times New Roman"/>
          <w:sz w:val="18"/>
          <w:szCs w:val="18"/>
          <w:color w:val="auto"/>
        </w:rPr>
        <w:t>Our mezzanine debt investments will generally be subordinated to senior secured loans and will generally be unsecured. This may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3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Senior Secured Loans: </w:t>
      </w:r>
      <w:r>
        <w:rPr>
          <w:rFonts w:ascii="Times New Roman" w:cs="Times New Roman" w:eastAsia="Times New Roman" w:hAnsi="Times New Roman"/>
          <w:sz w:val="16"/>
          <w:szCs w:val="16"/>
          <w:color w:val="auto"/>
        </w:rPr>
        <w:t>When we extend senior secured loans, we will generally take a security interest in the available assets of these portfolio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2" w:lineRule="exact"/>
        <w:rPr>
          <w:sz w:val="20"/>
          <w:szCs w:val="20"/>
          <w:color w:val="auto"/>
        </w:rPr>
      </w:pPr>
    </w:p>
    <w:p>
      <w:pPr>
        <w:jc w:val="both"/>
        <w:ind w:right="24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Equity Investments: </w:t>
      </w:r>
      <w:r>
        <w:rPr>
          <w:rFonts w:ascii="Times New Roman" w:cs="Times New Roman" w:eastAsia="Times New Roman" w:hAnsi="Times New Roman"/>
          <w:sz w:val="16"/>
          <w:szCs w:val="16"/>
          <w:color w:val="auto"/>
        </w:rPr>
        <w:t>We have made and expect to continue to make selected equity investments. In addition, when we invest in senior secured loans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1"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38" w:lineRule="exact"/>
        <w:rPr>
          <w:rFonts w:ascii="Times New Roman" w:cs="Times New Roman" w:eastAsia="Times New Roman" w:hAnsi="Times New Roman"/>
          <w:sz w:val="18"/>
          <w:szCs w:val="18"/>
          <w:color w:val="auto"/>
        </w:rPr>
      </w:pPr>
    </w:p>
    <w:p>
      <w:pPr>
        <w:ind w:left="900" w:right="440" w:hanging="325"/>
        <w:spacing w:after="0" w:line="334"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 w:lineRule="exact"/>
        <w:rPr>
          <w:rFonts w:ascii="Times New Roman" w:cs="Times New Roman" w:eastAsia="Times New Roman" w:hAnsi="Times New Roman"/>
          <w:sz w:val="16"/>
          <w:szCs w:val="16"/>
          <w:color w:val="auto"/>
        </w:rPr>
      </w:pPr>
    </w:p>
    <w:p>
      <w:pPr>
        <w:ind w:left="900" w:right="120" w:hanging="325"/>
        <w:spacing w:after="0" w:line="339"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460"/>
        <w:spacing w:after="0" w:line="275" w:lineRule="auto"/>
        <w:rPr>
          <w:sz w:val="20"/>
          <w:szCs w:val="20"/>
          <w:color w:val="auto"/>
        </w:rPr>
      </w:pPr>
      <w:r>
        <w:rPr>
          <w:rFonts w:ascii="Times New Roman" w:cs="Times New Roman" w:eastAsia="Times New Roman" w:hAnsi="Times New Roman"/>
          <w:sz w:val="18"/>
          <w:szCs w:val="18"/>
          <w:color w:val="auto"/>
        </w:rPr>
        <w:t>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2" w:lineRule="exact"/>
        <w:rPr>
          <w:sz w:val="20"/>
          <w:szCs w:val="20"/>
          <w:color w:val="auto"/>
        </w:rPr>
      </w:pPr>
    </w:p>
    <w:p>
      <w:pPr>
        <w:ind w:left="90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the capital markets to meet future capital needs, which may limit their ability to grow or to repay their outstanding indebtedness upon maturity.</w:t>
      </w:r>
    </w:p>
    <w:p>
      <w:pPr>
        <w:spacing w:after="0" w:line="199" w:lineRule="exact"/>
        <w:rPr>
          <w:sz w:val="20"/>
          <w:szCs w:val="20"/>
          <w:color w:val="auto"/>
        </w:rPr>
      </w:pPr>
    </w:p>
    <w:p>
      <w:pPr>
        <w:ind w:right="260"/>
        <w:spacing w:after="0" w:line="336" w:lineRule="auto"/>
        <w:rPr>
          <w:sz w:val="20"/>
          <w:szCs w:val="20"/>
          <w:color w:val="auto"/>
        </w:rPr>
      </w:pPr>
      <w:r>
        <w:rPr>
          <w:rFonts w:ascii="Times New Roman" w:cs="Times New Roman" w:eastAsia="Times New Roman" w:hAnsi="Times New Roman"/>
          <w:sz w:val="16"/>
          <w:szCs w:val="16"/>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for a complete list of the qualifying assets in which we may invest.</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2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recessions or downturns could impair our portfolio companies and harm our operating results.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80"/>
        <w:spacing w:after="0" w:line="339" w:lineRule="auto"/>
        <w:rPr>
          <w:sz w:val="20"/>
          <w:szCs w:val="20"/>
          <w:color w:val="auto"/>
        </w:rPr>
      </w:pPr>
      <w:r>
        <w:rPr>
          <w:rFonts w:ascii="Times New Roman" w:cs="Times New Roman" w:eastAsia="Times New Roman" w:hAnsi="Times New Roman"/>
          <w:sz w:val="16"/>
          <w:szCs w:val="16"/>
          <w:color w:val="auto"/>
        </w:rPr>
        <w:t>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74"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make follow-on investments in our portfolio companies, this could impair the value of our portfolio.</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w:t>
      </w:r>
    </w:p>
    <w:p>
      <w:pPr>
        <w:spacing w:after="0" w:line="39"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 We may elect not to make follow-on investments or otherwise lack sufficient funds to make those investments.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218"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3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4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have invested and intend to continue to invest primarily in privately held companies. Generally, little public information exists about these companies, and we will rely on the ability of our Investment Adviser’s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companies may incur debt that ranks equally with, or senior to, our investments in such companies.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incentive fee may induce the Investment Adviser to make speculative investments.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22"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We may make investments that cause our shareholders to bear investment advisory fees and other expenses on such investments in addition to our management fees and expenses.</w:t>
      </w:r>
    </w:p>
    <w:p>
      <w:pPr>
        <w:spacing w:after="0" w:line="37"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obligated to pay our Investment Adviser incentive compensation even if we incur a loss.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investments in foreign debt securities may involve significant risks in addition to the risks inherent in U.S. investments.</w:t>
      </w:r>
    </w:p>
    <w:p>
      <w:pPr>
        <w:spacing w:after="0" w:line="92"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8"/>
          <w:szCs w:val="18"/>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expose ourselves to risks if we engage in hedging transactions.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38"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of our charter and bylaws could deter takeover attempts and have an adverse impact on the price of our common stock.</w:t>
      </w:r>
    </w:p>
    <w:p>
      <w:pPr>
        <w:spacing w:after="0" w:line="3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4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risk that our stockholders may not receive distributions or that our distributions may not grow over time.</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shares may involve an above average degree of risk.</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risk that our common stockholders may receive our stock as dividends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January 7, 2009, the Internal Revenue Service issued a revenue procedure that temporarily allows a regulated investment company to distribute its own stock as a dividend for the purpose of fulfilling its distribution requirements. Pursuant to this revenue procedure, a regulated investment company may treat a distribution of its own stock as a dividend if (1) the stock is publicly traded on an established securities market,</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455" w:right="3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8"/>
        <w:spacing w:after="0" w:line="256"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declared with respect to a taxable year ending on or before December 31, 2009 and (3)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allocate the net proceeds from an offering in ways with which you may not agree.</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shares may trade at discounts from net asset value or at premiums that are unsustainable over the long term.</w:t>
      </w:r>
    </w:p>
    <w:p>
      <w:pPr>
        <w:spacing w:after="0" w:line="92" w:lineRule="exact"/>
        <w:rPr>
          <w:sz w:val="20"/>
          <w:szCs w:val="20"/>
          <w:color w:val="auto"/>
        </w:rPr>
      </w:pPr>
    </w:p>
    <w:p>
      <w:pPr>
        <w:jc w:val="both"/>
        <w:ind w:right="120" w:firstLine="456"/>
        <w:spacing w:after="0" w:line="256" w:lineRule="auto"/>
        <w:rPr>
          <w:sz w:val="20"/>
          <w:szCs w:val="20"/>
          <w:color w:val="auto"/>
        </w:rPr>
      </w:pPr>
      <w:r>
        <w:rPr>
          <w:rFonts w:ascii="Times New Roman" w:cs="Times New Roman" w:eastAsia="Times New Roman" w:hAnsi="Times New Roman"/>
          <w:sz w:val="18"/>
          <w:szCs w:val="18"/>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39" w:lineRule="exact"/>
        <w:rPr>
          <w:sz w:val="20"/>
          <w:szCs w:val="20"/>
          <w:color w:val="auto"/>
        </w:rPr>
      </w:pPr>
    </w:p>
    <w:p>
      <w:pPr>
        <w:ind w:left="90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business development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RIC status;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or variations in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Investment Adviser to employ additional experienced investment professionals or the departure of any of the Investment Adviser’s key personnel, including Mr. Penn;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unable to invest the net proceeds raised from offerings on acceptable terms, which would harm our financial condition and operating results.</w:t>
      </w:r>
    </w:p>
    <w:p>
      <w:pPr>
        <w:spacing w:after="0" w:line="115"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1"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 in interest rates on our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expect to use the net proceeds from selling securities pursuant to this prospectus primarily to reduce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2009, we had $112.7 million unused borrowing capacity, subject to maintenance of the applicable total assets to debt ratio of 200%,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$187.3 million in borrowings outstanding under our $300 million credit facility. Borrowings under our credit facility bear an annual interest rate equal to LIBOR</w:t>
      </w:r>
    </w:p>
    <w:p>
      <w:pPr>
        <w:spacing w:after="0" w:line="32" w:lineRule="exact"/>
        <w:rPr>
          <w:sz w:val="20"/>
          <w:szCs w:val="20"/>
          <w:color w:val="auto"/>
        </w:rPr>
      </w:pPr>
    </w:p>
    <w:p>
      <w:pPr>
        <w:ind w:right="200" w:firstLine="8"/>
        <w:spacing w:after="0" w:line="261" w:lineRule="auto"/>
        <w:tabs>
          <w:tab w:leader="none" w:pos="1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basis points, per annum. At June 30, 2009, this corresponded to an interest rate of 1.31%. The credit facility is a five-year revolving facility with a stated maturity date of June 25, 2012 and is secured by substantially all of the assets in our investment portfolio.</w:t>
      </w:r>
    </w:p>
    <w:p>
      <w:pPr>
        <w:spacing w:after="0" w:line="13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intend to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would expect to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 Temporary Investments” for additional information about temporary investments we may make prior to investing in core assets.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derived the quarterly financial information below from our unaudited financial data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 of Operations, Per Share Data and Balance Sheet Data for the year ended September 30, 2008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2200" w:type="dxa"/>
            <w:vAlign w:val="bottom"/>
            <w:gridSpan w:val="2"/>
          </w:tcPr>
          <w:p>
            <w:pPr>
              <w:jc w:val="right"/>
              <w:ind w:right="14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w w:val="98"/>
              </w:rPr>
              <w:t>June 30, 2009</w:t>
            </w: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September 30, 2007</w:t>
            </w: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3"/>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33,271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before base management fee waiver</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16,570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expenses after base management fee waiver</w:t>
            </w:r>
            <w:r>
              <w:rPr>
                <w:rFonts w:ascii="Times New Roman" w:cs="Times New Roman" w:eastAsia="Times New Roman" w:hAnsi="Times New Roman"/>
                <w:sz w:val="11"/>
                <w:szCs w:val="11"/>
                <w:color w:val="auto"/>
              </w:rPr>
              <w:t>(1)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16,570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16,701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loss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(7,078)</w:t>
            </w:r>
          </w:p>
        </w:tc>
        <w:tc>
          <w:tcPr>
            <w:tcW w:w="160" w:type="dxa"/>
            <w:vAlign w:val="bottom"/>
          </w:tcPr>
          <w:p>
            <w:pPr>
              <w:spacing w:after="0"/>
              <w:rPr>
                <w:sz w:val="18"/>
                <w:szCs w:val="18"/>
                <w:color w:val="auto"/>
              </w:rPr>
            </w:pPr>
          </w:p>
        </w:tc>
        <w:tc>
          <w:tcPr>
            <w:tcW w:w="22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(59,259)</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9,622</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(40,703)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period end)</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11.72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Pr>
          <w:p>
            <w:pPr>
              <w:spacing w:after="0"/>
              <w:rPr>
                <w:sz w:val="18"/>
                <w:szCs w:val="18"/>
                <w:color w:val="auto"/>
              </w:rPr>
            </w:pPr>
          </w:p>
        </w:tc>
        <w:tc>
          <w:tcPr>
            <w:tcW w:w="22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401,103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393,138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372,148</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outstanding</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134,058</w:t>
            </w:r>
            <w:r>
              <w:rPr>
                <w:rFonts w:ascii="Times New Roman" w:cs="Times New Roman" w:eastAsia="Times New Roman" w:hAnsi="Times New Roman"/>
                <w:sz w:val="11"/>
                <w:szCs w:val="11"/>
                <w:color w:val="auto"/>
              </w:rPr>
              <w:t>(4)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investments and unfunded investments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10,515</w:t>
            </w:r>
          </w:p>
        </w:tc>
        <w:tc>
          <w:tcPr>
            <w:tcW w:w="160" w:type="dxa"/>
            <w:vAlign w:val="bottom"/>
          </w:tcPr>
          <w:p>
            <w:pPr>
              <w:spacing w:after="0"/>
              <w:rPr>
                <w:sz w:val="18"/>
                <w:szCs w:val="18"/>
                <w:color w:val="auto"/>
              </w:rPr>
            </w:pPr>
          </w:p>
        </w:tc>
        <w:tc>
          <w:tcPr>
            <w:tcW w:w="220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9,553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 value</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246,977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210,728</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w:t>
            </w:r>
            <w:r>
              <w:rPr>
                <w:rFonts w:ascii="Times New Roman" w:cs="Times New Roman" w:eastAsia="Times New Roman" w:hAnsi="Times New Roman"/>
                <w:sz w:val="11"/>
                <w:szCs w:val="11"/>
                <w:color w:val="auto"/>
              </w:rPr>
              <w:t>(2)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Pr>
          <w:p>
            <w:pPr>
              <w:spacing w:after="0"/>
              <w:rPr>
                <w:sz w:val="18"/>
                <w:szCs w:val="18"/>
                <w:color w:val="auto"/>
              </w:rPr>
            </w:pPr>
          </w:p>
        </w:tc>
        <w:tc>
          <w:tcPr>
            <w:tcW w:w="22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portfolio companies (at period end)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Yield on debt portfolio (at period end)</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9"/>
                <w:szCs w:val="19"/>
                <w:color w:val="auto"/>
              </w:rPr>
            </w:pP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11"/>
                <w:szCs w:val="11"/>
                <w:color w:val="auto"/>
              </w:rPr>
              <w:t>(3)</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8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waiver was in effect from Inception through March 31, 2008. See “Certain Relationships and Transactions-Investment Advisory Fees.”</w:t>
      </w:r>
    </w:p>
    <w:p>
      <w:pPr>
        <w:spacing w:after="0" w:line="38" w:lineRule="exact"/>
        <w:rPr>
          <w:rFonts w:ascii="Times New Roman" w:cs="Times New Roman" w:eastAsia="Times New Roman" w:hAnsi="Times New Roman"/>
          <w:sz w:val="18"/>
          <w:szCs w:val="18"/>
          <w:color w:val="auto"/>
        </w:rPr>
      </w:pPr>
    </w:p>
    <w:p>
      <w:pPr>
        <w:ind w:left="460" w:right="24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based on the change in market price per share and takes into account dividends and distributions, if any, reinvested in accordance with our dividend reinvestment plan. Total return is not annualized.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fair value.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Data (Unaudited)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$10,425</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$ 12,077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5,768</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(6,486)</w:t>
            </w: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$36,932</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(37,525)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$42,199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20" w:type="dxa"/>
            <w:vAlign w:val="bottom"/>
            <w:gridSpan w:val="3"/>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3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11,431</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9,662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9,714</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5,434</w:t>
            </w:r>
          </w:p>
        </w:tc>
        <w:tc>
          <w:tcPr>
            <w:tcW w:w="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4,449</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4"/>
              </w:rPr>
              <w:t>(16,475)</w:t>
            </w:r>
          </w:p>
        </w:tc>
        <w:tc>
          <w:tcPr>
            <w:tcW w:w="6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$11,263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(37,778)</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(16,269)</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4"/>
              </w:rPr>
              <w:t>(11,041)</w:t>
            </w:r>
          </w:p>
        </w:tc>
        <w:tc>
          <w:tcPr>
            <w:tcW w:w="6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w w:val="95"/>
              </w:rPr>
              <w:t>$15,204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93"/>
              </w:rPr>
              <w:t>$ (33,329)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(1.58)</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6"/>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$ 5,425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$ 3,208</w:t>
            </w:r>
          </w:p>
        </w:tc>
        <w:tc>
          <w:tcPr>
            <w:tcW w:w="2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 (18,870)</w:t>
            </w: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$(5,152)</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w w:val="93"/>
              </w:rPr>
              <w:t>$ (14,522)</w:t>
            </w:r>
          </w:p>
        </w:tc>
        <w:tc>
          <w:tcPr>
            <w:tcW w:w="1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$ 13.74</w:t>
            </w:r>
          </w:p>
        </w:tc>
        <w:tc>
          <w:tcPr>
            <w:tcW w:w="2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364"/>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57"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1"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20"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55"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of our common stock and other securities;</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investments, including fees and expenses associated with performing due diligence and reviews of prospective investments;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Investment Adviser in performing due diligence and reviews of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 and any stock exchange listing fees;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officers/errors and omissions liability insurance and other insurance premiums;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such as printing, mailing, long distance telephone and staff;</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costs;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reporting and compliance obligations under the 1940 Act and applicable federal and state securities laws; and</w:t>
      </w:r>
    </w:p>
    <w:p>
      <w:pPr>
        <w:spacing w:after="0" w:line="90"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6"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Although the base management fee is 2.00% of average adjusted gross total assets, the Investment Adviser agreed to waive a portion of the base management fee. As a result, the base management fee equaled 1.50% from the consummation of the initial public offering through September 30, 2007 and 1.75% from October 1, 2007 through March 31, 2008. The base management fee has been 2.00% since March 31, 2008.</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SEC requires that “Total Annual Expenses” be calculated as a percentage of net assets in the chart on page 6 of this prospectus rather than as a percentage of total assets. Total assets includes assets that have been funded with borrowed monies (leverage). For reference, the chart below illustrates our “Total Annual Expenses” as a percentage of total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Estimated Annual Expenses (as a Percentage of Total Assets)</w:t>
            </w:r>
          </w:p>
        </w:tc>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4420" w:type="dxa"/>
            <w:vAlign w:val="bottom"/>
            <w:gridSpan w:val="3"/>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2.00%</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fees payable under the Investment Management Agreement</w:t>
            </w:r>
          </w:p>
        </w:tc>
        <w:tc>
          <w:tcPr>
            <w:tcW w:w="442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4420" w:type="dxa"/>
            <w:vAlign w:val="bottom"/>
            <w:gridSpan w:val="3"/>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7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Annual Expenses</w:t>
            </w:r>
          </w:p>
        </w:tc>
        <w:tc>
          <w:tcPr>
            <w:tcW w:w="3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2.00% of our average adjusted gross total assets. See “Certain Relationships and Transactions—Investment Management Agreement”</w:t>
      </w:r>
    </w:p>
    <w:p>
      <w:pPr>
        <w:spacing w:after="0" w:line="25"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in respect of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46" w:lineRule="exact"/>
        <w:rPr>
          <w:rFonts w:ascii="Times New Roman" w:cs="Times New Roman" w:eastAsia="Times New Roman" w:hAnsi="Times New Roman"/>
          <w:sz w:val="18"/>
          <w:szCs w:val="18"/>
          <w:color w:val="auto"/>
        </w:rPr>
      </w:pPr>
    </w:p>
    <w:p>
      <w:pPr>
        <w:ind w:left="460" w:right="140" w:hanging="452"/>
        <w:spacing w:after="0" w:line="25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2009, we had $112.7 million of unused borrowing capacity,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46" w:lineRule="exact"/>
        <w:rPr>
          <w:rFonts w:ascii="Times New Roman" w:cs="Times New Roman" w:eastAsia="Times New Roman" w:hAnsi="Times New Roman"/>
          <w:sz w:val="18"/>
          <w:szCs w:val="18"/>
          <w:color w:val="auto"/>
        </w:rPr>
      </w:pPr>
    </w:p>
    <w:p>
      <w:pPr>
        <w:ind w:left="460" w:right="180" w:hanging="452"/>
        <w:spacing w:after="0" w:line="258"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among other expenses,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“Consolidated Statement of Operations” in our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 is based upon our financial statements, which have been prepared in accordance with U.S. generally accepted accounting principles, or “GAAP.”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39" w:lineRule="exact"/>
        <w:rPr>
          <w:sz w:val="20"/>
          <w:szCs w:val="20"/>
          <w:color w:val="auto"/>
        </w:rPr>
      </w:pPr>
    </w:p>
    <w:p>
      <w:pPr>
        <w:ind w:left="900" w:right="44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90"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55" w:lineRule="exact"/>
        <w:rPr>
          <w:rFonts w:ascii="Times New Roman" w:cs="Times New Roman" w:eastAsia="Times New Roman" w:hAnsi="Times New Roman"/>
          <w:sz w:val="18"/>
          <w:szCs w:val="18"/>
          <w:color w:val="auto"/>
        </w:rPr>
      </w:pPr>
    </w:p>
    <w:p>
      <w:pPr>
        <w:ind w:left="900" w:right="260" w:hanging="446"/>
        <w:spacing w:after="0" w:line="339"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2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September 2006, the Financial Accounting Standards Board issued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SFAS No. 157 classifies the inputs used to measure these fair values into following hierarchy: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Inputs that are quoted prices (unadjusted) in active markets for identical assets or liabilities, accessible by the Company at the measurement date.</w:t>
      </w:r>
    </w:p>
    <w:p>
      <w:pPr>
        <w:spacing w:after="0" w:line="113" w:lineRule="exact"/>
        <w:rPr>
          <w:sz w:val="20"/>
          <w:szCs w:val="20"/>
          <w:color w:val="auto"/>
        </w:rPr>
      </w:pPr>
    </w:p>
    <w:p>
      <w:pPr>
        <w:jc w:val="both"/>
        <w:ind w:left="460" w:right="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and inputs that are observable for the asset or liability, either directly or indirectly, for substantially the full term, if applicable, of the financial instrument.</w:t>
      </w:r>
    </w:p>
    <w:p>
      <w:pPr>
        <w:spacing w:after="0" w:line="46" w:lineRule="exact"/>
        <w:rPr>
          <w:sz w:val="20"/>
          <w:szCs w:val="20"/>
          <w:color w:val="auto"/>
        </w:rPr>
      </w:pPr>
    </w:p>
    <w:p>
      <w:pPr>
        <w:ind w:left="460" w:right="3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for an asset or liability because they are based on the Company’s own assumptions about how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price the asset or liability.</w:t>
      </w:r>
    </w:p>
    <w:p>
      <w:pPr>
        <w:spacing w:after="0" w:line="118" w:lineRule="exact"/>
        <w:rPr>
          <w:sz w:val="20"/>
          <w:szCs w:val="20"/>
          <w:color w:val="auto"/>
        </w:rPr>
      </w:pPr>
    </w:p>
    <w:p>
      <w:pPr>
        <w:ind w:right="880" w:firstLine="456"/>
        <w:spacing w:after="0" w:line="339"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3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Liabilities—Including an Amendment of FASB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115</w:t>
      </w:r>
      <w:r>
        <w:rPr>
          <w:rFonts w:ascii="Times New Roman" w:cs="Times New Roman" w:eastAsia="Times New Roman" w:hAnsi="Times New Roman"/>
          <w:sz w:val="18"/>
          <w:szCs w:val="18"/>
          <w:color w:val="auto"/>
        </w:rPr>
        <w:t>. This statement permits an entity to choose to measure many financial instruments and certain other items at fair value. This statement applies to all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April 2009, the FASB issued FASB Staff Position No. 157-4, </w:t>
      </w:r>
      <w:r>
        <w:rPr>
          <w:rFonts w:ascii="Times New Roman" w:cs="Times New Roman" w:eastAsia="Times New Roman" w:hAnsi="Times New Roman"/>
          <w:sz w:val="18"/>
          <w:szCs w:val="18"/>
          <w:i w:val="1"/>
          <w:iCs w:val="1"/>
          <w:color w:val="auto"/>
        </w:rPr>
        <w:t>Determining Fair Value When the Volume and Level of Activity for the Asset or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Have Significantly Decreased and Identifying Transactions That Are Not Orderly </w:t>
      </w:r>
      <w:r>
        <w:rPr>
          <w:rFonts w:ascii="Times New Roman" w:cs="Times New Roman" w:eastAsia="Times New Roman" w:hAnsi="Times New Roman"/>
          <w:sz w:val="18"/>
          <w:szCs w:val="18"/>
          <w:color w:val="auto"/>
        </w:rPr>
        <w:t>(“FSP No. 157-4”). FSP No. 157-4 made amendments to SFAS No. 157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4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or Losses and Net Change in Unrealized Appreciation or Depreciation</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in Kind Interest</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32"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Our core assets totaled $346.3 million and consisted of investments in twenty-five different companies with an average investment size of $13.9 million per company and a weighted average yield of 11.6% on debt investments. Our non-core senior secured loan portfolio totaled $46.8 million and consisted of thirteen different companies (including one company also in our core portfolio) with an average investment size of $3.6 million and a weighted average yield of 3.3% on debt investments. Of our debt portfolio, 51% were invested in fixed-rate investments (or contained a LIBOR floor) and 49% in variable-rate investments. Overall, the portfolio had an unrealized depreciation of $59.7 million as of June 30, 2009. Our overall portfolio consisted of thirty-seven companies with an average investment size of $10.6 million and a weighted average yield on debt investments of 10.4%, and was invested 25% in senior secured loans, 28% in second lien secured debt, 40% in subordinated debt, 3% in preferred equity and 4% in common equity investments.</w:t>
      </w:r>
    </w:p>
    <w:p>
      <w:pPr>
        <w:spacing w:after="0" w:line="14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of September 30, 2008, our portfolio totaled $372.1 million and consisted of $78.8 million of senior secured loans, $104.2 million of second lien secured debt, $166.2 million of subordinated debt, $9.3 million of preferred equity and $13.6 million of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 investments. Of our debt portfolio, 45% were invested in fixed-rate investments and 55% in variable-rate investments. Overall, our portfolio had an unrealized depreciation of $72.0 million as of September 30, 2008. Our overall portfolio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 investments.</w:t>
      </w:r>
    </w:p>
    <w:p>
      <w:pPr>
        <w:spacing w:after="0" w:line="14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of September 30, 2007 our portfolio totaled $291.0 million and consisted of $57.3 million of subordinated debt, $67.8 million of second lien secured debt, $7.0 million of equity investments and $158.9 million of senior secured loans.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On September 30, 2007 our portfolio consisted of 38 companies and was invested 20% in subordinated debt, 23% in second lien secured debt, 2% in equity investments and 55% in senior secured loans.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Set forth below are our results of operations for the nine months ended June 30, 2009 and 2008; and for the year ended September 30, 2008 and for the period January 11, 2007 (inception) to September 2007.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9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Total investment income for the nine months ended June 30, 2009, was $33.3 million of which $13.6 million was attributable to senior secured loan investments, $10.6 million was attributable to second lien secured debt investments, and $7.4 million was attributable to subordinated debt investments. The remaining investment income was primarily attributable to interest income from short-term investments and to net accretion of discount and amortization of premium. The increase in investment income compared with the same period in the prior year is due to the growth of our portfolio, the transition of the portfolio from temporary to long-term core investments, offset by lower interest rates.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Investment income for the nine months ended June 30, 2008 was $28.4 million. Investment income for the nine months ended June 30, 2008 was primarily attributed to $11.6 million of interest income from senior secured loan investments; $10.5 million from our second lien secured debt investments; and $5.1 million from our subordinated debt investments. The remaining investment income was primarily attributed to interest income from short-term investments and to accretion of discount and amortization of premium.</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Investment income for the fiscal year ended September 30, 2008 was $39.8 million. Interest income from senior secured loan investments totaled $16.2 million; $14.7 million from second lien secured debt investments; and $7.2 million from subordinated debt investments for the same period. The remaining investment income was primarily attributable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Net expenses for the nine months ended June 30, 2009 totaled $16.6 million, which consisted of a base management fee which totaled $5.5 million, performance-based incentive fees which totaled $4.2 million, credit facility related expenses which totaled $3.8 million and general and administrative expenses, which totaled $3.1 million.</w:t>
      </w:r>
    </w:p>
    <w:p>
      <w:pPr>
        <w:spacing w:after="0" w:line="132" w:lineRule="exact"/>
        <w:rPr>
          <w:sz w:val="20"/>
          <w:szCs w:val="20"/>
          <w:color w:val="auto"/>
        </w:rPr>
      </w:pPr>
    </w:p>
    <w:p>
      <w:pPr>
        <w:ind w:right="640" w:firstLine="456"/>
        <w:spacing w:after="0" w:line="262" w:lineRule="auto"/>
        <w:rPr>
          <w:sz w:val="20"/>
          <w:szCs w:val="20"/>
          <w:color w:val="auto"/>
        </w:rPr>
      </w:pPr>
      <w:r>
        <w:rPr>
          <w:rFonts w:ascii="Times New Roman" w:cs="Times New Roman" w:eastAsia="Times New Roman" w:hAnsi="Times New Roman"/>
          <w:sz w:val="18"/>
          <w:szCs w:val="18"/>
          <w:color w:val="auto"/>
        </w:rPr>
        <w:t>Net expenses for the nine months ended June 30, 2008 totaled $15.2 million. Of these totals, $4.4 million were attributable to credit facility related expenses and $3.6 million to general and administrative expenses, respectively. Net base management fee for the same period totaled $4.8 million and performance-based incentive fee totaled $2.4 million, respectively.</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from fiscal year 2007 to 2008 was due, primarily, to the growth of our portfolio and the incurrence of additional borrowing costs under our credit facility.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expenses totaled $5.8 million for the period January 11, 2007 (inception) through September 30, 2007. Of these totals, approximately $1.8 million were for interest and other credit facility related expenses for the period January 11, 2007 (inception) through September 30, 2007. In addition, of these totals, approximately $313,000 was for non-recurring, primarily, legal and corporate tax expenses for the period January 11, 2007 (inception) through September 30, 2007. General and Administrative expenses totaled $1.7 million for the period January 11, 2007 (inception) through September 30, 2007. Net investment management fee totaled $1.9 million for the period January 11, 2007 (inception) through September 30, 2007. PennantPark Investment Advisers did not receive a management or incentive fee for its services performed on our behalf prior to the completion of our initial public offering on April 24, 2007.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Net investment income totaled $16.7 million or $0.79 per share for the nine months ended June 30, 2009. Net investment income totaled $13.1 million or $0.62 per share for the nine months ended June 30, 2008.</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Net investment income totaled $18.6 million or $0.88 per share, for the fiscal year ended September 30, 2008, and $7.3 million or $0.35 per share for the period from January 11, 2007 (inception) through September 30, 2007.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Loss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and repayments of long-term investments for the nine months ended June 30, 2009 totaled $12.9 million and realized losses totaled $30.8 million.</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Sales and repayments of long-term investments for the nine months ended June 30, 2008 totaled $14.4 million and net realized losses totaled approximately $621,000, respectively.</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Sales and repayments of long-term investments for the fiscal year ended September 30, 2008 totaled $70.1 million and net realized losses totaled $11.2 million due to sale of senior secured loans.</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had investment sales of senior secured loans totaling $99.6 million for the period January 11, 2007 (inception) through September 30, 2007. Net realized losses totaled approximately $82,000 for the period January 11, 2007 (inception) through September 30, 2007.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Appreciation/Depreciation on Investments, Cash Equivalents and Credit Facility</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For the nine months ended June 30, 2009, our investments had a net change in unrealized appreciation of $12.3 million. For the nine months ended June 30, 2009, our credit facility had a net change in unrealized depreciation of $11.4 million.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cash equivalents had a net (decrease) in unrealized appreciation of ($42.2) million for the nine months ended June 30, 2008.</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unrealized depreciation on investments totaled $48.1 million for the fiscal year ended September 30, 2008.</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unrealized depreciation on investments totaled $23.9 million for the period January 11, 2007 (inception) through September 30, 2007.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Increase/Decrease in Net Assets from Operations</w:t>
      </w:r>
    </w:p>
    <w:p>
      <w:pPr>
        <w:spacing w:after="0" w:line="94"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For the nine months ended June 30, 2009 there was a net increase of $9.6 million or $0.45 per share, respectively, primarily due to an increase in investment values offset by a net decline in market value of our credit facility over the past nine months.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(decrease) in net assets resulting from operations totaled ($29.7) million or ($1.40) per share, for the nine months ended June 30, 2008, respectively.</w:t>
      </w:r>
    </w:p>
    <w:p>
      <w:pPr>
        <w:spacing w:after="0" w:line="1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Net decrease in net assets resulting from operations totaled $40.7 million, or $1.93 per share, for the fiscal year ended September 30, 2008, primarily due to the overall decline in market values for investments held in our portfolio.</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net decrease in net assets resulting from operations totaled $16.7 million for the period January 11, 2007 (inception) through September 30, 2007 or $0.80 cents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June 25, 2007, we entered into a senior secured revolving credit agreement (our “credit facility”) among us, various lenders and SunTrust Bank, as administrative agent for the lenders. SunTrust Robinson Humphrey Capital Markets acted as the joint lead arranger and book-runner, and Bear Stearns Corporate Lending Inc. (successor interest is Chase Lincoln First Commercial) acted as joint lead arranger and syndication agent. As of June 30, 2009, we had outstanding borrowings of $187.3 million under our credit facility with an annual interest rate of 1.31%.</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32" w:lineRule="exact"/>
        <w:rPr>
          <w:sz w:val="20"/>
          <w:szCs w:val="20"/>
          <w:color w:val="auto"/>
        </w:rPr>
      </w:pPr>
    </w:p>
    <w:p>
      <w:pPr>
        <w:ind w:right="260" w:firstLine="456"/>
        <w:spacing w:after="0" w:line="285" w:lineRule="auto"/>
        <w:rPr>
          <w:sz w:val="20"/>
          <w:szCs w:val="20"/>
          <w:color w:val="auto"/>
        </w:rPr>
      </w:pPr>
      <w:r>
        <w:rPr>
          <w:rFonts w:ascii="Times New Roman" w:cs="Times New Roman" w:eastAsia="Times New Roman" w:hAnsi="Times New Roman"/>
          <w:sz w:val="16"/>
          <w:szCs w:val="16"/>
          <w:color w:val="auto"/>
        </w:rPr>
        <w:t>The Credit Agreement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ind w:right="20" w:firstLine="8"/>
        <w:spacing w:after="0" w:line="252"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PennantPark’s shareholders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4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2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June 30, 2009, PennantPark Investment had $187.3 million borrowings under our senior secured revolving credit facility, and $112.7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Equity capital may be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difficult to raise because, subject to some limited exceptions, we are not generally able to issue and sell our common stock at a price below net asset value per share, unless we obtain shareholder approval.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38"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Subsequent to June 30, 2009 and through the date of this report, economic conditions in the United States have continued to be weak. As a result our net asset value may decline.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10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On June 30, 2009, we had $0.5 million in cash equivalents. 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 million for the nine months ended June 30, 2009. Our financing activities resulted in a net cash outflow of cash of $29.9 million for the same periods, primarily from repayments under our credit facility.</w:t>
      </w:r>
    </w:p>
    <w:p>
      <w:pPr>
        <w:spacing w:after="0" w:line="1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September 30, 2008, we had $40.2 million in cash equivalents. During the twelve months ended September 30,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use of cash of $390.7 million for the fiscal year ended September 30, 2008, and our financing activities resulted in a net inflow of cash of $173.0 million for the same period, primarily from borrowings under our credit facility.</w:t>
      </w:r>
    </w:p>
    <w:p>
      <w:pPr>
        <w:spacing w:after="0" w:line="13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On September 30, 2007, we had $252.8 million in cash equivalents. Our operating activities resulted in a net outflow of cash equal to $37.9 million for the period from January 11, 2007 (inception) through September 30, 2007 and our financing activities resulted in a net inflow of cash of $295.8 million for the same period, primarily from the issuance of our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for the repayment of outstanding borrowing under our credit facility maturing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5"/>
        </w:trPr>
        <w:tc>
          <w:tcPr>
            <w:tcW w:w="4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 1</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More than 5</w:t>
            </w:r>
          </w:p>
        </w:tc>
      </w:tr>
      <w:tr>
        <w:trPr>
          <w:trHeight w:val="165"/>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1-3 years</w:t>
            </w: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3-5 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credit facility</w:t>
            </w:r>
            <w:r>
              <w:rPr>
                <w:rFonts w:ascii="Times New Roman" w:cs="Times New Roman" w:eastAsia="Times New Roman" w:hAnsi="Times New Roman"/>
                <w:sz w:val="11"/>
                <w:szCs w:val="11"/>
                <w:color w:val="auto"/>
              </w:rPr>
              <w:t>(1)</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75"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2009, $112.7 million of borrowing capacity remained unused under our credit facility, subject to maintenance of the applicable total assets to debt ratio of 200%.</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entered into certain contracts under which we have material future commitments. On April 17, 2007 we entered an Investment Management Agreement which was renewed in February 2009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our Administration Agreement dated April 17, 2007,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4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engage in no off-balance sheet arrangements, including any risk management of commodity pricing or other hedging practices.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issued Statement of Financial Accounting Standards (“SFAS”) 157,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(“SFAS 157”), which clarifies the definition of fair value and requires companies to expand their disclosure about the use of fair value to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Including an Amendment of FASB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115 </w:t>
      </w:r>
      <w:r>
        <w:rPr>
          <w:rFonts w:ascii="Times New Roman" w:cs="Times New Roman" w:eastAsia="Times New Roman" w:hAnsi="Times New Roman"/>
          <w:sz w:val="18"/>
          <w:szCs w:val="18"/>
          <w:color w:val="auto"/>
        </w:rPr>
        <w:t>(“SFAS 159”). This statement permits an entity to elect to measure many financial instruments and certain other items at fair value. This statement applies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April 2009, the FASB issued FASB Staff Position No. 157-4, </w:t>
      </w:r>
      <w:r>
        <w:rPr>
          <w:rFonts w:ascii="Times New Roman" w:cs="Times New Roman" w:eastAsia="Times New Roman" w:hAnsi="Times New Roman"/>
          <w:sz w:val="18"/>
          <w:szCs w:val="18"/>
          <w:i w:val="1"/>
          <w:iCs w:val="1"/>
          <w:color w:val="auto"/>
        </w:rPr>
        <w:t>Determining Fair Value When the Volume and Level of Activity for the Asset or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Have Significantly Decreased and Identifying Transactions That Are Not Orderly </w:t>
      </w:r>
      <w:r>
        <w:rPr>
          <w:rFonts w:ascii="Times New Roman" w:cs="Times New Roman" w:eastAsia="Times New Roman" w:hAnsi="Times New Roman"/>
          <w:sz w:val="18"/>
          <w:szCs w:val="18"/>
          <w:color w:val="auto"/>
        </w:rPr>
        <w:t>(“FSP 157-4”), which provides further clarification for the application of SFAS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our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92"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9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2009 and June 30, 2008 we paid to stockholders distributions of $0.72 and $0.66 per share, respectively, for a total distribution of $15.2 million and $13.9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3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During each of the nine months ended June 30, 2009 and June 30, 2008, $1.2 million in dividend payments were reinvested in our common stock through open market purchases under our dividend reinvestment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intend to continue to distribute quarterly dividends to our stockholders. Our quarterly dividends, if any, will be determined by our board of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dividends declared since our inception have been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r>
      <w:tr>
        <w:trPr>
          <w:trHeight w:val="165"/>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Declared</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tcPr>
          <w:p>
            <w:pPr>
              <w:spacing w:after="0"/>
              <w:rPr>
                <w:sz w:val="19"/>
                <w:szCs w:val="19"/>
                <w:color w:val="auto"/>
              </w:rPr>
            </w:pPr>
          </w:p>
        </w:tc>
      </w:tr>
      <w:tr>
        <w:trPr>
          <w:trHeight w:val="109"/>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Pr>
          <w:p>
            <w:pPr>
              <w:spacing w:after="0"/>
              <w:rPr>
                <w:sz w:val="19"/>
                <w:szCs w:val="19"/>
                <w:color w:val="auto"/>
              </w:rPr>
            </w:pPr>
          </w:p>
        </w:tc>
      </w:tr>
      <w:tr>
        <w:trPr>
          <w:trHeight w:val="109"/>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0.36*</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$0.00107 per share is a tax return of capital</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Assuming that the balance sheet as of June 30, 2009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3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97"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September 30, 2007, September 30, 2008 and June 30, 2009. The information for September 30, 2007 and September 30, 2008 has been derived from our financial statements which have been audited by KPMG LLP.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4"/>
              </w:rPr>
              <w:t>Involuntary</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600" w:type="dxa"/>
            <w:vAlign w:val="bottom"/>
          </w:tcPr>
          <w:p>
            <w:pPr>
              <w:spacing w:after="0"/>
              <w:rPr>
                <w:sz w:val="12"/>
                <w:szCs w:val="12"/>
                <w:color w:val="auto"/>
              </w:rPr>
            </w:pPr>
          </w:p>
        </w:tc>
        <w:tc>
          <w:tcPr>
            <w:tcW w:w="13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Liquidating</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8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Total Amount</w:t>
            </w:r>
          </w:p>
        </w:tc>
        <w:tc>
          <w:tcPr>
            <w:tcW w:w="300" w:type="dxa"/>
            <w:vAlign w:val="bottom"/>
          </w:tcPr>
          <w:p>
            <w:pPr>
              <w:spacing w:after="0"/>
              <w:rPr>
                <w:sz w:val="12"/>
                <w:szCs w:val="12"/>
                <w:color w:val="auto"/>
              </w:rPr>
            </w:pPr>
          </w:p>
        </w:tc>
        <w:tc>
          <w:tcPr>
            <w:tcW w:w="6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8"/>
              </w:rPr>
              <w:t>Coverage</w:t>
            </w:r>
          </w:p>
        </w:tc>
        <w:tc>
          <w:tcPr>
            <w:tcW w:w="600" w:type="dxa"/>
            <w:vAlign w:val="bottom"/>
          </w:tcPr>
          <w:p>
            <w:pPr>
              <w:spacing w:after="0"/>
              <w:rPr>
                <w:sz w:val="12"/>
                <w:szCs w:val="12"/>
                <w:color w:val="auto"/>
              </w:rPr>
            </w:pPr>
          </w:p>
        </w:tc>
        <w:tc>
          <w:tcPr>
            <w:tcW w:w="134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5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0"/>
              </w:rPr>
              <w:t>Value Per</w:t>
            </w:r>
          </w:p>
        </w:tc>
        <w:tc>
          <w:tcPr>
            <w:tcW w:w="0" w:type="dxa"/>
            <w:vAlign w:val="bottom"/>
          </w:tcPr>
          <w:p>
            <w:pPr>
              <w:spacing w:after="0"/>
              <w:rPr>
                <w:sz w:val="1"/>
                <w:szCs w:val="1"/>
                <w:color w:val="auto"/>
              </w:rPr>
            </w:pPr>
          </w:p>
        </w:tc>
      </w:tr>
      <w:tr>
        <w:trPr>
          <w:trHeight w:val="176"/>
        </w:trPr>
        <w:tc>
          <w:tcPr>
            <w:tcW w:w="6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1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Outstanding</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w w:val="96"/>
              </w:rPr>
              <w:t>per Unit</w:t>
            </w:r>
            <w:r>
              <w:rPr>
                <w:rFonts w:ascii="Times New Roman" w:cs="Times New Roman" w:eastAsia="Times New Roman" w:hAnsi="Times New Roman"/>
                <w:sz w:val="20"/>
                <w:szCs w:val="20"/>
                <w:b w:val="1"/>
                <w:bCs w:val="1"/>
                <w:color w:val="auto"/>
                <w:w w:val="96"/>
                <w:vertAlign w:val="superscript"/>
              </w:rPr>
              <w:t>(2)</w:t>
            </w:r>
          </w:p>
        </w:tc>
        <w:tc>
          <w:tcPr>
            <w:tcW w:w="600" w:type="dxa"/>
            <w:vAlign w:val="bottom"/>
          </w:tcPr>
          <w:p>
            <w:pPr>
              <w:spacing w:after="0"/>
              <w:rPr>
                <w:sz w:val="15"/>
                <w:szCs w:val="15"/>
                <w:color w:val="auto"/>
              </w:rPr>
            </w:pPr>
          </w:p>
        </w:tc>
        <w:tc>
          <w:tcPr>
            <w:tcW w:w="13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3"/>
                <w:szCs w:val="13"/>
                <w:b w:val="1"/>
                <w:bCs w:val="1"/>
                <w:color w:val="auto"/>
              </w:rPr>
              <w:t>Per Unit</w:t>
            </w:r>
            <w:r>
              <w:rPr>
                <w:rFonts w:ascii="Times New Roman" w:cs="Times New Roman" w:eastAsia="Times New Roman" w:hAnsi="Times New Roman"/>
                <w:sz w:val="20"/>
                <w:szCs w:val="20"/>
                <w:b w:val="1"/>
                <w:bCs w:val="1"/>
                <w:color w:val="auto"/>
                <w:vertAlign w:val="superscript"/>
              </w:rPr>
              <w:t>(3)</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4"/>
              </w:rPr>
              <w:t>Unit</w:t>
            </w:r>
            <w:r>
              <w:rPr>
                <w:rFonts w:ascii="Times New Roman" w:cs="Times New Roman" w:eastAsia="Times New Roman" w:hAnsi="Times New Roman"/>
                <w:sz w:val="20"/>
                <w:szCs w:val="20"/>
                <w:b w:val="1"/>
                <w:bCs w:val="1"/>
                <w:color w:val="auto"/>
                <w:w w:val="94"/>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5"/>
              </w:rPr>
              <w:t>Fiscal 2009</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June 30, 2009, unaudited)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187,300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6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Fiscal 2008</w:t>
            </w:r>
          </w:p>
        </w:tc>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5"/>
              </w:rPr>
              <w:t>Fiscal 2007</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2007)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28,039</w:t>
            </w:r>
          </w:p>
        </w:tc>
        <w:tc>
          <w:tcPr>
            <w:tcW w:w="6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each class of senior securities outstanding at the end of the period presented (in 000’s).</w:t>
      </w:r>
    </w:p>
    <w:p>
      <w:pPr>
        <w:spacing w:after="0" w:line="76" w:lineRule="exact"/>
        <w:rPr>
          <w:rFonts w:ascii="Times New Roman" w:cs="Times New Roman" w:eastAsia="Times New Roman" w:hAnsi="Times New Roman"/>
          <w:sz w:val="18"/>
          <w:szCs w:val="18"/>
          <w:color w:val="auto"/>
        </w:rPr>
      </w:pPr>
    </w:p>
    <w:p>
      <w:pPr>
        <w:ind w:left="460" w:right="180" w:hanging="452"/>
        <w:spacing w:after="0" w:line="26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17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31, 2009, the last reported closing price of our common stock was $8.35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400" w:type="dxa"/>
            <w:vAlign w:val="bottom"/>
          </w:tcPr>
          <w:p>
            <w:pPr>
              <w:spacing w:after="0"/>
              <w:rPr>
                <w:sz w:val="13"/>
                <w:szCs w:val="13"/>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High Sales</w:t>
            </w: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Low Sales</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Borders>
              <w:bottom w:val="single" w:sz="8" w:color="auto"/>
            </w:tcBorders>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gridSpan w:val="2"/>
            <w:vMerge w:val="restart"/>
          </w:tcPr>
          <w:p>
            <w:pPr>
              <w:jc w:val="center"/>
              <w:ind w:right="6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Price to</w:t>
            </w:r>
          </w:p>
        </w:tc>
        <w:tc>
          <w:tcPr>
            <w:tcW w:w="960" w:type="dxa"/>
            <w:vAlign w:val="bottom"/>
            <w:gridSpan w:val="2"/>
            <w:vMerge w:val="restart"/>
          </w:tcPr>
          <w:p>
            <w:pPr>
              <w:jc w:val="center"/>
              <w:ind w:right="3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Price to</w:t>
            </w:r>
          </w:p>
        </w:tc>
        <w:tc>
          <w:tcPr>
            <w:tcW w:w="220" w:type="dxa"/>
            <w:vAlign w:val="bottom"/>
          </w:tcPr>
          <w:p>
            <w:pPr>
              <w:spacing w:after="0"/>
              <w:rPr>
                <w:sz w:val="7"/>
                <w:szCs w:val="7"/>
                <w:color w:val="auto"/>
              </w:rPr>
            </w:pPr>
          </w:p>
        </w:tc>
        <w:tc>
          <w:tcPr>
            <w:tcW w:w="580" w:type="dxa"/>
            <w:vAlign w:val="bottom"/>
            <w:vMerge w:val="restart"/>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6"/>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gridSpan w:val="2"/>
            <w:vMerge w:val="restart"/>
          </w:tcPr>
          <w:p>
            <w:pPr>
              <w:jc w:val="right"/>
              <w:ind w:right="240"/>
              <w:spacing w:after="0" w:line="210" w:lineRule="exact"/>
              <w:rPr>
                <w:sz w:val="20"/>
                <w:szCs w:val="20"/>
                <w:color w:val="auto"/>
              </w:rPr>
            </w:pPr>
            <w:r>
              <w:rPr>
                <w:rFonts w:ascii="Times New Roman" w:cs="Times New Roman" w:eastAsia="Times New Roman" w:hAnsi="Times New Roman"/>
                <w:sz w:val="24"/>
                <w:szCs w:val="24"/>
                <w:b w:val="1"/>
                <w:bCs w:val="1"/>
                <w:color w:val="auto"/>
                <w:w w:val="94"/>
                <w:vertAlign w:val="subscript"/>
              </w:rPr>
              <w:t>NAV</w:t>
            </w:r>
            <w:r>
              <w:rPr>
                <w:rFonts w:ascii="Times New Roman" w:cs="Times New Roman" w:eastAsia="Times New Roman" w:hAnsi="Times New Roman"/>
                <w:sz w:val="10"/>
                <w:szCs w:val="10"/>
                <w:b w:val="1"/>
                <w:bCs w:val="1"/>
                <w:color w:val="auto"/>
                <w:w w:val="94"/>
              </w:rPr>
              <w:t>(1)</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Pr>
          <w:p>
            <w:pPr>
              <w:spacing w:after="0"/>
              <w:rPr>
                <w:sz w:val="15"/>
                <w:szCs w:val="15"/>
                <w:color w:val="auto"/>
              </w:rPr>
            </w:pPr>
          </w:p>
        </w:tc>
        <w:tc>
          <w:tcPr>
            <w:tcW w:w="1220" w:type="dxa"/>
            <w:vAlign w:val="bottom"/>
            <w:gridSpan w:val="2"/>
          </w:tcPr>
          <w:p>
            <w:pPr>
              <w:jc w:val="center"/>
              <w:ind w:right="6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NAV</w:t>
            </w:r>
            <w:r>
              <w:rPr>
                <w:rFonts w:ascii="Times New Roman" w:cs="Times New Roman" w:eastAsia="Times New Roman" w:hAnsi="Times New Roman"/>
                <w:sz w:val="9"/>
                <w:szCs w:val="9"/>
                <w:b w:val="1"/>
                <w:bCs w:val="1"/>
                <w:color w:val="auto"/>
              </w:rPr>
              <w:t>(2)</w:t>
            </w:r>
          </w:p>
        </w:tc>
        <w:tc>
          <w:tcPr>
            <w:tcW w:w="9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NAV</w:t>
            </w:r>
            <w:r>
              <w:rPr>
                <w:rFonts w:ascii="Times New Roman" w:cs="Times New Roman" w:eastAsia="Times New Roman" w:hAnsi="Times New Roman"/>
                <w:sz w:val="9"/>
                <w:szCs w:val="9"/>
                <w:b w:val="1"/>
                <w:bCs w:val="1"/>
                <w:color w:val="auto"/>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September 30, 2009</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(through August 28, 2009)</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N/A</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$ 8.99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$ 6.28</w:t>
            </w:r>
          </w:p>
        </w:tc>
        <w:tc>
          <w:tcPr>
            <w:tcW w:w="4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11.72</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10.24</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322"/>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2008</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10.77</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8.60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10.26</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12.07</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14.49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2007</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12.83</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14.76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4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dividends declared since shares of our common stock began being regularly quoted on the NASDAQ Global Select Market:</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r>
      <w:tr>
        <w:trPr>
          <w:trHeight w:val="165"/>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Declared</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tcPr>
          <w:p>
            <w:pPr>
              <w:spacing w:after="0"/>
              <w:rPr>
                <w:sz w:val="19"/>
                <w:szCs w:val="19"/>
                <w:color w:val="auto"/>
              </w:rPr>
            </w:pPr>
          </w:p>
        </w:tc>
      </w:tr>
      <w:tr>
        <w:trPr>
          <w:trHeight w:val="109"/>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Pr>
          <w:p>
            <w:pPr>
              <w:spacing w:after="0"/>
              <w:rPr>
                <w:sz w:val="19"/>
                <w:szCs w:val="19"/>
                <w:color w:val="auto"/>
              </w:rPr>
            </w:pPr>
          </w:p>
        </w:tc>
      </w:tr>
      <w:tr>
        <w:trPr>
          <w:trHeight w:val="109"/>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318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r>
      <w:tr>
        <w:trPr>
          <w:trHeight w:val="222"/>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0.36*</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$0.00107 per share is a tax return of capital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may in the future decide to retain such capital gains for investment. In such event, the consequences of our retention of net capital gains are as described under “Material U.S. Federal Income Tax Considerations.”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4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w:t>
      </w:r>
    </w:p>
    <w:p>
      <w:pPr>
        <w:spacing w:after="0" w:line="120"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Structure</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During the period in which Mr. Penn was the Chief Operating Officer, Apollo Investment Corporation raised approximately $930 million of gross proceeds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 and execution of a senior secured credit facility with a syndicate of banks which, as amended, provided for borrowings up to $2.0 billion.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Penn’s tenure with Apollo Investment Corporation, it invested approximately $2.8 billion in 73 companies in partnership with 54 different financial sponsors.</w:t>
      </w:r>
    </w:p>
    <w:p>
      <w:pPr>
        <w:spacing w:after="0" w:line="182"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08" w:lineRule="exact"/>
        <w:rPr>
          <w:sz w:val="20"/>
          <w:szCs w:val="20"/>
          <w:color w:val="auto"/>
        </w:rPr>
      </w:pPr>
    </w:p>
    <w:p>
      <w:pPr>
        <w:ind w:right="420" w:firstLine="456"/>
        <w:spacing w:after="0" w:line="339" w:lineRule="auto"/>
        <w:rPr>
          <w:sz w:val="20"/>
          <w:szCs w:val="20"/>
          <w:color w:val="auto"/>
        </w:rPr>
      </w:pPr>
      <w:r>
        <w:rPr>
          <w:rFonts w:ascii="Times New Roman" w:cs="Times New Roman" w:eastAsia="Times New Roman" w:hAnsi="Times New Roman"/>
          <w:sz w:val="16"/>
          <w:szCs w:val="16"/>
          <w:color w:val="auto"/>
        </w:rPr>
        <w:t>During his more than 20-year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7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Investment Adviser has three experienced investment professionals, in addition to Mr. Penn, who are also partners. These professionals, Geoffrey Chang, Salvatore Giannetti III and Whit Williams, have a combined 48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3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size of the middle-market, coupled with the demands of these companies for flexible sources of capital, creates an attractive investment environment for PennantPark.</w:t>
      </w:r>
    </w:p>
    <w:p>
      <w:pPr>
        <w:spacing w:after="0" w:line="37" w:lineRule="exact"/>
        <w:rPr>
          <w:sz w:val="20"/>
          <w:szCs w:val="20"/>
          <w:color w:val="auto"/>
        </w:rPr>
      </w:pPr>
    </w:p>
    <w:p>
      <w:pPr>
        <w:ind w:left="900" w:hanging="325"/>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increasing difficulty in raising debt through the capital markets. </w:t>
      </w:r>
      <w:r>
        <w:rPr>
          <w:rFonts w:ascii="Times New Roman" w:cs="Times New Roman" w:eastAsia="Times New Roman" w:hAnsi="Times New Roman"/>
          <w:sz w:val="18"/>
          <w:szCs w:val="18"/>
          <w:color w:val="auto"/>
        </w:rPr>
        <w:t>While 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1" w:lineRule="exact"/>
        <w:rPr>
          <w:rFonts w:ascii="Times New Roman" w:cs="Times New Roman" w:eastAsia="Times New Roman" w:hAnsi="Times New Roman"/>
          <w:sz w:val="18"/>
          <w:szCs w:val="18"/>
          <w:color w:val="auto"/>
        </w:rPr>
      </w:pPr>
    </w:p>
    <w:p>
      <w:pPr>
        <w:ind w:left="900" w:right="360" w:hanging="325"/>
        <w:spacing w:after="0" w:line="277"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the current credit market dislocation improves the risk/reward of our investments. </w:t>
      </w:r>
      <w:r>
        <w:rPr>
          <w:rFonts w:ascii="Times New Roman" w:cs="Times New Roman" w:eastAsia="Times New Roman" w:hAnsi="Times New Roman"/>
          <w:sz w:val="18"/>
          <w:szCs w:val="18"/>
          <w:color w:val="auto"/>
        </w:rPr>
        <w:t>The downturn in the credit market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resulted in less competition, more conservative capital structures, higher yields and stronger covenants.</w:t>
      </w:r>
    </w:p>
    <w:p>
      <w:pPr>
        <w:spacing w:after="0" w:line="35"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mezzanine capital to support private investments.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substantial amounts of private equity capital that have been raised in recent years.</w:t>
      </w:r>
    </w:p>
    <w:p>
      <w:pPr>
        <w:spacing w:after="0" w:line="51"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opportunities to invest mezzanine and other debt capital will remain strong. </w:t>
      </w:r>
      <w:r>
        <w:rPr>
          <w:rFonts w:ascii="Times New Roman" w:cs="Times New Roman" w:eastAsia="Times New Roman" w:hAnsi="Times New Roman"/>
          <w:sz w:val="18"/>
          <w:szCs w:val="18"/>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we have the following competitive advantages over other capital providers in middle-market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Disciplined Investment Approach with Strong Value Orientation</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to pursue short-term origination targets. We believe our approach has and will continue to enable us to build an attractive investment portfolio that meets our return and value criteria over the long-term.</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455" w:right="2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Source and Evaluate Transactions through our Investment Adviser’s Research Capability and Established Network</w:t>
      </w:r>
    </w:p>
    <w:p>
      <w:pPr>
        <w:spacing w:after="0" w:line="94"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Transaction Structuring</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20"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Longer Investment Horizon with Attractive Publicly Traded Model</w:t>
      </w:r>
    </w:p>
    <w:p>
      <w:pPr>
        <w:spacing w:after="0" w:line="9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108" w:lineRule="exact"/>
        <w:rPr>
          <w:sz w:val="20"/>
          <w:szCs w:val="20"/>
          <w:color w:val="auto"/>
        </w:rPr>
      </w:pPr>
    </w:p>
    <w:p>
      <w:pPr>
        <w:jc w:val="both"/>
        <w:ind w:right="160" w:firstLine="456"/>
        <w:spacing w:after="0" w:line="301" w:lineRule="auto"/>
        <w:rPr>
          <w:sz w:val="20"/>
          <w:szCs w:val="20"/>
          <w:color w:val="auto"/>
        </w:rPr>
      </w:pPr>
      <w:r>
        <w:rPr>
          <w:rFonts w:ascii="Times New Roman" w:cs="Times New Roman" w:eastAsia="Times New Roman" w:hAnsi="Times New Roman"/>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We believe that our substantial debt capital resources will provide us with the flexibility to take advantage of market opportunities when they arise.</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Under our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Policy Overview</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Debt</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selection criteria</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Generally, we seek to use our experience and access to market information to identify investment candidates and to structure investments quickly and effectively.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orientation and positive cash flow</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management and established financial sponsor relationship</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and defensible competitive market position in industry</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Viable exit strategy</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historical and prospective financial information;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visits;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interviews with management, employees, customers and vendors of the potential portfolio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loan documents;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structure</w:t>
      </w:r>
    </w:p>
    <w:p>
      <w:pPr>
        <w:spacing w:after="0" w:line="9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3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3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5"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“put” rights and call protection into the investment structure; and</w:t>
      </w:r>
    </w:p>
    <w:p>
      <w:pPr>
        <w:spacing w:after="0" w:line="90" w:lineRule="exact"/>
        <w:rPr>
          <w:rFonts w:ascii="Times New Roman" w:cs="Times New Roman" w:eastAsia="Times New Roman" w:hAnsi="Times New Roman"/>
          <w:sz w:val="18"/>
          <w:szCs w:val="18"/>
          <w:color w:val="auto"/>
        </w:rPr>
      </w:pPr>
    </w:p>
    <w:p>
      <w:pPr>
        <w:ind w:left="900" w:right="32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3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0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relationships with portfolio companies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Monitoring</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Investment Adviser has several methods of evaluating and monitoring the performance and fair value of our investments, which may include the following:</w:t>
      </w:r>
    </w:p>
    <w:p>
      <w:pPr>
        <w:spacing w:after="0" w:line="39"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in adhering to portfolio company’s business plan and compliance with covenants;</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PennantPark portfolio companies in the industry,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Portfolio Investments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39" w:lineRule="exact"/>
        <w:rPr>
          <w:sz w:val="20"/>
          <w:szCs w:val="20"/>
          <w:color w:val="auto"/>
        </w:rPr>
      </w:pPr>
    </w:p>
    <w:p>
      <w:pPr>
        <w:ind w:left="460" w:right="240" w:firstLine="443"/>
        <w:spacing w:after="0" w:line="275" w:lineRule="auto"/>
        <w:tabs>
          <w:tab w:leader="none" w:pos="10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38" w:lineRule="exact"/>
        <w:rPr>
          <w:rFonts w:ascii="Times New Roman" w:cs="Times New Roman" w:eastAsia="Times New Roman" w:hAnsi="Times New Roman"/>
          <w:sz w:val="18"/>
          <w:szCs w:val="18"/>
          <w:color w:val="auto"/>
        </w:rPr>
      </w:pPr>
    </w:p>
    <w:p>
      <w:pPr>
        <w:ind w:left="1100" w:hanging="19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firstLine="443"/>
        <w:spacing w:after="0" w:line="258" w:lineRule="auto"/>
        <w:tabs>
          <w:tab w:leader="none" w:pos="10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55"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0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38" w:lineRule="exact"/>
        <w:rPr>
          <w:rFonts w:ascii="Times New Roman" w:cs="Times New Roman" w:eastAsia="Times New Roman" w:hAnsi="Times New Roman"/>
          <w:sz w:val="18"/>
          <w:szCs w:val="18"/>
          <w:color w:val="auto"/>
        </w:rPr>
      </w:pPr>
    </w:p>
    <w:p>
      <w:pPr>
        <w:ind w:left="460" w:right="160" w:firstLine="443"/>
        <w:spacing w:after="0" w:line="275" w:lineRule="auto"/>
        <w:tabs>
          <w:tab w:leader="none" w:pos="10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September 2006, the Financial Accounting Standards Board issued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SFAS No. 157 classifies the inputs used to measure these fair values into the following hierarchy: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Inputs that are quoted prices (unadjusted) in active markets for identical assets or liabilities, accessible by the Company at the measurement date.</w:t>
      </w:r>
    </w:p>
    <w:p>
      <w:pPr>
        <w:spacing w:after="0" w:line="113" w:lineRule="exact"/>
        <w:rPr>
          <w:sz w:val="20"/>
          <w:szCs w:val="20"/>
          <w:color w:val="auto"/>
        </w:rPr>
      </w:pPr>
    </w:p>
    <w:p>
      <w:pPr>
        <w:ind w:left="240" w:right="60" w:firstLine="22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and inputs that are observable for the asset or liability, either directly or indirectly, for substantially the full term, if applicable, of the financial instrument.</w:t>
      </w:r>
    </w:p>
    <w:p>
      <w:pPr>
        <w:spacing w:after="0" w:line="46" w:lineRule="exact"/>
        <w:rPr>
          <w:sz w:val="20"/>
          <w:szCs w:val="20"/>
          <w:color w:val="auto"/>
        </w:rPr>
      </w:pPr>
    </w:p>
    <w:p>
      <w:pPr>
        <w:ind w:left="240" w:right="340" w:firstLine="22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for an asset or liability because they are based on the Company’s own assumptions about how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price the asset or liability.</w:t>
      </w:r>
    </w:p>
    <w:p>
      <w:pPr>
        <w:spacing w:after="0" w:line="118" w:lineRule="exact"/>
        <w:rPr>
          <w:sz w:val="20"/>
          <w:szCs w:val="20"/>
          <w:color w:val="auto"/>
        </w:rPr>
      </w:pPr>
    </w:p>
    <w:p>
      <w:pPr>
        <w:ind w:right="920" w:firstLine="456"/>
        <w:spacing w:after="0" w:line="339"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7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3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Liabilities—Including an Amendment of FASB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115</w:t>
      </w:r>
      <w:r>
        <w:rPr>
          <w:rFonts w:ascii="Times New Roman" w:cs="Times New Roman" w:eastAsia="Times New Roman" w:hAnsi="Times New Roman"/>
          <w:sz w:val="18"/>
          <w:szCs w:val="18"/>
          <w:color w:val="auto"/>
        </w:rPr>
        <w:t>. This statement permits an entity to choose to measure many financial instruments and certain other items at fair value. This statement applies to all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37"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April 2009, the FASB issued FASB Staff Position No. 157-4, </w:t>
      </w:r>
      <w:r>
        <w:rPr>
          <w:rFonts w:ascii="Times New Roman" w:cs="Times New Roman" w:eastAsia="Times New Roman" w:hAnsi="Times New Roman"/>
          <w:sz w:val="18"/>
          <w:szCs w:val="18"/>
          <w:i w:val="1"/>
          <w:iCs w:val="1"/>
          <w:color w:val="auto"/>
        </w:rPr>
        <w:t>Determining Fair Value When the Volume and Level of Activity for the Asset or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Have Significantly Decreased and Identifying Transactions That Are Not Orderly </w:t>
      </w:r>
      <w:r>
        <w:rPr>
          <w:rFonts w:ascii="Times New Roman" w:cs="Times New Roman" w:eastAsia="Times New Roman" w:hAnsi="Times New Roman"/>
          <w:sz w:val="18"/>
          <w:szCs w:val="18"/>
          <w:color w:val="auto"/>
        </w:rPr>
        <w:t>(“FSP No. 157-4”). FSP No. 157-4 made amendments to SFAS No. 157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4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3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12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if requested. We have not received any fees for such services since inception.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Aerospace &amp; Defense</w:t>
            </w: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Home &amp; Office Furnishings, Housewares, &amp; Durable Consumer</w:t>
            </w:r>
          </w:p>
        </w:tc>
        <w:tc>
          <w:tcPr>
            <w:tcW w:w="0" w:type="dxa"/>
            <w:vAlign w:val="bottom"/>
          </w:tcPr>
          <w:p>
            <w:pPr>
              <w:spacing w:after="0"/>
              <w:rPr>
                <w:sz w:val="1"/>
                <w:szCs w:val="1"/>
                <w:color w:val="auto"/>
              </w:rPr>
            </w:pPr>
          </w:p>
        </w:tc>
      </w:tr>
      <w:tr>
        <w:trPr>
          <w:trHeight w:val="228"/>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Auto Sector</w:t>
            </w:r>
          </w:p>
        </w:tc>
        <w:tc>
          <w:tcPr>
            <w:tcW w:w="18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Buildings &amp; Real Estate</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6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color w:val="auto"/>
              </w:rPr>
              <w:t>•   Leisure, Amusement, Motion Pictures, Entertainment</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Business Services</w:t>
            </w:r>
          </w:p>
        </w:tc>
        <w:tc>
          <w:tcPr>
            <w:tcW w:w="6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Manufacturing/Basic Industry</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Cargo Transport</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Oil &amp; Gas</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Chemicals, Plastics and Rubber</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Other Media</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Consumer Products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Printing</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Distribution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Education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Retail Store</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Energy/Utilities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Telecommunications</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Environmental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Financial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60" w:hanging="29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Education &amp; Childcare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Listed below are our top ten portfolio companies and industries represented as a percentage of portfolio assets (excluding cash equivalents) as of:</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Portfolio Company</w:t>
            </w:r>
          </w:p>
        </w:tc>
        <w:tc>
          <w:tcPr>
            <w:tcW w:w="3600" w:type="dxa"/>
            <w:vAlign w:val="bottom"/>
          </w:tcPr>
          <w:p>
            <w:pPr>
              <w:spacing w:after="0"/>
              <w:rPr>
                <w:sz w:val="14"/>
                <w:szCs w:val="14"/>
                <w:color w:val="auto"/>
              </w:rPr>
            </w:pPr>
          </w:p>
        </w:tc>
        <w:tc>
          <w:tcPr>
            <w:tcW w:w="50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i2 Holdings Ltd.</w:t>
            </w:r>
          </w:p>
        </w:tc>
        <w:tc>
          <w:tcPr>
            <w:tcW w:w="700" w:type="dxa"/>
            <w:vAlign w:val="bottom"/>
            <w:tcBorders>
              <w:bottom w:val="single" w:sz="8" w:color="CCEEFF"/>
            </w:tcBorders>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CT Technologies Intermediate Holdings, Inc.</w:t>
            </w:r>
          </w:p>
        </w:tc>
        <w:tc>
          <w:tcPr>
            <w:tcW w:w="700" w:type="dxa"/>
            <w:vAlign w:val="bottom"/>
            <w:tcBorders>
              <w:top w:val="single" w:sz="8" w:color="CCEEFF"/>
            </w:tcBorders>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6"/>
                <w:szCs w:val="16"/>
                <w:color w:val="auto"/>
              </w:rPr>
            </w:pPr>
          </w:p>
        </w:tc>
        <w:tc>
          <w:tcPr>
            <w:tcW w:w="362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i2 Holdings Ltd.</w:t>
            </w:r>
          </w:p>
        </w:tc>
        <w:tc>
          <w:tcPr>
            <w:tcW w:w="1860" w:type="dxa"/>
            <w:vAlign w:val="bottom"/>
            <w:tcBorders>
              <w:top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Acquisition Sub Inc.</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UP Acquisitions Sub Inc.</w:t>
            </w:r>
          </w:p>
        </w:tc>
        <w:tc>
          <w:tcPr>
            <w:tcW w:w="186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2"/>
        </w:trPr>
        <w:tc>
          <w:tcPr>
            <w:tcW w:w="47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Brand Energy and Infrastucture Services, Inc.</w:t>
            </w:r>
          </w:p>
        </w:tc>
        <w:tc>
          <w:tcPr>
            <w:tcW w:w="7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5"/>
                <w:szCs w:val="15"/>
                <w:color w:val="auto"/>
              </w:rPr>
            </w:pPr>
          </w:p>
        </w:tc>
        <w:tc>
          <w:tcPr>
            <w:tcW w:w="36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Brand Energy and Infrastructure</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362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Inc.</w:t>
            </w:r>
          </w:p>
        </w:tc>
        <w:tc>
          <w:tcPr>
            <w:tcW w:w="1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TZ Merger Sub,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340" w:type="dxa"/>
            <w:vAlign w:val="bottom"/>
            <w:vMerge w:val="continue"/>
          </w:tcPr>
          <w:p>
            <w:pPr>
              <w:spacing w:after="0"/>
              <w:rPr>
                <w:sz w:val="17"/>
                <w:szCs w:val="17"/>
                <w:color w:val="auto"/>
              </w:rPr>
            </w:pPr>
          </w:p>
        </w:tc>
        <w:tc>
          <w:tcPr>
            <w:tcW w:w="3620" w:type="dxa"/>
            <w:vAlign w:val="bottom"/>
            <w:gridSpan w:val="3"/>
            <w:vMerge w:val="continue"/>
            <w:shd w:val="clear" w:color="auto" w:fill="CCEEFF"/>
          </w:tcPr>
          <w:p>
            <w:pPr>
              <w:spacing w:after="0"/>
              <w:rPr>
                <w:sz w:val="17"/>
                <w:szCs w:val="17"/>
                <w:color w:val="auto"/>
              </w:rPr>
            </w:pPr>
          </w:p>
        </w:tc>
        <w:tc>
          <w:tcPr>
            <w:tcW w:w="18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Specialized Technology Resources, Inc.</w:t>
            </w:r>
          </w:p>
        </w:tc>
        <w:tc>
          <w:tcPr>
            <w:tcW w:w="7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5"/>
                <w:szCs w:val="15"/>
                <w:color w:val="auto"/>
              </w:rPr>
            </w:pPr>
          </w:p>
        </w:tc>
        <w:tc>
          <w:tcPr>
            <w:tcW w:w="3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CT Technologies Intermediate</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36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Holdings, Inc.</w:t>
            </w:r>
          </w:p>
        </w:tc>
        <w:tc>
          <w:tcPr>
            <w:tcW w:w="1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IDQ Holdings,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340" w:type="dxa"/>
            <w:vAlign w:val="bottom"/>
            <w:vMerge w:val="continue"/>
          </w:tcPr>
          <w:p>
            <w:pPr>
              <w:spacing w:after="0"/>
              <w:rPr>
                <w:sz w:val="17"/>
                <w:szCs w:val="17"/>
                <w:color w:val="auto"/>
              </w:rPr>
            </w:pPr>
          </w:p>
        </w:tc>
        <w:tc>
          <w:tcPr>
            <w:tcW w:w="3620" w:type="dxa"/>
            <w:vAlign w:val="bottom"/>
            <w:tcBorders>
              <w:bottom w:val="single" w:sz="8" w:color="CCEEFF"/>
            </w:tcBorders>
            <w:gridSpan w:val="3"/>
            <w:vMerge w:val="continue"/>
          </w:tcPr>
          <w:p>
            <w:pPr>
              <w:spacing w:after="0"/>
              <w:rPr>
                <w:sz w:val="17"/>
                <w:szCs w:val="17"/>
                <w:color w:val="auto"/>
              </w:rPr>
            </w:pPr>
          </w:p>
        </w:tc>
        <w:tc>
          <w:tcPr>
            <w:tcW w:w="1860" w:type="dxa"/>
            <w:vAlign w:val="bottom"/>
            <w:tcBorders>
              <w:bottom w:val="single" w:sz="8" w:color="CCEEFF"/>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Affinion Group Holdings, Inc.</w:t>
            </w:r>
          </w:p>
        </w:tc>
        <w:tc>
          <w:tcPr>
            <w:tcW w:w="7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TZ Merger Sub,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Lyondell Chemical Co.</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IDQ Holdings, Inc.</w:t>
            </w:r>
          </w:p>
        </w:tc>
        <w:tc>
          <w:tcPr>
            <w:tcW w:w="186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Sheridan Holdings, Inc.</w:t>
            </w:r>
          </w:p>
        </w:tc>
        <w:tc>
          <w:tcPr>
            <w:tcW w:w="7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Specialized Technology Resources,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Affinion Group Holdings, Inc.</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Holdings, Inc.</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TransFirst Holdings, Inc.</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8"/>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4240" w:type="dxa"/>
            <w:vAlign w:val="bottom"/>
            <w:gridSpan w:val="2"/>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3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Media</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Healthcare, Education &amp; Childcare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Energy/Utilities</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Energy/Utilities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Education &amp; Childcare</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 Sector</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Sector</w:t>
            </w: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Media</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00"/>
          </w:cols>
          <w:pgMar w:left="24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173"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The following is a listing of each portfolio company or its affiliate, together referred to as portfolio companies, in which we had an investment at June 30,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June 30, 2009 financial statements.</w:t>
      </w:r>
    </w:p>
    <w:p>
      <w:pPr>
        <w:spacing w:after="0" w:line="10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June 30, 2009 we held no voting seats on any of our portfolio companies’ board of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Class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 of Portfolio Company</w:t>
            </w:r>
          </w:p>
        </w:tc>
        <w:tc>
          <w:tcPr>
            <w:tcW w:w="188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Nature of Business</w:t>
            </w:r>
          </w:p>
        </w:tc>
        <w:tc>
          <w:tcPr>
            <w:tcW w:w="3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Type of Investment</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4"/>
              </w:rPr>
              <w:t>Held</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Companies More Than 25% Owned</w:t>
            </w:r>
          </w:p>
        </w:tc>
        <w:tc>
          <w:tcPr>
            <w:tcW w:w="3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Companies 5% to 25%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xml:space="preserve"> ,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 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EISURE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MUSEMENT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OTION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96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6.3%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AY</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ICTURES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NTERTAINMENT</w:t>
            </w:r>
          </w:p>
        </w:tc>
        <w:tc>
          <w:tcPr>
            <w:tcW w:w="3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 Common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HAPEL</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w:t>
            </w:r>
            <w:r>
              <w:rPr>
                <w:rFonts w:ascii="Times New Roman" w:cs="Times New Roman" w:eastAsia="Times New Roman" w:hAnsi="Times New Roman"/>
                <w:sz w:val="18"/>
                <w:szCs w:val="18"/>
                <w:color w:val="auto"/>
              </w:rPr>
              <w:t>, NC 27514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Companies Less Than 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1-800 C</w:t>
            </w:r>
            <w:r>
              <w:rPr>
                <w:rFonts w:ascii="Times New Roman" w:cs="Times New Roman" w:eastAsia="Times New Roman" w:hAnsi="Times New Roman"/>
                <w:sz w:val="14"/>
                <w:szCs w:val="14"/>
                <w:color w:val="auto"/>
              </w:rPr>
              <w:t>ONTACTS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ISTRIBUTION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 E. W</w:t>
            </w:r>
            <w:r>
              <w:rPr>
                <w:rFonts w:ascii="Times New Roman" w:cs="Times New Roman" w:eastAsia="Times New Roman" w:hAnsi="Times New Roman"/>
                <w:sz w:val="14"/>
                <w:szCs w:val="14"/>
                <w:color w:val="auto"/>
              </w:rPr>
              <w:t>ADSWORTH</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4"/>
                <w:szCs w:val="14"/>
                <w:color w:val="auto"/>
              </w:rPr>
              <w:t>RD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w:t>
            </w:r>
            <w:r>
              <w:rPr>
                <w:rFonts w:ascii="Times New Roman" w:cs="Times New Roman" w:eastAsia="Times New Roman" w:hAnsi="Times New Roman"/>
                <w:sz w:val="18"/>
                <w:szCs w:val="18"/>
                <w:color w:val="auto"/>
              </w:rPr>
              <w:t>.</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RAPER</w:t>
            </w:r>
            <w:r>
              <w:rPr>
                <w:rFonts w:ascii="Times New Roman" w:cs="Times New Roman" w:eastAsia="Times New Roman" w:hAnsi="Times New Roman"/>
                <w:sz w:val="18"/>
                <w:szCs w:val="18"/>
                <w:color w:val="auto"/>
              </w:rPr>
              <w:t>, UT 84020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FFINION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ONSUMER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RODUCTS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C</w:t>
            </w:r>
            <w:r>
              <w:rPr>
                <w:rFonts w:ascii="Times New Roman" w:cs="Times New Roman" w:eastAsia="Times New Roman" w:hAnsi="Times New Roman"/>
                <w:sz w:val="14"/>
                <w:szCs w:val="14"/>
                <w:color w:val="auto"/>
              </w:rPr>
              <w:t>ONNECTICUT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VENUE</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ORWALK</w:t>
            </w:r>
            <w:r>
              <w:rPr>
                <w:rFonts w:ascii="Times New Roman" w:cs="Times New Roman" w:eastAsia="Times New Roman" w:hAnsi="Times New Roman"/>
                <w:sz w:val="18"/>
                <w:szCs w:val="18"/>
                <w:color w:val="auto"/>
              </w:rPr>
              <w:t>, CA 06850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NERGY</w:t>
            </w:r>
            <w:r>
              <w:rPr>
                <w:rFonts w:ascii="Times New Roman" w:cs="Times New Roman" w:eastAsia="Times New Roman" w:hAnsi="Times New Roman"/>
                <w:sz w:val="18"/>
                <w:szCs w:val="18"/>
                <w:color w:val="auto"/>
              </w:rPr>
              <w:t xml:space="preserve"> &amp; I</w:t>
            </w:r>
            <w:r>
              <w:rPr>
                <w:rFonts w:ascii="Times New Roman" w:cs="Times New Roman" w:eastAsia="Times New Roman" w:hAnsi="Times New Roman"/>
                <w:sz w:val="14"/>
                <w:szCs w:val="14"/>
                <w:color w:val="auto"/>
              </w:rPr>
              <w:t>NFRASTRUCTURE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NERGY</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TILITIES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2505 S</w:t>
            </w:r>
            <w:r>
              <w:rPr>
                <w:rFonts w:ascii="Times New Roman" w:cs="Times New Roman" w:eastAsia="Times New Roman" w:hAnsi="Times New Roman"/>
                <w:sz w:val="14"/>
                <w:szCs w:val="14"/>
                <w:color w:val="auto"/>
              </w:rPr>
              <w:t>OUTH</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20" w:type="dxa"/>
            <w:vAlign w:val="bottom"/>
            <w:gridSpan w:val="2"/>
            <w:vMerge w:val="continue"/>
          </w:tcPr>
          <w:p>
            <w:pPr>
              <w:spacing w:after="0"/>
              <w:rPr>
                <w:sz w:val="17"/>
                <w:szCs w:val="17"/>
                <w:color w:val="auto"/>
              </w:rPr>
            </w:pP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ENNESAW</w:t>
            </w:r>
            <w:r>
              <w:rPr>
                <w:rFonts w:ascii="Times New Roman" w:cs="Times New Roman" w:eastAsia="Times New Roman" w:hAnsi="Times New Roman"/>
                <w:sz w:val="18"/>
                <w:szCs w:val="18"/>
                <w:color w:val="auto"/>
              </w:rPr>
              <w:t>, GA 30144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jc w:val="right"/>
              <w:ind w:right="1615"/>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38"/>
        </w:trPr>
        <w:tc>
          <w:tcPr>
            <w:tcW w:w="37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Name and Address of Portfolio</w:t>
            </w: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Nature of Business</w:t>
            </w:r>
          </w:p>
        </w:tc>
        <w:tc>
          <w:tcPr>
            <w:tcW w:w="420" w:type="dxa"/>
            <w:vAlign w:val="bottom"/>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Type of Investment</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9"/>
              </w:rPr>
              <w:t>Held</w:t>
            </w:r>
            <w:r>
              <w:rPr>
                <w:rFonts w:ascii="Times New Roman" w:cs="Times New Roman" w:eastAsia="Times New Roman" w:hAnsi="Times New Roman"/>
                <w:sz w:val="20"/>
                <w:szCs w:val="20"/>
                <w:b w:val="1"/>
                <w:bCs w:val="1"/>
                <w:color w:val="auto"/>
                <w:w w:val="99"/>
                <w:vertAlign w:val="superscript"/>
              </w:rPr>
              <w:t>(1)</w:t>
            </w:r>
          </w:p>
        </w:tc>
        <w:tc>
          <w:tcPr>
            <w:tcW w:w="140" w:type="dxa"/>
            <w:vAlign w:val="bottom"/>
          </w:tcPr>
          <w:p>
            <w:pPr>
              <w:spacing w:after="0"/>
              <w:rPr>
                <w:sz w:val="15"/>
                <w:szCs w:val="15"/>
                <w:color w:val="auto"/>
              </w:rPr>
            </w:pPr>
          </w:p>
        </w:tc>
      </w:tr>
      <w:tr>
        <w:trPr>
          <w:trHeight w:val="195"/>
        </w:trPr>
        <w:tc>
          <w:tcPr>
            <w:tcW w:w="37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URLINGTON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OAT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ACTORY</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AREHOUSE</w:t>
            </w:r>
          </w:p>
        </w:tc>
        <w:tc>
          <w:tcPr>
            <w:tcW w:w="30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ETAIL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TORE</w:t>
            </w:r>
          </w:p>
        </w:tc>
        <w:tc>
          <w:tcPr>
            <w:tcW w:w="420" w:type="dxa"/>
            <w:vAlign w:val="bottom"/>
          </w:tcPr>
          <w:p>
            <w:pPr>
              <w:spacing w:after="0"/>
              <w:rPr>
                <w:sz w:val="16"/>
                <w:szCs w:val="16"/>
                <w:color w:val="auto"/>
              </w:rPr>
            </w:pPr>
          </w:p>
        </w:tc>
        <w:tc>
          <w:tcPr>
            <w:tcW w:w="29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6"/>
                <w:szCs w:val="16"/>
                <w:color w:val="auto"/>
              </w:rPr>
            </w:pPr>
          </w:p>
        </w:tc>
      </w:tr>
      <w:tr>
        <w:trPr>
          <w:trHeight w:val="216"/>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1830 R</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 130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URLINGTON</w:t>
            </w:r>
            <w:r>
              <w:rPr>
                <w:rFonts w:ascii="Times New Roman" w:cs="Times New Roman" w:eastAsia="Times New Roman" w:hAnsi="Times New Roman"/>
                <w:sz w:val="18"/>
                <w:szCs w:val="18"/>
                <w:color w:val="auto"/>
              </w:rPr>
              <w:t>, NJ 08016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 T</w:t>
            </w:r>
            <w:r>
              <w:rPr>
                <w:rFonts w:ascii="Times New Roman" w:cs="Times New Roman" w:eastAsia="Times New Roman" w:hAnsi="Times New Roman"/>
                <w:sz w:val="14"/>
                <w:szCs w:val="14"/>
                <w:color w:val="auto"/>
              </w:rPr>
              <w:t>ECHNOLOGIES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NTERMEDIATE</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875 N</w:t>
            </w:r>
            <w:r>
              <w:rPr>
                <w:rFonts w:ascii="Times New Roman" w:cs="Times New Roman" w:eastAsia="Times New Roman" w:hAnsi="Times New Roman"/>
                <w:sz w:val="14"/>
                <w:szCs w:val="14"/>
                <w:color w:val="auto"/>
              </w:rPr>
              <w:t>ORTH</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ICHIGAN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HICAGO</w:t>
            </w:r>
            <w:r>
              <w:rPr>
                <w:rFonts w:ascii="Times New Roman" w:cs="Times New Roman" w:eastAsia="Times New Roman" w:hAnsi="Times New Roman"/>
                <w:sz w:val="18"/>
                <w:szCs w:val="18"/>
                <w:color w:val="auto"/>
              </w:rPr>
              <w:t xml:space="preserve"> IL 60601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2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ONSOLIDATED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OUNDRIES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EROSPACE</w:t>
            </w:r>
            <w:r>
              <w:rPr>
                <w:rFonts w:ascii="Times New Roman" w:cs="Times New Roman" w:eastAsia="Times New Roman" w:hAnsi="Times New Roman"/>
                <w:sz w:val="18"/>
                <w:szCs w:val="18"/>
                <w:color w:val="auto"/>
              </w:rPr>
              <w:t xml:space="preserve"> &amp; D</w:t>
            </w:r>
            <w:r>
              <w:rPr>
                <w:rFonts w:ascii="Times New Roman" w:cs="Times New Roman" w:eastAsia="Times New Roman" w:hAnsi="Times New Roman"/>
                <w:sz w:val="14"/>
                <w:szCs w:val="14"/>
                <w:color w:val="auto"/>
              </w:rPr>
              <w:t>EFENSE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Subordinate Debt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4200 V</w:t>
            </w:r>
            <w:r>
              <w:rPr>
                <w:rFonts w:ascii="Times New Roman" w:cs="Times New Roman" w:eastAsia="Times New Roman" w:hAnsi="Times New Roman"/>
                <w:sz w:val="14"/>
                <w:szCs w:val="14"/>
                <w:color w:val="auto"/>
              </w:rPr>
              <w:t>ALLEY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LVD</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OMONA</w:t>
            </w:r>
            <w:r>
              <w:rPr>
                <w:rFonts w:ascii="Times New Roman" w:cs="Times New Roman" w:eastAsia="Times New Roman" w:hAnsi="Times New Roman"/>
                <w:sz w:val="18"/>
                <w:szCs w:val="18"/>
                <w:color w:val="auto"/>
              </w:rPr>
              <w:t>, CA 91766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IGICEL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TD</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YOLL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UILDING</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 K</w:t>
            </w:r>
            <w:r>
              <w:rPr>
                <w:rFonts w:ascii="Times New Roman" w:cs="Times New Roman" w:eastAsia="Times New Roman" w:hAnsi="Times New Roman"/>
                <w:sz w:val="14"/>
                <w:szCs w:val="14"/>
                <w:color w:val="auto"/>
              </w:rPr>
              <w:t>NUTSFORD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OULEVARD</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INGSTON</w:t>
            </w:r>
            <w:r>
              <w:rPr>
                <w:rFonts w:ascii="Times New Roman" w:cs="Times New Roman" w:eastAsia="Times New Roman" w:hAnsi="Times New Roman"/>
                <w:sz w:val="18"/>
                <w:szCs w:val="18"/>
                <w:color w:val="auto"/>
              </w:rPr>
              <w:t xml:space="preserve"> 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AMAICA</w:t>
            </w:r>
            <w:r>
              <w:rPr>
                <w:rFonts w:ascii="Times New Roman" w:cs="Times New Roman" w:eastAsia="Times New Roman" w:hAnsi="Times New Roman"/>
                <w:sz w:val="18"/>
                <w:szCs w:val="18"/>
                <w:color w:val="auto"/>
              </w:rPr>
              <w:t>, W.I.</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NVIRO</w:t>
            </w: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OLUTIONS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NVIRONMENTAL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 A</w:t>
            </w:r>
            <w:r>
              <w:rPr>
                <w:rFonts w:ascii="Times New Roman" w:cs="Times New Roman" w:eastAsia="Times New Roman" w:hAnsi="Times New Roman"/>
                <w:sz w:val="14"/>
                <w:szCs w:val="14"/>
                <w:color w:val="auto"/>
              </w:rPr>
              <w:t>SSET</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OOP</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ANASSAS</w:t>
            </w:r>
            <w:r>
              <w:rPr>
                <w:rFonts w:ascii="Times New Roman" w:cs="Times New Roman" w:eastAsia="Times New Roman" w:hAnsi="Times New Roman"/>
                <w:sz w:val="18"/>
                <w:szCs w:val="18"/>
                <w:color w:val="auto"/>
              </w:rPr>
              <w:t>, VA 20109</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ENERICS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NTERNATIONAL</w:t>
            </w:r>
            <w:r>
              <w:rPr>
                <w:rFonts w:ascii="Times New Roman" w:cs="Times New Roman" w:eastAsia="Times New Roman" w:hAnsi="Times New Roman"/>
                <w:sz w:val="18"/>
                <w:szCs w:val="18"/>
                <w:color w:val="auto"/>
              </w:rPr>
              <w:t xml:space="preserve"> (U.S.),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EALTHCARE</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DUCATION</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HILDCARE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 V</w:t>
            </w:r>
            <w:r>
              <w:rPr>
                <w:rFonts w:ascii="Times New Roman" w:cs="Times New Roman" w:eastAsia="Times New Roman" w:hAnsi="Times New Roman"/>
                <w:sz w:val="14"/>
                <w:szCs w:val="14"/>
                <w:color w:val="auto"/>
              </w:rPr>
              <w:t>INTAGE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RIVE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UNTSVILLE</w:t>
            </w:r>
            <w:r>
              <w:rPr>
                <w:rFonts w:ascii="Times New Roman" w:cs="Times New Roman" w:eastAsia="Times New Roman" w:hAnsi="Times New Roman"/>
                <w:sz w:val="18"/>
                <w:szCs w:val="18"/>
                <w:color w:val="auto"/>
              </w:rPr>
              <w:t>, AL 35811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REATWIDE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OGISTIC</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ARGO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L.L.C</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12404 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ENTRAL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w:t>
            </w:r>
            <w:r>
              <w:rPr>
                <w:rFonts w:ascii="Times New Roman" w:cs="Times New Roman" w:eastAsia="Times New Roman" w:hAnsi="Times New Roman"/>
                <w:sz w:val="18"/>
                <w:szCs w:val="18"/>
                <w:color w:val="auto"/>
              </w:rPr>
              <w:t>. 300S</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ALLAS</w:t>
            </w:r>
            <w:r>
              <w:rPr>
                <w:rFonts w:ascii="Times New Roman" w:cs="Times New Roman" w:eastAsia="Times New Roman" w:hAnsi="Times New Roman"/>
                <w:sz w:val="18"/>
                <w:szCs w:val="18"/>
                <w:color w:val="auto"/>
              </w:rPr>
              <w:t>, TX 75251-1803</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REATWIDE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OGISTICS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ARGO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12404 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ENTRAL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3000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OUTH</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ALLAS</w:t>
            </w:r>
            <w:r>
              <w:rPr>
                <w:rFonts w:ascii="Times New Roman" w:cs="Times New Roman" w:eastAsia="Times New Roman" w:hAnsi="Times New Roman"/>
                <w:sz w:val="18"/>
                <w:szCs w:val="18"/>
                <w:color w:val="auto"/>
              </w:rPr>
              <w:t>, TX 75251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ANLEY</w:t>
            </w: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OOD</w:t>
            </w:r>
            <w:r>
              <w:rPr>
                <w:rFonts w:ascii="Times New Roman" w:cs="Times New Roman" w:eastAsia="Times New Roman" w:hAnsi="Times New Roman"/>
                <w:sz w:val="18"/>
                <w:szCs w:val="18"/>
                <w:color w:val="auto"/>
              </w:rPr>
              <w:t>, L.L.C.</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EDIA</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IRCLE</w:t>
            </w:r>
            <w:r>
              <w:rPr>
                <w:rFonts w:ascii="Times New Roman" w:cs="Times New Roman" w:eastAsia="Times New Roman" w:hAnsi="Times New Roman"/>
                <w:sz w:val="18"/>
                <w:szCs w:val="18"/>
                <w:color w:val="auto"/>
              </w:rPr>
              <w:t>, NW</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600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DC 20005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UGHES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ETWORK</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YSTEMS</w:t>
            </w:r>
            <w:r>
              <w:rPr>
                <w:rFonts w:ascii="Times New Roman" w:cs="Times New Roman" w:eastAsia="Times New Roman" w:hAnsi="Times New Roman"/>
                <w:sz w:val="18"/>
                <w:szCs w:val="18"/>
                <w:color w:val="auto"/>
              </w:rPr>
              <w:t>, L.L.C.</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11717 E</w:t>
            </w:r>
            <w:r>
              <w:rPr>
                <w:rFonts w:ascii="Times New Roman" w:cs="Times New Roman" w:eastAsia="Times New Roman" w:hAnsi="Times New Roman"/>
                <w:sz w:val="14"/>
                <w:szCs w:val="14"/>
                <w:color w:val="auto"/>
              </w:rPr>
              <w:t>XPLORATION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ANE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ERMANTOWN</w:t>
            </w:r>
            <w:r>
              <w:rPr>
                <w:rFonts w:ascii="Times New Roman" w:cs="Times New Roman" w:eastAsia="Times New Roman" w:hAnsi="Times New Roman"/>
                <w:sz w:val="18"/>
                <w:szCs w:val="18"/>
                <w:color w:val="auto"/>
              </w:rPr>
              <w:t>, MD 20876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NTERDYNAMICS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UTO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ECTOR</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560 W</w:t>
            </w:r>
            <w:r>
              <w:rPr>
                <w:rFonts w:ascii="Times New Roman" w:cs="Times New Roman" w:eastAsia="Times New Roman" w:hAnsi="Times New Roman"/>
                <w:sz w:val="14"/>
                <w:szCs w:val="14"/>
                <w:color w:val="auto"/>
              </w:rPr>
              <w:t>HITE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LAINS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OAD</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ARRYTOWN</w:t>
            </w:r>
            <w:r>
              <w:rPr>
                <w:rFonts w:ascii="Times New Roman" w:cs="Times New Roman" w:eastAsia="Times New Roman" w:hAnsi="Times New Roman"/>
                <w:sz w:val="18"/>
                <w:szCs w:val="18"/>
                <w:color w:val="auto"/>
              </w:rPr>
              <w:t>, NY 10591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38"/>
        </w:trPr>
        <w:tc>
          <w:tcPr>
            <w:tcW w:w="38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Name and Address of Portfolio</w:t>
            </w: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Class</w:t>
            </w:r>
          </w:p>
        </w:tc>
      </w:tr>
      <w:tr>
        <w:trPr>
          <w:trHeight w:val="176"/>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Nature of Business</w:t>
            </w:r>
          </w:p>
        </w:tc>
        <w:tc>
          <w:tcPr>
            <w:tcW w:w="42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Type of Investment</w:t>
            </w:r>
          </w:p>
        </w:tc>
        <w:tc>
          <w:tcPr>
            <w:tcW w:w="4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4"/>
              </w:rPr>
              <w:t>Held</w:t>
            </w:r>
            <w:r>
              <w:rPr>
                <w:rFonts w:ascii="Times New Roman" w:cs="Times New Roman" w:eastAsia="Times New Roman" w:hAnsi="Times New Roman"/>
                <w:sz w:val="20"/>
                <w:szCs w:val="20"/>
                <w:b w:val="1"/>
                <w:bCs w:val="1"/>
                <w:color w:val="auto"/>
                <w:w w:val="94"/>
                <w:vertAlign w:val="superscript"/>
              </w:rPr>
              <w:t>(1)</w:t>
            </w:r>
          </w:p>
        </w:tc>
      </w:tr>
      <w:tr>
        <w:trPr>
          <w:trHeight w:val="195"/>
        </w:trPr>
        <w:tc>
          <w:tcPr>
            <w:tcW w:w="19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i2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TD</w:t>
            </w:r>
            <w:r>
              <w:rPr>
                <w:rFonts w:ascii="Times New Roman" w:cs="Times New Roman" w:eastAsia="Times New Roman" w:hAnsi="Times New Roman"/>
                <w:sz w:val="18"/>
                <w:szCs w:val="18"/>
                <w:color w:val="auto"/>
              </w:rPr>
              <w:t>.</w:t>
            </w:r>
          </w:p>
        </w:tc>
        <w:tc>
          <w:tcPr>
            <w:tcW w:w="1980" w:type="dxa"/>
            <w:vAlign w:val="bottom"/>
          </w:tcPr>
          <w:p>
            <w:pPr>
              <w:spacing w:after="0"/>
              <w:rPr>
                <w:sz w:val="16"/>
                <w:szCs w:val="16"/>
                <w:color w:val="auto"/>
              </w:rPr>
            </w:pPr>
          </w:p>
        </w:tc>
        <w:tc>
          <w:tcPr>
            <w:tcW w:w="30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EROSPACE</w:t>
            </w:r>
            <w:r>
              <w:rPr>
                <w:rFonts w:ascii="Times New Roman" w:cs="Times New Roman" w:eastAsia="Times New Roman" w:hAnsi="Times New Roman"/>
                <w:sz w:val="18"/>
                <w:szCs w:val="18"/>
                <w:color w:val="auto"/>
              </w:rPr>
              <w:t xml:space="preserve"> &amp; </w:t>
            </w:r>
            <w:r>
              <w:rPr>
                <w:rFonts w:ascii="Times New Roman" w:cs="Times New Roman" w:eastAsia="Times New Roman" w:hAnsi="Times New Roman"/>
                <w:sz w:val="14"/>
                <w:szCs w:val="14"/>
                <w:color w:val="auto"/>
              </w:rPr>
              <w:t>DEFENSE</w:t>
            </w:r>
          </w:p>
        </w:tc>
        <w:tc>
          <w:tcPr>
            <w:tcW w:w="42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Subordinated Debt</w:t>
            </w:r>
          </w:p>
        </w:tc>
        <w:tc>
          <w:tcPr>
            <w:tcW w:w="42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3.9%</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ISUAL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PACE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ARK</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Preferred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ULBOURN</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AMBRIDGESHIRE</w:t>
            </w:r>
            <w:r>
              <w:rPr>
                <w:rFonts w:ascii="Times New Roman" w:cs="Times New Roman" w:eastAsia="Times New Roman" w:hAnsi="Times New Roman"/>
                <w:sz w:val="18"/>
                <w:szCs w:val="18"/>
                <w:color w:val="auto"/>
              </w:rPr>
              <w:t>, CB215XH</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NITED</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INGDOM</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ACUZZI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RANDS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777 S. F</w:t>
            </w:r>
            <w:r>
              <w:rPr>
                <w:rFonts w:ascii="Times New Roman" w:cs="Times New Roman" w:eastAsia="Times New Roman" w:hAnsi="Times New Roman"/>
                <w:sz w:val="14"/>
                <w:szCs w:val="14"/>
                <w:color w:val="auto"/>
              </w:rPr>
              <w:t>LAGLER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RIVE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OME</w:t>
            </w:r>
            <w:r>
              <w:rPr>
                <w:rFonts w:ascii="Times New Roman" w:cs="Times New Roman" w:eastAsia="Times New Roman" w:hAnsi="Times New Roman"/>
                <w:sz w:val="18"/>
                <w:szCs w:val="18"/>
                <w:color w:val="auto"/>
              </w:rPr>
              <w:t xml:space="preserve"> &amp; O</w:t>
            </w:r>
            <w:r>
              <w:rPr>
                <w:rFonts w:ascii="Times New Roman" w:cs="Times New Roman" w:eastAsia="Times New Roman" w:hAnsi="Times New Roman"/>
                <w:sz w:val="14"/>
                <w:szCs w:val="14"/>
                <w:color w:val="auto"/>
              </w:rPr>
              <w:t>FFICE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URNISHINGS</w:t>
            </w: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1100-W</w:t>
            </w:r>
            <w:r>
              <w:rPr>
                <w:rFonts w:ascii="Times New Roman" w:cs="Times New Roman" w:eastAsia="Times New Roman" w:hAnsi="Times New Roman"/>
                <w:sz w:val="14"/>
                <w:szCs w:val="14"/>
                <w:color w:val="auto"/>
              </w:rPr>
              <w:t>EST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OUSEWARES</w:t>
            </w:r>
            <w:r>
              <w:rPr>
                <w:rFonts w:ascii="Times New Roman" w:cs="Times New Roman" w:eastAsia="Times New Roman" w:hAnsi="Times New Roman"/>
                <w:sz w:val="18"/>
                <w:szCs w:val="18"/>
                <w:color w:val="auto"/>
              </w:rPr>
              <w:t>, &amp; D</w:t>
            </w:r>
            <w:r>
              <w:rPr>
                <w:rFonts w:ascii="Times New Roman" w:cs="Times New Roman" w:eastAsia="Times New Roman" w:hAnsi="Times New Roman"/>
                <w:sz w:val="14"/>
                <w:szCs w:val="14"/>
                <w:color w:val="auto"/>
              </w:rPr>
              <w:t>URABLE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ALM</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EACH</w:t>
            </w:r>
            <w:r>
              <w:rPr>
                <w:rFonts w:ascii="Times New Roman" w:cs="Times New Roman" w:eastAsia="Times New Roman" w:hAnsi="Times New Roman"/>
                <w:sz w:val="18"/>
                <w:szCs w:val="18"/>
                <w:color w:val="auto"/>
              </w:rPr>
              <w:t>, FL. 33401</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RODUCTS</w:t>
            </w:r>
          </w:p>
        </w:tc>
        <w:tc>
          <w:tcPr>
            <w:tcW w:w="4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EARNING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ARE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xml:space="preserve"> (U.S.)</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DUCATION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21333 H</w:t>
            </w:r>
            <w:r>
              <w:rPr>
                <w:rFonts w:ascii="Times New Roman" w:cs="Times New Roman" w:eastAsia="Times New Roman" w:hAnsi="Times New Roman"/>
                <w:sz w:val="14"/>
                <w:szCs w:val="14"/>
                <w:color w:val="auto"/>
              </w:rPr>
              <w:t>AGGERTY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300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OVI</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ICHIGAN</w:t>
            </w:r>
            <w:r>
              <w:rPr>
                <w:rFonts w:ascii="Times New Roman" w:cs="Times New Roman" w:eastAsia="Times New Roman" w:hAnsi="Times New Roman"/>
                <w:sz w:val="18"/>
                <w:szCs w:val="18"/>
                <w:color w:val="auto"/>
              </w:rPr>
              <w:t xml:space="preserve"> 48375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EVLAD</w:t>
            </w:r>
            <w:r>
              <w:rPr>
                <w:rFonts w:ascii="Times New Roman" w:cs="Times New Roman" w:eastAsia="Times New Roman" w:hAnsi="Times New Roman"/>
                <w:sz w:val="18"/>
                <w:szCs w:val="18"/>
                <w:color w:val="auto"/>
              </w:rPr>
              <w:t>, L.L.C.</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ONSUMER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7"/>
                <w:szCs w:val="17"/>
                <w:color w:val="auto"/>
              </w:rPr>
              <w:t>H</w:t>
            </w:r>
            <w:r>
              <w:rPr>
                <w:rFonts w:ascii="Times New Roman" w:cs="Times New Roman" w:eastAsia="Times New Roman" w:hAnsi="Times New Roman"/>
                <w:sz w:val="15"/>
                <w:szCs w:val="15"/>
                <w:color w:val="auto"/>
              </w:rPr>
              <w:t xml:space="preserve">ARVEST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ARTNERS</w:t>
            </w:r>
            <w:r>
              <w:rPr>
                <w:rFonts w:ascii="Times New Roman" w:cs="Times New Roman" w:eastAsia="Times New Roman" w:hAnsi="Times New Roman"/>
                <w:sz w:val="17"/>
                <w:szCs w:val="17"/>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7"/>
                <w:szCs w:val="17"/>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280 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8"/>
                <w:szCs w:val="18"/>
                <w:color w:val="auto"/>
              </w:rPr>
              <w:t>, NY 10017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YONDELL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HEMICAL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HEMICALS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LASTICS</w:t>
            </w:r>
            <w:r>
              <w:rPr>
                <w:rFonts w:ascii="Times New Roman" w:cs="Times New Roman" w:eastAsia="Times New Roman" w:hAnsi="Times New Roman"/>
                <w:sz w:val="18"/>
                <w:szCs w:val="18"/>
                <w:color w:val="auto"/>
              </w:rPr>
              <w:t>, &amp; R</w:t>
            </w:r>
            <w:r>
              <w:rPr>
                <w:rFonts w:ascii="Times New Roman" w:cs="Times New Roman" w:eastAsia="Times New Roman" w:hAnsi="Times New Roman"/>
                <w:sz w:val="14"/>
                <w:szCs w:val="14"/>
                <w:color w:val="auto"/>
              </w:rPr>
              <w:t>UBBER</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YONDELL</w:t>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ASELL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NDUSTRIES</w:t>
            </w:r>
            <w:r>
              <w:rPr>
                <w:rFonts w:ascii="Times New Roman" w:cs="Times New Roman" w:eastAsia="Times New Roman" w:hAnsi="Times New Roman"/>
                <w:sz w:val="18"/>
                <w:szCs w:val="18"/>
                <w:color w:val="auto"/>
              </w:rPr>
              <w:t xml:space="preserve"> 1221</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INNEY</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OUSTON</w:t>
            </w:r>
            <w:r>
              <w:rPr>
                <w:rFonts w:ascii="Times New Roman" w:cs="Times New Roman" w:eastAsia="Times New Roman" w:hAnsi="Times New Roman"/>
                <w:sz w:val="18"/>
                <w:szCs w:val="18"/>
                <w:color w:val="auto"/>
              </w:rPr>
              <w:t>, TX 77010</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ATTRESS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OME</w:t>
            </w:r>
            <w:r>
              <w:rPr>
                <w:rFonts w:ascii="Times New Roman" w:cs="Times New Roman" w:eastAsia="Times New Roman" w:hAnsi="Times New Roman"/>
                <w:sz w:val="18"/>
                <w:szCs w:val="18"/>
                <w:color w:val="auto"/>
              </w:rPr>
              <w:t xml:space="preserve"> &amp; O</w:t>
            </w:r>
            <w:r>
              <w:rPr>
                <w:rFonts w:ascii="Times New Roman" w:cs="Times New Roman" w:eastAsia="Times New Roman" w:hAnsi="Times New Roman"/>
                <w:sz w:val="14"/>
                <w:szCs w:val="14"/>
                <w:color w:val="auto"/>
              </w:rPr>
              <w:t>FFICE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URNISHINGS</w:t>
            </w: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5815 G</w:t>
            </w:r>
            <w:r>
              <w:rPr>
                <w:rFonts w:ascii="Times New Roman" w:cs="Times New Roman" w:eastAsia="Times New Roman" w:hAnsi="Times New Roman"/>
                <w:sz w:val="14"/>
                <w:szCs w:val="14"/>
                <w:color w:val="auto"/>
              </w:rPr>
              <w:t>ULF</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REEWAY</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OUSEWARES</w:t>
            </w:r>
            <w:r>
              <w:rPr>
                <w:rFonts w:ascii="Times New Roman" w:cs="Times New Roman" w:eastAsia="Times New Roman" w:hAnsi="Times New Roman"/>
                <w:sz w:val="18"/>
                <w:szCs w:val="18"/>
                <w:color w:val="auto"/>
              </w:rPr>
              <w:t>, &amp; D</w:t>
            </w:r>
            <w:r>
              <w:rPr>
                <w:rFonts w:ascii="Times New Roman" w:cs="Times New Roman" w:eastAsia="Times New Roman" w:hAnsi="Times New Roman"/>
                <w:sz w:val="14"/>
                <w:szCs w:val="14"/>
                <w:color w:val="auto"/>
              </w:rPr>
              <w:t>URABLE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OUSTON</w:t>
            </w:r>
            <w:r>
              <w:rPr>
                <w:rFonts w:ascii="Times New Roman" w:cs="Times New Roman" w:eastAsia="Times New Roman" w:hAnsi="Times New Roman"/>
                <w:sz w:val="18"/>
                <w:szCs w:val="18"/>
                <w:color w:val="auto"/>
              </w:rPr>
              <w:t>, TX 77023</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RODUCTS</w:t>
            </w:r>
          </w:p>
        </w:tc>
        <w:tc>
          <w:tcPr>
            <w:tcW w:w="4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NTERNATIONAL</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9889 W</w:t>
            </w:r>
            <w:r>
              <w:rPr>
                <w:rFonts w:ascii="Times New Roman" w:cs="Times New Roman" w:eastAsia="Times New Roman" w:hAnsi="Times New Roman"/>
                <w:sz w:val="14"/>
                <w:szCs w:val="14"/>
                <w:color w:val="auto"/>
              </w:rPr>
              <w:t>ILLOW</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REEK</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IEGO</w:t>
            </w:r>
            <w:r>
              <w:rPr>
                <w:rFonts w:ascii="Times New Roman" w:cs="Times New Roman" w:eastAsia="Times New Roman" w:hAnsi="Times New Roman"/>
                <w:sz w:val="18"/>
                <w:szCs w:val="18"/>
                <w:color w:val="auto"/>
              </w:rPr>
              <w:t>, CA 92131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EDDING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5401 T</w:t>
            </w:r>
            <w:r>
              <w:rPr>
                <w:rFonts w:ascii="Times New Roman" w:cs="Times New Roman" w:eastAsia="Times New Roman" w:hAnsi="Times New Roman"/>
                <w:sz w:val="14"/>
                <w:szCs w:val="14"/>
                <w:color w:val="auto"/>
              </w:rPr>
              <w:t>RILLIUM</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LVD</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OME</w:t>
            </w:r>
            <w:r>
              <w:rPr>
                <w:rFonts w:ascii="Times New Roman" w:cs="Times New Roman" w:eastAsia="Times New Roman" w:hAnsi="Times New Roman"/>
                <w:sz w:val="18"/>
                <w:szCs w:val="18"/>
                <w:color w:val="auto"/>
              </w:rPr>
              <w:t xml:space="preserve"> &amp; O</w:t>
            </w:r>
            <w:r>
              <w:rPr>
                <w:rFonts w:ascii="Times New Roman" w:cs="Times New Roman" w:eastAsia="Times New Roman" w:hAnsi="Times New Roman"/>
                <w:sz w:val="14"/>
                <w:szCs w:val="14"/>
                <w:color w:val="auto"/>
              </w:rPr>
              <w:t>FFICE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URNISHINGS</w:t>
            </w: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250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OUSEWARES</w:t>
            </w:r>
            <w:r>
              <w:rPr>
                <w:rFonts w:ascii="Times New Roman" w:cs="Times New Roman" w:eastAsia="Times New Roman" w:hAnsi="Times New Roman"/>
                <w:sz w:val="18"/>
                <w:szCs w:val="18"/>
                <w:color w:val="auto"/>
              </w:rPr>
              <w:t>, &amp; D</w:t>
            </w:r>
            <w:r>
              <w:rPr>
                <w:rFonts w:ascii="Times New Roman" w:cs="Times New Roman" w:eastAsia="Times New Roman" w:hAnsi="Times New Roman"/>
                <w:sz w:val="14"/>
                <w:szCs w:val="14"/>
                <w:color w:val="auto"/>
              </w:rPr>
              <w:t>URABLE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OFFMAN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STATES</w:t>
            </w:r>
            <w:r>
              <w:rPr>
                <w:rFonts w:ascii="Times New Roman" w:cs="Times New Roman" w:eastAsia="Times New Roman" w:hAnsi="Times New Roman"/>
                <w:sz w:val="18"/>
                <w:szCs w:val="18"/>
                <w:color w:val="auto"/>
              </w:rPr>
              <w:t>, IL 60192</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RODUCTS</w:t>
            </w:r>
          </w:p>
        </w:tc>
        <w:tc>
          <w:tcPr>
            <w:tcW w:w="4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ENTON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EDIA</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249 W. 17</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LOOR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8"/>
                <w:szCs w:val="18"/>
                <w:color w:val="auto"/>
              </w:rPr>
              <w:t>, NY 10011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HILOSOPHY</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ONSUMER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4602 E</w:t>
            </w:r>
            <w:r>
              <w:rPr>
                <w:rFonts w:ascii="Times New Roman" w:cs="Times New Roman" w:eastAsia="Times New Roman" w:hAnsi="Times New Roman"/>
                <w:sz w:val="14"/>
                <w:szCs w:val="14"/>
                <w:color w:val="auto"/>
              </w:rPr>
              <w:t>AST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AMMOND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HOENIX</w:t>
            </w:r>
            <w:r>
              <w:rPr>
                <w:rFonts w:ascii="Times New Roman" w:cs="Times New Roman" w:eastAsia="Times New Roman" w:hAnsi="Times New Roman"/>
                <w:sz w:val="18"/>
                <w:szCs w:val="18"/>
                <w:color w:val="auto"/>
              </w:rPr>
              <w:t>, AZ 85034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4"/>
                <w:szCs w:val="14"/>
                <w:color w:val="auto"/>
              </w:rPr>
              <w:t>UEBECOR</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ORLD</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RINTING</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999 </w:t>
            </w:r>
            <w:r>
              <w:rPr>
                <w:rFonts w:ascii="Times New Roman" w:cs="Times New Roman" w:eastAsia="Times New Roman" w:hAnsi="Times New Roman"/>
                <w:sz w:val="14"/>
                <w:szCs w:val="14"/>
                <w:color w:val="auto"/>
              </w:rPr>
              <w:t>DE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AISONNEUVE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LVD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EST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ONTREAL</w:t>
            </w:r>
            <w:r>
              <w:rPr>
                <w:rFonts w:ascii="Times New Roman" w:cs="Times New Roman" w:eastAsia="Times New Roman" w:hAnsi="Times New Roman"/>
                <w:sz w:val="18"/>
                <w:szCs w:val="18"/>
                <w:color w:val="auto"/>
              </w:rPr>
              <w:t>, Q</w:t>
            </w:r>
            <w:r>
              <w:rPr>
                <w:rFonts w:ascii="Times New Roman" w:cs="Times New Roman" w:eastAsia="Times New Roman" w:hAnsi="Times New Roman"/>
                <w:sz w:val="14"/>
                <w:szCs w:val="14"/>
                <w:color w:val="auto"/>
              </w:rPr>
              <w:t>UEBEC</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ANADA</w:t>
            </w:r>
            <w:r>
              <w:rPr>
                <w:rFonts w:ascii="Times New Roman" w:cs="Times New Roman" w:eastAsia="Times New Roman" w:hAnsi="Times New Roman"/>
                <w:sz w:val="18"/>
                <w:szCs w:val="18"/>
                <w:color w:val="auto"/>
              </w:rPr>
              <w:t xml:space="preserve"> H3A 3L4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4"/>
                <w:szCs w:val="14"/>
                <w:color w:val="auto"/>
              </w:rPr>
              <w:t>UESTEX</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275 G</w:t>
            </w:r>
            <w:r>
              <w:rPr>
                <w:rFonts w:ascii="Times New Roman" w:cs="Times New Roman" w:eastAsia="Times New Roman" w:hAnsi="Times New Roman"/>
                <w:sz w:val="14"/>
                <w:szCs w:val="14"/>
                <w:color w:val="auto"/>
              </w:rPr>
              <w:t>ROVE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2-130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EWTON</w:t>
            </w:r>
            <w:r>
              <w:rPr>
                <w:rFonts w:ascii="Times New Roman" w:cs="Times New Roman" w:eastAsia="Times New Roman" w:hAnsi="Times New Roman"/>
                <w:sz w:val="18"/>
                <w:szCs w:val="18"/>
                <w:color w:val="auto"/>
              </w:rPr>
              <w:t>, MA 02466</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38"/>
        </w:trPr>
        <w:tc>
          <w:tcPr>
            <w:tcW w:w="37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Name and Address of Portfolio</w:t>
            </w:r>
          </w:p>
        </w:tc>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Class</w:t>
            </w:r>
          </w:p>
        </w:tc>
      </w:tr>
      <w:tr>
        <w:trPr>
          <w:trHeight w:val="176"/>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Type of Investment</w:t>
            </w:r>
          </w:p>
        </w:tc>
        <w:tc>
          <w:tcPr>
            <w:tcW w:w="40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3"/>
                <w:szCs w:val="13"/>
                <w:b w:val="1"/>
                <w:bCs w:val="1"/>
                <w:color w:val="auto"/>
                <w:w w:val="99"/>
              </w:rPr>
              <w:t>Held</w:t>
            </w:r>
            <w:r>
              <w:rPr>
                <w:rFonts w:ascii="Times New Roman" w:cs="Times New Roman" w:eastAsia="Times New Roman" w:hAnsi="Times New Roman"/>
                <w:sz w:val="20"/>
                <w:szCs w:val="20"/>
                <w:b w:val="1"/>
                <w:bCs w:val="1"/>
                <w:color w:val="auto"/>
                <w:w w:val="99"/>
                <w:vertAlign w:val="superscript"/>
              </w:rPr>
              <w:t>(1)</w:t>
            </w:r>
          </w:p>
        </w:tc>
      </w:tr>
      <w:tr>
        <w:trPr>
          <w:trHeight w:val="195"/>
        </w:trPr>
        <w:tc>
          <w:tcPr>
            <w:tcW w:w="19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EALOGY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tc>
        <w:tc>
          <w:tcPr>
            <w:tcW w:w="1860" w:type="dxa"/>
            <w:vAlign w:val="bottom"/>
          </w:tcPr>
          <w:p>
            <w:pPr>
              <w:spacing w:after="0"/>
              <w:rPr>
                <w:sz w:val="16"/>
                <w:szCs w:val="16"/>
                <w:color w:val="auto"/>
              </w:rPr>
            </w:pPr>
          </w:p>
        </w:tc>
        <w:tc>
          <w:tcPr>
            <w:tcW w:w="30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UILDINGS</w:t>
            </w:r>
            <w:r>
              <w:rPr>
                <w:rFonts w:ascii="Times New Roman" w:cs="Times New Roman" w:eastAsia="Times New Roman" w:hAnsi="Times New Roman"/>
                <w:sz w:val="18"/>
                <w:szCs w:val="18"/>
                <w:color w:val="auto"/>
              </w:rPr>
              <w:t xml:space="preserve"> &amp; R</w:t>
            </w:r>
            <w:r>
              <w:rPr>
                <w:rFonts w:ascii="Times New Roman" w:cs="Times New Roman" w:eastAsia="Times New Roman" w:hAnsi="Times New Roman"/>
                <w:sz w:val="14"/>
                <w:szCs w:val="14"/>
                <w:color w:val="auto"/>
              </w:rPr>
              <w:t>EAL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STATE</w:t>
            </w:r>
          </w:p>
        </w:tc>
        <w:tc>
          <w:tcPr>
            <w:tcW w:w="420" w:type="dxa"/>
            <w:vAlign w:val="bottom"/>
          </w:tcPr>
          <w:p>
            <w:pPr>
              <w:spacing w:after="0"/>
              <w:rPr>
                <w:sz w:val="16"/>
                <w:szCs w:val="16"/>
                <w:color w:val="auto"/>
              </w:rPr>
            </w:pPr>
          </w:p>
        </w:tc>
        <w:tc>
          <w:tcPr>
            <w:tcW w:w="298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Subordinated Debt</w:t>
            </w:r>
          </w:p>
        </w:tc>
        <w:tc>
          <w:tcPr>
            <w:tcW w:w="4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AMPUS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ARSIPPANY</w:t>
            </w:r>
            <w:r>
              <w:rPr>
                <w:rFonts w:ascii="Times New Roman" w:cs="Times New Roman" w:eastAsia="Times New Roman" w:hAnsi="Times New Roman"/>
                <w:sz w:val="18"/>
                <w:szCs w:val="18"/>
                <w:color w:val="auto"/>
              </w:rPr>
              <w:t>, NJ 07054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EXAIR</w:t>
            </w:r>
            <w:r>
              <w:rPr>
                <w:rFonts w:ascii="Times New Roman" w:cs="Times New Roman" w:eastAsia="Times New Roman" w:hAnsi="Times New Roman"/>
                <w:sz w:val="18"/>
                <w:szCs w:val="18"/>
                <w:color w:val="auto"/>
              </w:rPr>
              <w:t>, L.L.C</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w:t>
            </w:r>
            <w:r>
              <w:rPr>
                <w:rFonts w:ascii="Times New Roman" w:cs="Times New Roman" w:eastAsia="Times New Roman" w:hAnsi="Times New Roman"/>
                <w:sz w:val="14"/>
                <w:szCs w:val="14"/>
                <w:color w:val="auto"/>
                <w:w w:val="99"/>
              </w:rPr>
              <w:t>ETAIL</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W</w:t>
            </w:r>
            <w:r>
              <w:rPr>
                <w:rFonts w:ascii="Times New Roman" w:cs="Times New Roman" w:eastAsia="Times New Roman" w:hAnsi="Times New Roman"/>
                <w:sz w:val="14"/>
                <w:szCs w:val="14"/>
                <w:color w:val="auto"/>
              </w:rPr>
              <w:t>EST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IG</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EAVER</w:t>
            </w:r>
            <w:r>
              <w:rPr>
                <w:rFonts w:ascii="Times New Roman" w:cs="Times New Roman" w:eastAsia="Times New Roman" w:hAnsi="Times New Roman"/>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350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ROY</w:t>
            </w:r>
            <w:r>
              <w:rPr>
                <w:rFonts w:ascii="Times New Roman" w:cs="Times New Roman" w:eastAsia="Times New Roman" w:hAnsi="Times New Roman"/>
                <w:sz w:val="18"/>
                <w:szCs w:val="18"/>
                <w:color w:val="auto"/>
              </w:rPr>
              <w:t>, MI 48084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EXNORD</w:t>
            </w:r>
            <w:r>
              <w:rPr>
                <w:rFonts w:ascii="Times New Roman" w:cs="Times New Roman" w:eastAsia="Times New Roman" w:hAnsi="Times New Roman"/>
                <w:sz w:val="18"/>
                <w:szCs w:val="18"/>
                <w:color w:val="auto"/>
              </w:rPr>
              <w:t>, L.L.C.</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ANUFACTURING</w:t>
            </w: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ASIC</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5555 S. W</w:t>
            </w:r>
            <w:r>
              <w:rPr>
                <w:rFonts w:ascii="Times New Roman" w:cs="Times New Roman" w:eastAsia="Times New Roman" w:hAnsi="Times New Roman"/>
                <w:sz w:val="14"/>
                <w:szCs w:val="14"/>
                <w:color w:val="auto"/>
              </w:rPr>
              <w:t>OODLAND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OAD</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ERLIN</w:t>
            </w:r>
            <w:r>
              <w:rPr>
                <w:rFonts w:ascii="Times New Roman" w:cs="Times New Roman" w:eastAsia="Times New Roman" w:hAnsi="Times New Roman"/>
                <w:sz w:val="18"/>
                <w:szCs w:val="18"/>
                <w:color w:val="auto"/>
              </w:rPr>
              <w:t>, WI 53151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2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AINT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2200 S</w:t>
            </w:r>
            <w:r>
              <w:rPr>
                <w:rFonts w:ascii="Times New Roman" w:cs="Times New Roman" w:eastAsia="Times New Roman" w:hAnsi="Times New Roman"/>
                <w:sz w:val="14"/>
                <w:szCs w:val="14"/>
                <w:color w:val="auto"/>
              </w:rPr>
              <w:t>OUTH</w:t>
            </w:r>
            <w:r>
              <w:rPr>
                <w:rFonts w:ascii="Times New Roman" w:cs="Times New Roman" w:eastAsia="Times New Roman" w:hAnsi="Times New Roman"/>
                <w:sz w:val="18"/>
                <w:szCs w:val="18"/>
                <w:color w:val="auto"/>
              </w:rPr>
              <w:t xml:space="preserve"> 75</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HOENIX</w:t>
            </w:r>
            <w:r>
              <w:rPr>
                <w:rFonts w:ascii="Times New Roman" w:cs="Times New Roman" w:eastAsia="Times New Roman" w:hAnsi="Times New Roman"/>
                <w:sz w:val="18"/>
                <w:szCs w:val="18"/>
                <w:color w:val="auto"/>
              </w:rPr>
              <w:t>, AZ 85043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HERIDAN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EALTHCARE</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DUCATION</w:t>
            </w:r>
            <w:r>
              <w:rPr>
                <w:rFonts w:ascii="Times New Roman" w:cs="Times New Roman" w:eastAsia="Times New Roman" w:hAnsi="Times New Roman"/>
                <w:sz w:val="18"/>
                <w:szCs w:val="18"/>
                <w:color w:val="auto"/>
              </w:rPr>
              <w:t xml:space="preserve"> &amp;</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1613 N. H</w:t>
            </w:r>
            <w:r>
              <w:rPr>
                <w:rFonts w:ascii="Times New Roman" w:cs="Times New Roman" w:eastAsia="Times New Roman" w:hAnsi="Times New Roman"/>
                <w:sz w:val="14"/>
                <w:szCs w:val="14"/>
                <w:color w:val="auto"/>
              </w:rPr>
              <w:t>ARRISON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ARKWAY</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HILDCARE</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200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UNRISE</w:t>
            </w:r>
            <w:r>
              <w:rPr>
                <w:rFonts w:ascii="Times New Roman" w:cs="Times New Roman" w:eastAsia="Times New Roman" w:hAnsi="Times New Roman"/>
                <w:sz w:val="18"/>
                <w:szCs w:val="18"/>
                <w:color w:val="auto"/>
              </w:rPr>
              <w:t>, FL 33323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2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ITEL</w:t>
            </w:r>
            <w:r>
              <w:rPr>
                <w:rFonts w:ascii="Times New Roman" w:cs="Times New Roman" w:eastAsia="Times New Roman" w:hAnsi="Times New Roman"/>
                <w:sz w:val="18"/>
                <w:szCs w:val="18"/>
                <w:color w:val="auto"/>
              </w:rPr>
              <w:t>, L.L.C.</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WO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MERICAN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ENTER</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3102 W</w:t>
            </w:r>
            <w:r>
              <w:rPr>
                <w:rFonts w:ascii="Times New Roman" w:cs="Times New Roman" w:eastAsia="Times New Roman" w:hAnsi="Times New Roman"/>
                <w:sz w:val="14"/>
                <w:szCs w:val="14"/>
                <w:color w:val="auto"/>
              </w:rPr>
              <w:t>EST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1000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ASHVILLE</w:t>
            </w:r>
            <w:r>
              <w:rPr>
                <w:rFonts w:ascii="Times New Roman" w:cs="Times New Roman" w:eastAsia="Times New Roman" w:hAnsi="Times New Roman"/>
                <w:sz w:val="18"/>
                <w:szCs w:val="18"/>
                <w:color w:val="auto"/>
              </w:rPr>
              <w:t>, TN 37203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PECIALIZED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ECHNOLOGY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w:t>
            </w: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HEMICAL</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LASTICS</w:t>
            </w:r>
            <w:r>
              <w:rPr>
                <w:rFonts w:ascii="Times New Roman" w:cs="Times New Roman" w:eastAsia="Times New Roman" w:hAnsi="Times New Roman"/>
                <w:sz w:val="18"/>
                <w:szCs w:val="18"/>
                <w:color w:val="auto"/>
              </w:rPr>
              <w:t xml:space="preserve"> &amp; R</w:t>
            </w:r>
            <w:r>
              <w:rPr>
                <w:rFonts w:ascii="Times New Roman" w:cs="Times New Roman" w:eastAsia="Times New Roman" w:hAnsi="Times New Roman"/>
                <w:sz w:val="14"/>
                <w:szCs w:val="14"/>
                <w:color w:val="auto"/>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W</w:t>
            </w:r>
            <w:r>
              <w:rPr>
                <w:rFonts w:ascii="Times New Roman" w:cs="Times New Roman" w:eastAsia="Times New Roman" w:hAnsi="Times New Roman"/>
                <w:sz w:val="14"/>
                <w:szCs w:val="14"/>
                <w:color w:val="auto"/>
              </w:rPr>
              <w:t>ATER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NFIELD</w:t>
            </w:r>
            <w:r>
              <w:rPr>
                <w:rFonts w:ascii="Times New Roman" w:cs="Times New Roman" w:eastAsia="Times New Roman" w:hAnsi="Times New Roman"/>
                <w:sz w:val="18"/>
                <w:szCs w:val="18"/>
                <w:color w:val="auto"/>
              </w:rPr>
              <w:t>, CT 06082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RANS</w:t>
            </w: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USINESS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5950 B</w:t>
            </w:r>
            <w:r>
              <w:rPr>
                <w:rFonts w:ascii="Times New Roman" w:cs="Times New Roman" w:eastAsia="Times New Roman" w:hAnsi="Times New Roman"/>
                <w:sz w:val="14"/>
                <w:szCs w:val="14"/>
                <w:color w:val="auto"/>
              </w:rPr>
              <w:t>ERKSHIRE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ANE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1100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ALLAS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EXAS</w:t>
            </w:r>
            <w:r>
              <w:rPr>
                <w:rFonts w:ascii="Times New Roman" w:cs="Times New Roman" w:eastAsia="Times New Roman" w:hAnsi="Times New Roman"/>
                <w:sz w:val="18"/>
                <w:szCs w:val="18"/>
                <w:color w:val="auto"/>
              </w:rPr>
              <w:t xml:space="preserve"> 75225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TZ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NSURANCE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Subordinated Debt</w:t>
            </w:r>
          </w:p>
        </w:tc>
        <w:tc>
          <w:tcPr>
            <w:tcW w:w="106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auto"/>
                <w:w w:val="95"/>
              </w:rPr>
              <w:t>1.3%</w:t>
            </w:r>
          </w:p>
        </w:tc>
        <w:tc>
          <w:tcPr>
            <w:tcW w:w="140" w:type="dxa"/>
            <w:vAlign w:val="bottom"/>
          </w:tcPr>
          <w:p>
            <w:pPr>
              <w:spacing w:after="0"/>
              <w:rPr>
                <w:sz w:val="24"/>
                <w:szCs w:val="24"/>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567 S</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ICOLAS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RIVE</w:t>
            </w:r>
            <w:r>
              <w:rPr>
                <w:rFonts w:ascii="Times New Roman" w:cs="Times New Roman" w:eastAsia="Times New Roman" w:hAnsi="Times New Roman"/>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360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EWPORT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EACH</w:t>
            </w:r>
            <w:r>
              <w:rPr>
                <w:rFonts w:ascii="Times New Roman" w:cs="Times New Roman" w:eastAsia="Times New Roman" w:hAnsi="Times New Roman"/>
                <w:sz w:val="18"/>
                <w:szCs w:val="18"/>
                <w:color w:val="auto"/>
              </w:rPr>
              <w:t>, CA 92660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CQUISITION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t>
            </w:r>
            <w:r>
              <w:rPr>
                <w:rFonts w:ascii="Times New Roman" w:cs="Times New Roman" w:eastAsia="Times New Roman" w:hAnsi="Times New Roman"/>
                <w:sz w:val="14"/>
                <w:szCs w:val="14"/>
                <w:color w:val="auto"/>
                <w:w w:val="99"/>
              </w:rPr>
              <w:t>IL</w:t>
            </w:r>
            <w:r>
              <w:rPr>
                <w:rFonts w:ascii="Times New Roman" w:cs="Times New Roman" w:eastAsia="Times New Roman" w:hAnsi="Times New Roman"/>
                <w:sz w:val="18"/>
                <w:szCs w:val="18"/>
                <w:color w:val="auto"/>
                <w:w w:val="99"/>
              </w:rPr>
              <w:t xml:space="preserve"> &amp; G</w:t>
            </w:r>
            <w:r>
              <w:rPr>
                <w:rFonts w:ascii="Times New Roman" w:cs="Times New Roman" w:eastAsia="Times New Roman" w:hAnsi="Times New Roman"/>
                <w:sz w:val="14"/>
                <w:szCs w:val="14"/>
                <w:color w:val="auto"/>
                <w:w w:val="99"/>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Subordinate Debt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1515 A</w:t>
            </w:r>
            <w:r>
              <w:rPr>
                <w:rFonts w:ascii="Times New Roman" w:cs="Times New Roman" w:eastAsia="Times New Roman" w:hAnsi="Times New Roman"/>
                <w:sz w:val="14"/>
                <w:szCs w:val="14"/>
                <w:color w:val="auto"/>
              </w:rPr>
              <w:t>RAPAHOE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OWER</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UITE</w:t>
            </w:r>
            <w:r>
              <w:rPr>
                <w:rFonts w:ascii="Times New Roman" w:cs="Times New Roman" w:eastAsia="Times New Roman" w:hAnsi="Times New Roman"/>
                <w:sz w:val="18"/>
                <w:szCs w:val="18"/>
                <w:color w:val="auto"/>
              </w:rPr>
              <w:t xml:space="preserve"> 1500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ENVER</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80202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5620" w:right="4080" w:hanging="5612"/>
        <w:spacing w:after="0" w:line="447" w:lineRule="auto"/>
        <w:tabs>
          <w:tab w:leader="none" w:pos="4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class held refers only to common equity, preferred equity and warrants held, if any. 70</w:t>
      </w:r>
    </w:p>
    <w:p>
      <w:pPr>
        <w:sectPr>
          <w:pgSz w:w="11900" w:h="16838" w:orient="portrait"/>
          <w:cols w:equalWidth="0" w:num="1">
            <w:col w:w="11360"/>
          </w:cols>
          <w:pgMar w:left="240" w:top="455" w:right="2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Set forth below is a brief description of each portfolio company in which we have made an investment that represents greater than 5% of our total assets at June 30,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 Acquisition Sub Inc.</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UP Acquisition is a leading independent pipeline engineering services firm in the United States, providing engineering, project management and survey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Trizetto Group Inc.</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Trizetto Group is a leading healthcare information technology, software and consulting services provider.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i2 Holdings Ltd.</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company is a leading worldwide provider of visual investigative analysis software for law enforcement, intelligence, military and Fortune 500 organizations.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CT Technologies Intermediate Holdings, Inc.</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CT Technologies is a leading outsource provider of “release of information” services to healthcare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Energy &amp; Infrastructure Services, Inc.</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This company is a diversified provider of specialty services, including scaffolding, industrial coatings, insulation, refractory, and forming and shoring solutions, to North America’s energy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Specialized Technology Resources, Inc.</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 is a leader in the consumer testing and inspection market, as well as the leading global provider of solar encapsulants.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IDQ Holdings, Inc.</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company is the leading provider of value-added products for the Do-It-Yourself light vehicle air conditioning repair aftermarket.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20"/>
          </w:cols>
          <w:pgMar w:left="24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industry composition of the portfolio at fair value on September 30, 2008 and June 30, 2009 was as follows, excluding unearned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8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0" w:type="dxa"/>
            <w:vAlign w:val="bottom"/>
          </w:tcPr>
          <w:p>
            <w:pPr>
              <w:spacing w:after="0"/>
              <w:rPr>
                <w:sz w:val="1"/>
                <w:szCs w:val="1"/>
                <w:color w:val="auto"/>
              </w:rPr>
            </w:pPr>
          </w:p>
        </w:tc>
      </w:tr>
      <w:tr>
        <w:trPr>
          <w:trHeight w:val="165"/>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80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 and Rubber</w:t>
            </w:r>
          </w:p>
        </w:tc>
        <w:tc>
          <w:tcPr>
            <w:tcW w:w="488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Energy/Utilities</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and Gas</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Sector</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Leisure, Amusement, Motion Picture, Entertainment</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Media</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Education</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Services</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Home and Office Furnishings, Housewares, and Durable Consumer Products</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Real Estate</w:t>
            </w:r>
          </w:p>
        </w:tc>
        <w:tc>
          <w:tcPr>
            <w:tcW w:w="48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Store</w:t>
            </w:r>
          </w:p>
        </w:tc>
        <w:tc>
          <w:tcPr>
            <w:tcW w:w="488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8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vMerge w:val="restart"/>
          </w:tcPr>
          <w:p>
            <w:pPr>
              <w:jc w:val="right"/>
              <w:ind w:right="2933"/>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serve at the discretion of the board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0"/>
              </w:rPr>
              <w:t>Director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31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bl>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for each director is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our executive officers who are not directors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9"/>
              </w:rPr>
              <w:t>Aviv</w:t>
            </w:r>
          </w:p>
        </w:tc>
        <w:tc>
          <w:tcPr>
            <w:tcW w:w="45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Efrat</w:t>
            </w:r>
          </w:p>
        </w:tc>
        <w:tc>
          <w:tcPr>
            <w:tcW w:w="2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Chief</w:t>
            </w:r>
          </w:p>
        </w:tc>
        <w:tc>
          <w:tcPr>
            <w:tcW w:w="1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Financial Officer</w:t>
            </w:r>
          </w:p>
        </w:tc>
      </w:tr>
      <w:tr>
        <w:trPr>
          <w:trHeight w:val="24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Talarico</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5"/>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for each executive officer is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 or by telephone at (212) 905-1000.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Our directors have been divided into two groups—interested directors and independent directors. Interested directors are “interested persons” as defined in the 1940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Adam K. Bernstein (46), Director. Mr. Bernstein became a director of PennantPark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Marshall Brozost (42), Director. Mr. Brozost became a director of PennantPark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Jeffrey Flug (46), Director. Mr. Flug became a director of PennantPark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39"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Samuel L. Katz (43), Director. Mr. Katz became a director of PennantPark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w:t>
      </w:r>
    </w:p>
    <w:p>
      <w:pPr>
        <w:spacing w:after="0" w:line="94"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Arthur H. Penn (46) Founder, Chief Executive Officer and Chairman of the Board of Directors. Mr. Penn became the chief executive officer and a director of PennantPark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Aviv Efrat (45), Chief Financial Officer and Treasurer. Mr. Efrat joined PennantPark in February 2007 as its Chief Financial Officer and Treasurer.</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Efrat is also a Managing Director of PennantPark Investment Administration, LLC. Mr. Efrat was a Director at BlackRock, Inc., a leading investment firm,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Guy Talarico (52) Chief Compliance Officer. Mr. Talarico became PennantPark’s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For the fiscal year ended September 30, 2008, we held six board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9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the Company’s website: </w:t>
      </w:r>
      <w:r>
        <w:rPr>
          <w:rFonts w:ascii="Times New Roman" w:cs="Times New Roman" w:eastAsia="Times New Roman" w:hAnsi="Times New Roman"/>
          <w:sz w:val="16"/>
          <w:szCs w:val="16"/>
          <w:i w:val="1"/>
          <w:iCs w:val="1"/>
          <w:color w:val="auto"/>
        </w:rPr>
        <w:t>http://www.pennantpark.com.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94"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Times New Roman" w:cs="Times New Roman" w:eastAsia="Times New Roman" w:hAnsi="Times New Roman"/>
          <w:sz w:val="18"/>
          <w:szCs w:val="18"/>
          <w:i w:val="1"/>
          <w:iCs w:val="1"/>
          <w:color w:val="auto"/>
        </w:rPr>
        <w:t>http://www.pennantpark.com.</w:t>
      </w:r>
    </w:p>
    <w:p>
      <w:pPr>
        <w:spacing w:after="0" w:line="14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our Board of Directors and to serve if elected by the stockholders.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Our board of directors also believes it is appropriate for a key member of the Company’s management to participate as a member of our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 compensation committee because our executive officers do not receive compensation from 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2"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us to our directors for the fiscal year ended September 30, 2008. No compensation is paid by us to any interested director or executive officer.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Pension or</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retirement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benefits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paid</w:t>
            </w: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accrued as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r>
      <w:tr>
        <w:trPr>
          <w:trHeight w:val="138"/>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2"/>
              </w:rPr>
              <w:t>from the</w:t>
            </w:r>
          </w:p>
        </w:tc>
        <w:tc>
          <w:tcPr>
            <w:tcW w:w="4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4"/>
              </w:rPr>
              <w:t>part of our</w:t>
            </w:r>
          </w:p>
        </w:tc>
        <w:tc>
          <w:tcPr>
            <w:tcW w:w="4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3"/>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8"/>
              </w:rPr>
              <w:t>expense</w:t>
            </w:r>
            <w:r>
              <w:rPr>
                <w:rFonts w:ascii="Times New Roman" w:cs="Times New Roman" w:eastAsia="Times New Roman" w:hAnsi="Times New Roman"/>
                <w:sz w:val="20"/>
                <w:szCs w:val="20"/>
                <w:b w:val="1"/>
                <w:bCs w:val="1"/>
                <w:color w:val="auto"/>
                <w:w w:val="98"/>
                <w:vertAlign w:val="superscript"/>
              </w:rPr>
              <w:t>(1)</w:t>
            </w:r>
          </w:p>
        </w:tc>
        <w:tc>
          <w:tcPr>
            <w:tcW w:w="4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officer</w:t>
            </w:r>
          </w:p>
        </w:tc>
      </w:tr>
      <w:tr>
        <w:trPr>
          <w:trHeight w:val="195"/>
        </w:trPr>
        <w:tc>
          <w:tcPr>
            <w:tcW w:w="8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Adam K. Bernstein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Marshall Brozost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Flug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138,750</w:t>
            </w:r>
          </w:p>
        </w:tc>
      </w:tr>
      <w:tr>
        <w:trPr>
          <w:trHeight w:val="214"/>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Samuel L. Katz</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r>
      <w:tr>
        <w:trPr>
          <w:trHeight w:val="21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Arthur H. Penn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1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Aviv Eftrat</w:t>
            </w:r>
            <w:r>
              <w:rPr>
                <w:rFonts w:ascii="Times New Roman" w:cs="Times New Roman" w:eastAsia="Times New Roman" w:hAnsi="Times New Roman"/>
                <w:sz w:val="11"/>
                <w:szCs w:val="11"/>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42"/>
        </w:trPr>
        <w:tc>
          <w:tcPr>
            <w:tcW w:w="380" w:type="dxa"/>
            <w:vAlign w:val="bottom"/>
          </w:tcPr>
          <w:p>
            <w:pPr>
              <w:spacing w:after="0"/>
              <w:rPr>
                <w:sz w:val="21"/>
                <w:szCs w:val="21"/>
                <w:color w:val="auto"/>
              </w:rPr>
            </w:pP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Guy Talarico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August 28, 2009,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directors consist of one interested director and four independent directors. An interested director is an “interested person” of us, as defined in the 1940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5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as of August 28, 2009, certain ownership information with respect to our common stock for those persons who directly or indirectly own, control, or hold with the power to vote, 5 percent or more of our common stock and all officers and directors, as a group.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22"/>
                <w:szCs w:val="22"/>
                <w:b w:val="1"/>
                <w:bCs w:val="1"/>
                <w:color w:val="auto"/>
                <w:vertAlign w:val="superscript"/>
              </w:rPr>
              <w:t>(1)</w:t>
            </w:r>
          </w:p>
        </w:tc>
        <w:tc>
          <w:tcPr>
            <w:tcW w:w="17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Type of ownership</w:t>
            </w:r>
            <w:r>
              <w:rPr>
                <w:rFonts w:ascii="Times New Roman" w:cs="Times New Roman" w:eastAsia="Times New Roman" w:hAnsi="Times New Roman"/>
                <w:sz w:val="22"/>
                <w:szCs w:val="22"/>
                <w:b w:val="1"/>
                <w:bCs w:val="1"/>
                <w:color w:val="auto"/>
                <w:w w:val="93"/>
                <w:vertAlign w:val="superscript"/>
              </w:rPr>
              <w:t>(4)</w:t>
            </w:r>
          </w:p>
        </w:tc>
        <w:tc>
          <w:tcPr>
            <w:tcW w:w="70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165"/>
        </w:trPr>
        <w:tc>
          <w:tcPr>
            <w:tcW w:w="764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Alpine Total Dynamic Dividend Fund</w:t>
            </w:r>
          </w:p>
        </w:tc>
        <w:tc>
          <w:tcPr>
            <w:tcW w:w="17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Beneficial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1,296,000</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2500 Westchester Suite, Suite 215</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NY 10577</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Clough Capital Partners L.P.</w:t>
            </w: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Beneficial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1,457,185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Wellington Management Company LLP</w:t>
            </w:r>
          </w:p>
        </w:tc>
        <w:tc>
          <w:tcPr>
            <w:tcW w:w="17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Beneficial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2,613,491</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 State Street</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Adam K. Bernstein</w:t>
            </w:r>
            <w:r>
              <w:rPr>
                <w:rFonts w:ascii="Times New Roman" w:cs="Times New Roman" w:eastAsia="Times New Roman" w:hAnsi="Times New Roman"/>
                <w:sz w:val="11"/>
                <w:szCs w:val="11"/>
                <w:color w:val="auto"/>
              </w:rPr>
              <w:t>(2)</w:t>
            </w:r>
          </w:p>
        </w:tc>
        <w:tc>
          <w:tcPr>
            <w:tcW w:w="17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Marshall Brozost</w:t>
            </w: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Jeffrey Flug</w:t>
            </w:r>
          </w:p>
        </w:tc>
        <w:tc>
          <w:tcPr>
            <w:tcW w:w="17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Samuel L. Katz</w:t>
            </w: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1"/>
                <w:szCs w:val="11"/>
                <w:color w:val="auto"/>
              </w:rPr>
              <w:t>(3)</w:t>
            </w: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399,260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Aviv Efrat</w:t>
            </w: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p>
        </w:tc>
        <w:tc>
          <w:tcPr>
            <w:tcW w:w="17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Record/Beneficial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674,753</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Investment Corporation,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w:t>
      </w:r>
    </w:p>
    <w:p>
      <w:pPr>
        <w:spacing w:after="0" w:line="76" w:lineRule="exact"/>
        <w:rPr>
          <w:rFonts w:ascii="Times New Roman" w:cs="Times New Roman" w:eastAsia="Times New Roman" w:hAnsi="Times New Roman"/>
          <w:sz w:val="18"/>
          <w:szCs w:val="18"/>
          <w:color w:val="auto"/>
        </w:rPr>
      </w:pPr>
    </w:p>
    <w:p>
      <w:pPr>
        <w:ind w:left="460" w:right="30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Bernstein is the President of JAM Investments, LLC and may therefore be deemed to own beneficially the 68,236 shares held by JAM Investments, LLC.</w:t>
      </w:r>
    </w:p>
    <w:p>
      <w:pPr>
        <w:spacing w:after="0" w:line="25"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PennantPark Investment Advisers, LLC, and may therefore be deemed to own beneficially the 260,859 shares held by PennantPark Investment Advisers, LLC.</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77" w:lineRule="exact"/>
        <w:rPr>
          <w:sz w:val="20"/>
          <w:szCs w:val="20"/>
          <w:color w:val="auto"/>
        </w:rPr>
      </w:pPr>
    </w:p>
    <w:p>
      <w:pPr>
        <w:ind w:left="460" w:hanging="408"/>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Range of Securities Beneficially Owned by Director, Officers and Portfolio Managers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beneficially owned by each of our directors as of June 30, 2009. Information as to the beneficial ownerships based on information furnished to the company by such persons. We are not part of a “family of investment companies,” as that term is defined in the 1940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of PennantPark</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Dollar Range of Equity Securities in PennantPark</w:t>
            </w:r>
            <w:r>
              <w:rPr>
                <w:rFonts w:ascii="Times New Roman" w:cs="Times New Roman" w:eastAsia="Times New Roman" w:hAnsi="Times New Roman"/>
                <w:sz w:val="22"/>
                <w:szCs w:val="22"/>
                <w:b w:val="1"/>
                <w:bCs w:val="1"/>
                <w:color w:val="auto"/>
                <w:w w:val="94"/>
                <w:vertAlign w:val="superscript"/>
              </w:rPr>
              <w:t>(1)</w:t>
            </w:r>
          </w:p>
        </w:tc>
      </w:tr>
      <w:tr>
        <w:trPr>
          <w:trHeight w:val="195"/>
        </w:trPr>
        <w:tc>
          <w:tcPr>
            <w:tcW w:w="15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1"/>
              </w:rPr>
              <w:t>Independent directors</w:t>
            </w:r>
          </w:p>
        </w:tc>
        <w:tc>
          <w:tcPr>
            <w:tcW w:w="4480" w:type="dxa"/>
            <w:vAlign w:val="bottom"/>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$500,001 - $1,000,000</w:t>
            </w:r>
            <w:r>
              <w:rPr>
                <w:rFonts w:ascii="Times New Roman" w:cs="Times New Roman" w:eastAsia="Times New Roman" w:hAnsi="Times New Roman"/>
                <w:sz w:val="11"/>
                <w:szCs w:val="11"/>
                <w:color w:val="auto"/>
                <w:w w:val="97"/>
              </w:rPr>
              <w:t>(2)</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$50,001 - $100,000</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$500,001 - $1,000,000</w:t>
            </w: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$500,001 - $1,000,000</w:t>
            </w:r>
          </w:p>
        </w:tc>
      </w:tr>
      <w:tr>
        <w:trPr>
          <w:trHeight w:val="32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5360" w:type="dxa"/>
            <w:vAlign w:val="bottom"/>
          </w:tcPr>
          <w:p>
            <w:pPr>
              <w:spacing w:after="0"/>
              <w:rPr>
                <w:sz w:val="24"/>
                <w:szCs w:val="24"/>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r>
              <w:rPr>
                <w:rFonts w:ascii="Times New Roman" w:cs="Times New Roman" w:eastAsia="Times New Roman" w:hAnsi="Times New Roman"/>
                <w:sz w:val="11"/>
                <w:szCs w:val="11"/>
                <w:color w:val="auto"/>
                <w:w w:val="98"/>
              </w:rPr>
              <w:t>(3)</w:t>
            </w:r>
          </w:p>
        </w:tc>
      </w:tr>
      <w:tr>
        <w:trPr>
          <w:trHeight w:val="3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Aviv Efrat</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$100,001 - $500,000</w:t>
            </w:r>
          </w:p>
        </w:tc>
      </w:tr>
      <w:tr>
        <w:trPr>
          <w:trHeight w:val="3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S. Chang</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$100,001 - $500,000</w:t>
            </w: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Whitridge Williams, Jr.</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JAM Investments, LLC.</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Management Agreement</w:t>
      </w:r>
    </w:p>
    <w:p>
      <w:pPr>
        <w:spacing w:after="0" w:line="9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51"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90"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and monitors the investments we make.</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Advisory Fees</w:t>
      </w:r>
    </w:p>
    <w:p>
      <w:pPr>
        <w:spacing w:after="0" w:line="94"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was 1.75% from October 1, 2007 through March 31, 2008. Our base management fee has been 2.00% after March 31, 2008. For services rendered under our Investment Management Agreement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nine months ended June 30, 2009 and June 30, 2008, the Investment Adviser earned base management fees, after fee waiver, of $5.5 million and $4.8 million, respectively.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39"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our Pre-Incentive Fee Net Investment Income does not exceed the Hurdle of 1.75%;</w:t>
      </w:r>
    </w:p>
    <w:p>
      <w:pPr>
        <w:spacing w:after="0" w:line="90" w:lineRule="exact"/>
        <w:rPr>
          <w:rFonts w:ascii="Times New Roman" w:cs="Times New Roman" w:eastAsia="Times New Roman" w:hAnsi="Times New Roman"/>
          <w:sz w:val="18"/>
          <w:szCs w:val="18"/>
          <w:color w:val="auto"/>
        </w:rPr>
      </w:pPr>
    </w:p>
    <w:p>
      <w:pPr>
        <w:ind w:left="900" w:right="300" w:hanging="325"/>
        <w:spacing w:after="0" w:line="25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57"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Graphical Representation of Calculation of Quarterly Incentive Fee Based on Net Investment Income</w:t>
      </w:r>
    </w:p>
    <w:p>
      <w:pPr>
        <w:spacing w:after="0" w:line="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Pre-incentive fee net investment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Percentage of pre-incentive fee net investment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allocated to income-related portion of incentive fee</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nine months ended June 30, 2009 and June 30, 2008, the Investment Adviser earned $4.2 million and $2.4 million, respectively, in incentive fees.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(investment income—(base management fee + other expenses)) = 0.55%</w:t>
      </w:r>
    </w:p>
    <w:p>
      <w:pPr>
        <w:spacing w:after="0" w:line="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(investment income—(base management fee + other expenses)) = 2.00%</w:t>
      </w:r>
    </w:p>
    <w:p>
      <w:pPr>
        <w:spacing w:after="0" w:line="199" w:lineRule="exact"/>
        <w:rPr>
          <w:sz w:val="20"/>
          <w:szCs w:val="20"/>
          <w:color w:val="auto"/>
        </w:rPr>
      </w:pPr>
    </w:p>
    <w:p>
      <w:pPr>
        <w:ind w:left="460"/>
        <w:spacing w:after="0"/>
        <w:tabs>
          <w:tab w:leader="none" w:pos="2140" w:val="left"/>
        </w:tabs>
        <w:rPr>
          <w:sz w:val="20"/>
          <w:szCs w:val="20"/>
          <w:color w:val="auto"/>
        </w:rPr>
      </w:pPr>
      <w:r>
        <w:rPr>
          <w:rFonts w:ascii="Times New Roman" w:cs="Times New Roman" w:eastAsia="Times New Roman" w:hAnsi="Times New Roman"/>
          <w:sz w:val="18"/>
          <w:szCs w:val="18"/>
          <w:color w:val="auto"/>
        </w:rPr>
        <w:t>Incentive fee</w:t>
      </w:r>
      <w:r>
        <w:rPr>
          <w:sz w:val="20"/>
          <w:szCs w:val="20"/>
          <w:color w:val="auto"/>
        </w:rPr>
        <w:tab/>
      </w:r>
      <w:r>
        <w:rPr>
          <w:rFonts w:ascii="Times New Roman" w:cs="Times New Roman" w:eastAsia="Times New Roman" w:hAnsi="Times New Roman"/>
          <w:sz w:val="16"/>
          <w:szCs w:val="16"/>
          <w:color w:val="auto"/>
        </w:rPr>
        <w:t>= 20% x Pre-Incentive Fee Net Investment Income, subject to “catch-up”</w:t>
      </w:r>
    </w:p>
    <w:p>
      <w:pPr>
        <w:spacing w:after="0" w:line="21" w:lineRule="exact"/>
        <w:rPr>
          <w:sz w:val="20"/>
          <w:szCs w:val="20"/>
          <w:color w:val="auto"/>
        </w:rPr>
      </w:pPr>
    </w:p>
    <w:p>
      <w:pPr>
        <w:ind w:left="2300" w:hanging="145"/>
        <w:spacing w:after="0"/>
        <w:tabs>
          <w:tab w:leader="none" w:pos="2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- 1.75%</w:t>
      </w:r>
    </w:p>
    <w:p>
      <w:pPr>
        <w:spacing w:after="0" w:line="9" w:lineRule="exact"/>
        <w:rPr>
          <w:rFonts w:ascii="Times New Roman" w:cs="Times New Roman" w:eastAsia="Times New Roman" w:hAnsi="Times New Roman"/>
          <w:sz w:val="18"/>
          <w:szCs w:val="18"/>
          <w:color w:val="auto"/>
        </w:rPr>
      </w:pPr>
    </w:p>
    <w:p>
      <w:pPr>
        <w:ind w:left="2300" w:hanging="145"/>
        <w:spacing w:after="0"/>
        <w:tabs>
          <w:tab w:leader="none" w:pos="2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0.25%</w:t>
      </w:r>
    </w:p>
    <w:p>
      <w:pPr>
        <w:spacing w:after="0" w:line="9" w:lineRule="exact"/>
        <w:rPr>
          <w:rFonts w:ascii="Times New Roman" w:cs="Times New Roman" w:eastAsia="Times New Roman" w:hAnsi="Times New Roman"/>
          <w:sz w:val="18"/>
          <w:szCs w:val="18"/>
          <w:color w:val="auto"/>
        </w:rPr>
      </w:pPr>
    </w:p>
    <w:p>
      <w:pPr>
        <w:ind w:left="2300" w:hanging="145"/>
        <w:spacing w:after="0"/>
        <w:tabs>
          <w:tab w:leader="none" w:pos="2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x 0.25%</w:t>
      </w:r>
    </w:p>
    <w:p>
      <w:pPr>
        <w:spacing w:after="0" w:line="9" w:lineRule="exact"/>
        <w:rPr>
          <w:rFonts w:ascii="Times New Roman" w:cs="Times New Roman" w:eastAsia="Times New Roman" w:hAnsi="Times New Roman"/>
          <w:sz w:val="18"/>
          <w:szCs w:val="18"/>
          <w:color w:val="auto"/>
        </w:rPr>
      </w:pPr>
    </w:p>
    <w:p>
      <w:pPr>
        <w:ind w:left="2300" w:hanging="145"/>
        <w:spacing w:after="0"/>
        <w:tabs>
          <w:tab w:leader="none" w:pos="2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(investment income—(base management fee + other expenses)) = 2.30%</w:t>
      </w:r>
    </w:p>
    <w:p>
      <w:pPr>
        <w:spacing w:after="0" w:line="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0.4375%</w:t>
      </w:r>
    </w:p>
    <w:p>
      <w:pPr>
        <w:spacing w:after="0" w:line="90" w:lineRule="exact"/>
        <w:rPr>
          <w:rFonts w:ascii="Times New Roman" w:cs="Times New Roman" w:eastAsia="Times New Roman" w:hAnsi="Times New Roman"/>
          <w:sz w:val="18"/>
          <w:szCs w:val="18"/>
          <w:color w:val="auto"/>
        </w:rPr>
      </w:pPr>
    </w:p>
    <w:p>
      <w:pPr>
        <w:ind w:left="1040" w:hanging="137"/>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x 0.4375%) + (20% x (2.3% - 2.1875%))</w:t>
      </w:r>
    </w:p>
    <w:p>
      <w:pPr>
        <w:spacing w:after="0" w:line="90" w:lineRule="exact"/>
        <w:rPr>
          <w:rFonts w:ascii="Times New Roman" w:cs="Times New Roman" w:eastAsia="Times New Roman" w:hAnsi="Times New Roman"/>
          <w:sz w:val="18"/>
          <w:szCs w:val="18"/>
          <w:color w:val="auto"/>
        </w:rPr>
      </w:pPr>
    </w:p>
    <w:p>
      <w:pPr>
        <w:ind w:left="1040" w:hanging="137"/>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0.4375% + (20% x 0.1125%)</w:t>
      </w:r>
    </w:p>
    <w:p>
      <w:pPr>
        <w:spacing w:after="0" w:line="90" w:lineRule="exact"/>
        <w:rPr>
          <w:rFonts w:ascii="Times New Roman" w:cs="Times New Roman" w:eastAsia="Times New Roman" w:hAnsi="Times New Roman"/>
          <w:sz w:val="18"/>
          <w:szCs w:val="18"/>
          <w:color w:val="auto"/>
        </w:rPr>
      </w:pPr>
    </w:p>
    <w:p>
      <w:pPr>
        <w:ind w:left="1040" w:hanging="137"/>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0.4375% + 0.0225%</w:t>
      </w:r>
    </w:p>
    <w:p>
      <w:pPr>
        <w:spacing w:after="0" w:line="90" w:lineRule="exact"/>
        <w:rPr>
          <w:rFonts w:ascii="Times New Roman" w:cs="Times New Roman" w:eastAsia="Times New Roman" w:hAnsi="Times New Roman"/>
          <w:sz w:val="18"/>
          <w:szCs w:val="18"/>
          <w:color w:val="auto"/>
        </w:rPr>
      </w:pPr>
    </w:p>
    <w:p>
      <w:pPr>
        <w:ind w:left="1040" w:hanging="137"/>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1 = no net realized capital gains or losses</w:t>
      </w:r>
    </w:p>
    <w:p>
      <w:pPr>
        <w:spacing w:after="0" w:line="90"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0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20"/>
          </w:cols>
          <w:pgMar w:left="240" w:top="455" w:right="7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980" w:type="dxa"/>
            <w:vAlign w:val="bottom"/>
          </w:tcPr>
          <w:p>
            <w:pPr>
              <w:spacing w:after="0"/>
              <w:rPr>
                <w:sz w:val="20"/>
                <w:szCs w:val="20"/>
                <w:color w:val="auto"/>
              </w:rPr>
            </w:pPr>
          </w:p>
        </w:tc>
      </w:tr>
      <w:tr>
        <w:trPr>
          <w:trHeight w:val="285"/>
        </w:trPr>
        <w:tc>
          <w:tcPr>
            <w:tcW w:w="2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Year 1 incentive fee</w:t>
            </w:r>
          </w:p>
        </w:tc>
        <w:tc>
          <w:tcPr>
            <w:tcW w:w="1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0</w:t>
            </w:r>
          </w:p>
        </w:tc>
      </w:tr>
      <w:tr>
        <w:trPr>
          <w:trHeight w:val="228"/>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5"/>
              </w:rPr>
              <w:t>= no incentive fee</w:t>
            </w:r>
          </w:p>
        </w:tc>
      </w:tr>
    </w:tbl>
    <w:p>
      <w:pPr>
        <w:spacing w:after="0" w:line="96"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Year 2 incentive fee</w:t>
      </w:r>
      <w:r>
        <w:rPr>
          <w:sz w:val="20"/>
          <w:szCs w:val="20"/>
          <w:color w:val="auto"/>
        </w:rPr>
        <w:tab/>
      </w:r>
      <w:r>
        <w:rPr>
          <w:rFonts w:ascii="Times New Roman" w:cs="Times New Roman" w:eastAsia="Times New Roman" w:hAnsi="Times New Roman"/>
          <w:sz w:val="16"/>
          <w:szCs w:val="16"/>
          <w:color w:val="auto"/>
        </w:rPr>
        <w:t>= 20% x (6% - 1%)</w:t>
      </w:r>
    </w:p>
    <w:p>
      <w:pPr>
        <w:spacing w:after="0" w:line="21" w:lineRule="exact"/>
        <w:rPr>
          <w:sz w:val="20"/>
          <w:szCs w:val="20"/>
          <w:color w:val="auto"/>
        </w:rPr>
      </w:pPr>
    </w:p>
    <w:p>
      <w:pPr>
        <w:ind w:left="3440" w:hanging="137"/>
        <w:spacing w:after="0"/>
        <w:tabs>
          <w:tab w:leader="none" w:pos="34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x 5%</w:t>
      </w:r>
    </w:p>
    <w:p>
      <w:pPr>
        <w:spacing w:after="0" w:line="9" w:lineRule="exact"/>
        <w:rPr>
          <w:rFonts w:ascii="Times New Roman" w:cs="Times New Roman" w:eastAsia="Times New Roman" w:hAnsi="Times New Roman"/>
          <w:sz w:val="18"/>
          <w:szCs w:val="18"/>
          <w:color w:val="auto"/>
        </w:rPr>
      </w:pPr>
    </w:p>
    <w:p>
      <w:pPr>
        <w:ind w:left="3440" w:hanging="137"/>
        <w:spacing w:after="0"/>
        <w:tabs>
          <w:tab w:leader="none" w:pos="34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14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7.0% annualized Hurdle.</w:t>
      </w:r>
    </w:p>
    <w:p>
      <w:pPr>
        <w:spacing w:after="0" w:line="76" w:lineRule="exact"/>
        <w:rPr>
          <w:rFonts w:ascii="Times New Roman" w:cs="Times New Roman" w:eastAsia="Times New Roman" w:hAnsi="Times New Roman"/>
          <w:sz w:val="18"/>
          <w:szCs w:val="18"/>
          <w:color w:val="auto"/>
        </w:rPr>
      </w:pPr>
    </w:p>
    <w:p>
      <w:pPr>
        <w:ind w:left="460" w:right="360" w:hanging="452"/>
        <w:spacing w:after="0" w:line="310"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94"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Investment Management Agreement was re-approved by our board of directors, including a majority of our directors who are not interested persons of PennantPark, in February 2009. Unless terminated earlier as described below, our Investment Management Agreement will continue in effect for a period of one year through February 2010.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of the Investment Adviser</w:t>
      </w:r>
    </w:p>
    <w:p>
      <w:pPr>
        <w:spacing w:after="0" w:line="94"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PennantPark Investment Advisers is a registered Investment Adviser under the Advisers Act of 1940. The principal executive offices of PennantPark Investment Advisers are located at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NY 10022.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pay the fees associated with such functions on a direct basis without profit to the Administrator. For the nine months ended June 30, 2009 and June 30, 2008, the Investment Adviser was reimbursed $1.4 million and $1.6 million, respectively, by PennantPark Investment, including expenses it incurred on behalf of the Administrator for the services described above.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20"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39"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39" w:lineRule="exact"/>
        <w:rPr>
          <w:sz w:val="20"/>
          <w:szCs w:val="20"/>
          <w:color w:val="auto"/>
        </w:rPr>
      </w:pPr>
    </w:p>
    <w:p>
      <w:pPr>
        <w:ind w:left="900" w:right="46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90" w:lineRule="exact"/>
        <w:rPr>
          <w:rFonts w:ascii="Times New Roman" w:cs="Times New Roman" w:eastAsia="Times New Roman" w:hAnsi="Times New Roman"/>
          <w:sz w:val="18"/>
          <w:szCs w:val="18"/>
          <w:color w:val="auto"/>
        </w:rPr>
      </w:pPr>
    </w:p>
    <w:p>
      <w:pPr>
        <w:jc w:val="both"/>
        <w:ind w:left="900" w:right="60" w:hanging="325"/>
        <w:spacing w:after="0" w:line="26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1" w:lineRule="exact"/>
        <w:rPr>
          <w:rFonts w:ascii="Times New Roman" w:cs="Times New Roman" w:eastAsia="Times New Roman" w:hAnsi="Times New Roman"/>
          <w:sz w:val="18"/>
          <w:szCs w:val="18"/>
          <w:color w:val="auto"/>
        </w:rPr>
      </w:pPr>
    </w:p>
    <w:p>
      <w:pPr>
        <w:ind w:left="900" w:right="280" w:hanging="325"/>
        <w:spacing w:after="0" w:line="334" w:lineRule="auto"/>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1" w:lineRule="exact"/>
        <w:rPr>
          <w:rFonts w:ascii="Times New Roman" w:cs="Times New Roman" w:eastAsia="Times New Roman" w:hAnsi="Times New Roman"/>
          <w:sz w:val="16"/>
          <w:szCs w:val="16"/>
          <w:color w:val="auto"/>
        </w:rPr>
      </w:pPr>
    </w:p>
    <w:p>
      <w:pPr>
        <w:ind w:left="900" w:right="16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9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55"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90" w:lineRule="exact"/>
        <w:rPr>
          <w:rFonts w:ascii="Times New Roman" w:cs="Times New Roman" w:eastAsia="Times New Roman" w:hAnsi="Times New Roman"/>
          <w:sz w:val="18"/>
          <w:szCs w:val="18"/>
          <w:color w:val="auto"/>
        </w:rPr>
      </w:pPr>
    </w:p>
    <w:p>
      <w:pPr>
        <w:jc w:val="both"/>
        <w:ind w:left="900" w:right="180" w:hanging="325"/>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51"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Provided, however, that if we receive the consent of the majority of our common stockholders to issue shares of our common stock at a price below our then current NAV (such consent was provided on August 25, 2009 for a 12 months period), and our board of directors decides that such an offering is in the best interest of our common stockholders, we may undertake such an offering.</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(see Part C—“Undertakings”),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41"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38"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73"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1" w:lineRule="exact"/>
        <w:rPr>
          <w:sz w:val="20"/>
          <w:szCs w:val="20"/>
          <w:color w:val="auto"/>
        </w:rPr>
      </w:pPr>
    </w:p>
    <w:p>
      <w:pPr>
        <w:ind w:right="520" w:firstLine="456"/>
        <w:spacing w:after="0" w:line="258" w:lineRule="auto"/>
        <w:rPr>
          <w:sz w:val="20"/>
          <w:szCs w:val="20"/>
          <w:color w:val="auto"/>
        </w:rPr>
      </w:pPr>
      <w:r>
        <w:rPr>
          <w:rFonts w:ascii="Times New Roman" w:cs="Times New Roman" w:eastAsia="Times New Roman" w:hAnsi="Times New Roman"/>
          <w:sz w:val="18"/>
          <w:szCs w:val="18"/>
          <w:color w:val="auto"/>
        </w:rPr>
        <w:t>There may be de minimis transaction charges incurred in connection with plan participation.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3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173"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9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On June 30,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August 31, 2009 was $8.35 per share. As of August 31, 2009, we had 16 stockholders of record.</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August 31,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Held by</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65"/>
        </w:trPr>
        <w:tc>
          <w:tcPr>
            <w:tcW w:w="7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Authorized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7"/>
              </w:rPr>
              <w:t>100,000,000</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our Charter and Bylaws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in 2011, 2012, and 2010,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94"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94" w:lineRule="exact"/>
        <w:rPr>
          <w:sz w:val="20"/>
          <w:szCs w:val="20"/>
          <w:color w:val="auto"/>
        </w:rPr>
      </w:pPr>
    </w:p>
    <w:p>
      <w:pPr>
        <w:jc w:val="both"/>
        <w:ind w:right="360" w:firstLine="456"/>
        <w:spacing w:after="0" w:line="258"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will have the exclusive power to adopt, alter or repeal any provision of our bylaws and to make new bylaws.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94"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8"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3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5" w:lineRule="exact"/>
        <w:rPr>
          <w:sz w:val="20"/>
          <w:szCs w:val="20"/>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the corporation’s shares; or</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3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39"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90" w:lineRule="exact"/>
        <w:rPr>
          <w:rFonts w:ascii="Times New Roman" w:cs="Times New Roman" w:eastAsia="Times New Roman" w:hAnsi="Times New Roman"/>
          <w:sz w:val="18"/>
          <w:szCs w:val="18"/>
          <w:color w:val="auto"/>
        </w:rPr>
      </w:pPr>
    </w:p>
    <w:p>
      <w:pPr>
        <w:ind w:left="900" w:right="460" w:hanging="325"/>
        <w:spacing w:after="0" w:line="339" w:lineRule="auto"/>
        <w:tabs>
          <w:tab w:leader="none" w:pos="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7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173"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1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4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39"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90" w:lineRule="exact"/>
        <w:rPr>
          <w:rFonts w:ascii="Times New Roman" w:cs="Times New Roman" w:eastAsia="Times New Roman" w:hAnsi="Times New Roman"/>
          <w:sz w:val="18"/>
          <w:szCs w:val="18"/>
          <w:color w:val="auto"/>
        </w:rPr>
      </w:pPr>
    </w:p>
    <w:p>
      <w:pPr>
        <w:ind w:left="900" w:right="62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2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173"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1"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20"/>
          </w:cols>
          <w:pgMar w:left="24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90"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13" w:lineRule="exact"/>
        <w:rPr>
          <w:rFonts w:ascii="Times New Roman" w:cs="Times New Roman" w:eastAsia="Times New Roman" w:hAnsi="Times New Roman"/>
          <w:sz w:val="16"/>
          <w:szCs w:val="16"/>
          <w:color w:val="auto"/>
        </w:rPr>
      </w:pPr>
    </w:p>
    <w:p>
      <w:pPr>
        <w:ind w:left="900" w:right="44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shall expire (subject to any extension);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90" w:lineRule="exact"/>
        <w:rPr>
          <w:rFonts w:ascii="Times New Roman" w:cs="Times New Roman" w:eastAsia="Times New Roman" w:hAnsi="Times New Roman"/>
          <w:sz w:val="18"/>
          <w:szCs w:val="18"/>
          <w:color w:val="auto"/>
        </w:rPr>
      </w:pPr>
    </w:p>
    <w:p>
      <w:pPr>
        <w:ind w:left="900" w:right="82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38"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Subscription Rights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80"/>
          </w:cols>
          <w:pgMar w:left="240" w:top="455" w:right="2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39"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by including:</w:t>
      </w:r>
    </w:p>
    <w:p>
      <w:pPr>
        <w:spacing w:after="0" w:line="90"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90" w:lineRule="exact"/>
        <w:rPr>
          <w:rFonts w:ascii="Times New Roman" w:cs="Times New Roman" w:eastAsia="Times New Roman" w:hAnsi="Times New Roman"/>
          <w:sz w:val="18"/>
          <w:szCs w:val="18"/>
          <w:color w:val="auto"/>
        </w:rPr>
      </w:pPr>
    </w:p>
    <w:p>
      <w:pPr>
        <w:jc w:val="both"/>
        <w:ind w:left="900" w:right="40" w:hanging="325"/>
        <w:spacing w:after="0" w:line="26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if any, other than or in addition to The City of New York, of payment, transfer, conversion and/or exchange of the debt securities;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federal income tax considerations relating to original issue discount;</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3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3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60"/>
          </w:cols>
          <w:pgMar w:left="240" w:top="455" w:right="2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92"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39" w:lineRule="exact"/>
        <w:rPr>
          <w:sz w:val="20"/>
          <w:szCs w:val="20"/>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8"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8"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1"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51"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8" w:lineRule="exact"/>
        <w:rPr>
          <w:rFonts w:ascii="Times New Roman" w:cs="Times New Roman" w:eastAsia="Times New Roman" w:hAnsi="Times New Roman"/>
          <w:sz w:val="18"/>
          <w:szCs w:val="18"/>
          <w:color w:val="auto"/>
        </w:rPr>
      </w:pPr>
    </w:p>
    <w:p>
      <w:pPr>
        <w:ind w:left="900" w:right="340" w:hanging="325"/>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60"/>
          </w:cols>
          <w:pgMar w:left="240" w:top="455" w:right="2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 w:hanging="325"/>
        <w:spacing w:after="0" w:line="275"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38" w:lineRule="exact"/>
        <w:rPr>
          <w:rFonts w:ascii="Times New Roman" w:cs="Times New Roman" w:eastAsia="Times New Roman" w:hAnsi="Times New Roman"/>
          <w:sz w:val="18"/>
          <w:szCs w:val="18"/>
          <w:color w:val="auto"/>
        </w:rPr>
      </w:pPr>
    </w:p>
    <w:p>
      <w:pPr>
        <w:ind w:left="900" w:right="120" w:hanging="325"/>
        <w:spacing w:after="0" w:line="310" w:lineRule="auto"/>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7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2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within five days of its due 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deposit any sinking fund payment in respect of debt securities of the series on its due date and we do not cure this default within five days.</w:t>
      </w:r>
    </w:p>
    <w:p>
      <w:pPr>
        <w:spacing w:after="0" w:line="113" w:lineRule="exact"/>
        <w:rPr>
          <w:rFonts w:ascii="Times New Roman" w:cs="Times New Roman" w:eastAsia="Times New Roman" w:hAnsi="Times New Roman"/>
          <w:sz w:val="16"/>
          <w:szCs w:val="16"/>
          <w:color w:val="auto"/>
        </w:rPr>
      </w:pPr>
    </w:p>
    <w:p>
      <w:pPr>
        <w:ind w:left="900" w:right="180" w:hanging="325"/>
        <w:spacing w:after="0" w:line="27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3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9"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90" w:lineRule="exact"/>
        <w:rPr>
          <w:rFonts w:ascii="Times New Roman" w:cs="Times New Roman" w:eastAsia="Times New Roman" w:hAnsi="Times New Roman"/>
          <w:sz w:val="18"/>
          <w:szCs w:val="18"/>
          <w:color w:val="auto"/>
        </w:rPr>
      </w:pPr>
    </w:p>
    <w:p>
      <w:pPr>
        <w:ind w:left="900" w:right="280" w:hanging="325"/>
        <w:spacing w:after="0" w:line="334"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169"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18"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39" w:lineRule="exact"/>
        <w:rPr>
          <w:sz w:val="20"/>
          <w:szCs w:val="20"/>
          <w:color w:val="auto"/>
        </w:rPr>
      </w:pPr>
    </w:p>
    <w:p>
      <w:pPr>
        <w:ind w:left="900" w:right="160" w:hanging="325"/>
        <w:spacing w:after="0" w:line="296" w:lineRule="auto"/>
        <w:tabs>
          <w:tab w:leader="none" w:pos="9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2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90" w:lineRule="exact"/>
        <w:rPr>
          <w:sz w:val="20"/>
          <w:szCs w:val="20"/>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change of control has occurred, reduce the premium payable upon a change of control;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38"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7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8" w:lineRule="exact"/>
        <w:rPr>
          <w:rFonts w:ascii="Times New Roman" w:cs="Times New Roman" w:eastAsia="Times New Roman" w:hAnsi="Times New Roman"/>
          <w:sz w:val="18"/>
          <w:szCs w:val="18"/>
          <w:color w:val="auto"/>
        </w:rPr>
      </w:pPr>
    </w:p>
    <w:p>
      <w:pPr>
        <w:ind w:left="900" w:right="440" w:hanging="325"/>
        <w:spacing w:after="0" w:line="27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4"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00"/>
          </w:cols>
          <w:pgMar w:left="24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900" w:right="100" w:hanging="325"/>
        <w:spacing w:after="0" w:line="26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1"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3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9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39" w:lineRule="exact"/>
        <w:rPr>
          <w:sz w:val="20"/>
          <w:szCs w:val="20"/>
          <w:color w:val="auto"/>
        </w:rPr>
      </w:pPr>
    </w:p>
    <w:p>
      <w:pPr>
        <w:ind w:left="900" w:right="100" w:hanging="325"/>
        <w:spacing w:after="0" w:line="26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1" w:lineRule="exact"/>
        <w:rPr>
          <w:rFonts w:ascii="Times New Roman" w:cs="Times New Roman" w:eastAsia="Times New Roman" w:hAnsi="Times New Roman"/>
          <w:sz w:val="18"/>
          <w:szCs w:val="18"/>
          <w:color w:val="auto"/>
        </w:rPr>
      </w:pPr>
    </w:p>
    <w:p>
      <w:pPr>
        <w:ind w:left="900" w:right="40" w:hanging="325"/>
        <w:spacing w:after="0" w:line="296" w:lineRule="auto"/>
        <w:tabs>
          <w:tab w:leader="none" w:pos="9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80"/>
          </w:cols>
          <w:pgMar w:left="240" w:top="455" w:right="2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80" w:hanging="325"/>
        <w:spacing w:after="0" w:line="26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20"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7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2" w:lineRule="exact"/>
        <w:rPr>
          <w:sz w:val="20"/>
          <w:szCs w:val="20"/>
          <w:color w:val="auto"/>
        </w:rPr>
      </w:pPr>
    </w:p>
    <w:p>
      <w:pPr>
        <w:ind w:right="380" w:firstLine="456"/>
        <w:spacing w:after="0" w:line="339"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74"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0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9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60"/>
          </w:cols>
          <w:pgMar w:left="240" w:top="455" w:right="2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39"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11"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8"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use Bank of New York Mellon to serve as the trustee under the indenture.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1" w:lineRule="exact"/>
        <w:rPr>
          <w:sz w:val="20"/>
          <w:szCs w:val="20"/>
          <w:color w:val="auto"/>
        </w:rPr>
      </w:pPr>
    </w:p>
    <w:p>
      <w:pPr>
        <w:ind w:left="460" w:right="220" w:firstLine="443"/>
        <w:spacing w:after="0" w:line="287" w:lineRule="auto"/>
        <w:tabs>
          <w:tab w:leader="none" w:pos="114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1940 Act to include any issuer which:</w:t>
      </w:r>
    </w:p>
    <w:p>
      <w:pPr>
        <w:spacing w:after="0" w:line="77" w:lineRule="exact"/>
        <w:rPr>
          <w:rFonts w:ascii="Times New Roman" w:cs="Times New Roman" w:eastAsia="Times New Roman" w:hAnsi="Times New Roman"/>
          <w:sz w:val="16"/>
          <w:szCs w:val="16"/>
          <w:color w:val="auto"/>
        </w:rPr>
      </w:pPr>
    </w:p>
    <w:p>
      <w:pPr>
        <w:ind w:left="1580" w:hanging="239"/>
        <w:spacing w:after="0"/>
        <w:tabs>
          <w:tab w:leader="none" w:pos="15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90" w:lineRule="exact"/>
        <w:rPr>
          <w:rFonts w:ascii="Times New Roman" w:cs="Times New Roman" w:eastAsia="Times New Roman" w:hAnsi="Times New Roman"/>
          <w:sz w:val="18"/>
          <w:szCs w:val="18"/>
          <w:color w:val="auto"/>
        </w:rPr>
      </w:pPr>
    </w:p>
    <w:p>
      <w:pPr>
        <w:ind w:left="920" w:right="60" w:firstLine="421"/>
        <w:spacing w:after="0" w:line="334" w:lineRule="auto"/>
        <w:tabs>
          <w:tab w:leader="none" w:pos="158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1" w:lineRule="exact"/>
        <w:rPr>
          <w:rFonts w:ascii="Times New Roman" w:cs="Times New Roman" w:eastAsia="Times New Roman" w:hAnsi="Times New Roman"/>
          <w:sz w:val="16"/>
          <w:szCs w:val="16"/>
          <w:color w:val="auto"/>
        </w:rPr>
      </w:pPr>
    </w:p>
    <w:p>
      <w:pPr>
        <w:jc w:val="both"/>
        <w:ind w:left="920" w:right="440" w:firstLine="421"/>
        <w:spacing w:after="0" w:line="262" w:lineRule="auto"/>
        <w:tabs>
          <w:tab w:leader="none" w:pos="157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90" w:lineRule="exact"/>
        <w:rPr>
          <w:rFonts w:ascii="Times New Roman" w:cs="Times New Roman" w:eastAsia="Times New Roman" w:hAnsi="Times New Roman"/>
          <w:sz w:val="18"/>
          <w:szCs w:val="18"/>
          <w:color w:val="auto"/>
        </w:rPr>
      </w:pPr>
    </w:p>
    <w:p>
      <w:pPr>
        <w:jc w:val="both"/>
        <w:ind w:left="460" w:right="140" w:firstLine="443"/>
        <w:spacing w:after="0" w:line="262" w:lineRule="auto"/>
        <w:tabs>
          <w:tab w:leader="none" w:pos="11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60" w:firstLine="443"/>
        <w:spacing w:after="0" w:line="275" w:lineRule="auto"/>
        <w:tabs>
          <w:tab w:leader="none" w:pos="11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8" w:lineRule="exact"/>
        <w:rPr>
          <w:rFonts w:ascii="Times New Roman" w:cs="Times New Roman" w:eastAsia="Times New Roman" w:hAnsi="Times New Roman"/>
          <w:sz w:val="18"/>
          <w:szCs w:val="18"/>
          <w:color w:val="auto"/>
        </w:rPr>
      </w:pPr>
    </w:p>
    <w:p>
      <w:pPr>
        <w:ind w:left="460" w:right="40" w:firstLine="443"/>
        <w:spacing w:after="0" w:line="275" w:lineRule="auto"/>
        <w:tabs>
          <w:tab w:leader="none" w:pos="11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2008, the definition of eligible portfolio company was expanded to include any domestic operating company that has a class of securities listed on a national securities exchange, so long as it has a market capitalization of less than $250 million. For this purpose, market capitalization is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 to Portfolio Companies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Temporary Investments</w:t>
      </w:r>
    </w:p>
    <w:p>
      <w:pPr>
        <w:spacing w:after="0" w:line="92"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These policies and procedures for voting proxies for our investment advisory clients are intended to comply with Section 206 of, and Rule 206(4)-6 under, the Advisers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Policies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Records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You may obtain information about how we voted proxies by making a written request for proxy voting information to: Aviv Efrat, Chief Financial Officer and Treasurer,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2" w:lineRule="exact"/>
        <w:rPr>
          <w:sz w:val="20"/>
          <w:szCs w:val="20"/>
          <w:color w:val="auto"/>
        </w:rPr>
      </w:pPr>
    </w:p>
    <w:p>
      <w:pPr>
        <w:jc w:val="both"/>
        <w:ind w:right="300" w:firstLine="456"/>
        <w:spacing w:after="0" w:line="310" w:lineRule="auto"/>
        <w:rPr>
          <w:sz w:val="20"/>
          <w:szCs w:val="20"/>
          <w:color w:val="auto"/>
        </w:rPr>
      </w:pPr>
      <w:r>
        <w:rPr>
          <w:rFonts w:ascii="Times New Roman" w:cs="Times New Roman" w:eastAsia="Times New Roman" w:hAnsi="Times New Roman"/>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9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10" w:lineRule="auto"/>
        <w:rPr>
          <w:sz w:val="20"/>
          <w:szCs w:val="20"/>
          <w:color w:val="auto"/>
        </w:rPr>
      </w:pPr>
      <w:r>
        <w:rPr>
          <w:rFonts w:ascii="Times New Roman" w:cs="Times New Roman" w:eastAsia="Times New Roman" w:hAnsi="Times New Roman"/>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97"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We and PennantPark Investment Advisers are each be required to adopt and implement written policies and procedures reasonably designed to prevent violation of the federal securities laws, review these policies and procedures annually for their adequacy and the effectiveness of their implementation, and to designate a chief compliance officer to be responsible for administering the policies and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Sarbanes-Oxley Act of 2002 imposes a wide variety of new regulatory requirements on publicly held companies and their insiders. Many of these requirements affect us. For example:</w:t>
      </w:r>
    </w:p>
    <w:p>
      <w:pPr>
        <w:spacing w:after="0" w:line="39" w:lineRule="exact"/>
        <w:rPr>
          <w:sz w:val="20"/>
          <w:szCs w:val="20"/>
          <w:color w:val="auto"/>
        </w:rPr>
      </w:pPr>
    </w:p>
    <w:p>
      <w:pPr>
        <w:ind w:left="900" w:right="340" w:hanging="325"/>
        <w:spacing w:after="0" w:line="275"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must certify the accuracy of the financial statements contained in our periodic reports;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60"/>
          </w:cols>
          <w:pgMar w:left="240" w:top="455" w:right="2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00" w:hanging="325"/>
        <w:spacing w:after="0" w:line="275"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80"/>
          </w:cols>
          <w:pgMar w:left="240" w:top="455" w:right="3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BROKERAGE ALLOCATIONS AND OTHER PRACTICES</w:t>
      </w:r>
    </w:p>
    <w:p>
      <w:pPr>
        <w:spacing w:after="0" w:line="173"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to be treated as a business development company under the 1940 Act at all times during each taxable year;</w:t>
      </w:r>
    </w:p>
    <w:p>
      <w:pPr>
        <w:spacing w:after="0" w:line="90"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90"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1" w:lineRule="exact"/>
        <w:rPr>
          <w:rFonts w:ascii="Times New Roman" w:cs="Times New Roman" w:eastAsia="Times New Roman" w:hAnsi="Times New Roman"/>
          <w:sz w:val="18"/>
          <w:szCs w:val="18"/>
          <w:color w:val="auto"/>
        </w:rPr>
      </w:pPr>
    </w:p>
    <w:p>
      <w:pPr>
        <w:ind w:left="900" w:right="300" w:hanging="325"/>
        <w:spacing w:after="0" w:line="26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6"/>
          <w:szCs w:val="16"/>
          <w:b w:val="1"/>
          <w:bCs w:val="1"/>
          <w:color w:val="auto"/>
        </w:rPr>
        <w:t>Taxation as a RIC</w:t>
      </w:r>
    </w:p>
    <w:p>
      <w:pPr>
        <w:spacing w:after="0" w:line="115"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RIC;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Qualify as a RIC</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3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4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39"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3"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2"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60"/>
          </w:cols>
          <w:pgMar w:left="240" w:top="455" w:right="2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jc w:val="both"/>
        <w:ind w:right="120" w:firstLine="456"/>
        <w:spacing w:after="0" w:line="310"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16"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price of the securities and the proceeds to us and any discounts, commissions or concessions allowed or reallowed or paid to dealers; and</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240" w:top="455" w:right="3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CUSTODIAN, TRANSFER AGENT AND TRUSTEE</w:t>
      </w:r>
    </w:p>
    <w:p>
      <w:pPr>
        <w:spacing w:after="0" w:line="17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PNC Global Investment Servicing,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PennantPark by Dechert LLP, Washington, D.C. and by Venable LLP, as special Maryland counsel.</w:t>
      </w: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With respect to the unaudited interim financial information as of June 30, 2009, and for the nine-month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7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3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97"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20" w:type="dxa"/>
            <w:vAlign w:val="bottom"/>
            <w:gridSpan w:val="9"/>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Annual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31">
              <w:r>
                <w:rPr>
                  <w:rFonts w:ascii="Times New Roman" w:cs="Times New Roman" w:eastAsia="Times New Roman" w:hAnsi="Times New Roman"/>
                  <w:sz w:val="18"/>
                  <w:szCs w:val="18"/>
                  <w:color w:val="0000EE"/>
                  <w:w w:val="97"/>
                </w:rPr>
                <w:t>Management’s Report on Internal Control over Financial Reporting</w:t>
              </w:r>
            </w:hyperlink>
          </w:p>
        </w:tc>
        <w:tc>
          <w:tcPr>
            <w:tcW w:w="3380" w:type="dxa"/>
            <w:vAlign w:val="bottom"/>
            <w:gridSpan w:val="7"/>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04"/>
        </w:trPr>
        <w:tc>
          <w:tcPr>
            <w:tcW w:w="4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32">
              <w:r>
                <w:rPr>
                  <w:rFonts w:ascii="Times New Roman" w:cs="Times New Roman" w:eastAsia="Times New Roman" w:hAnsi="Times New Roman"/>
                  <w:sz w:val="18"/>
                  <w:szCs w:val="18"/>
                  <w:color w:val="0000EE"/>
                  <w:w w:val="97"/>
                </w:rPr>
                <w:t>Reports of Independent Registered Public Accounting Firm</w:t>
              </w:r>
            </w:hyperlink>
          </w:p>
        </w:tc>
        <w:tc>
          <w:tcPr>
            <w:tcW w:w="3940" w:type="dxa"/>
            <w:vAlign w:val="bottom"/>
            <w:gridSpan w:val="8"/>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34">
              <w:r>
                <w:rPr>
                  <w:rFonts w:ascii="Times New Roman" w:cs="Times New Roman" w:eastAsia="Times New Roman" w:hAnsi="Times New Roman"/>
                  <w:sz w:val="18"/>
                  <w:szCs w:val="18"/>
                  <w:color w:val="0000EE"/>
                  <w:w w:val="97"/>
                </w:rPr>
                <w:t>Consolidated Statements of Assets and Liabilities at September 30, 2008 and 2007</w:t>
              </w:r>
            </w:hyperlink>
          </w:p>
        </w:tc>
        <w:tc>
          <w:tcPr>
            <w:tcW w:w="2320" w:type="dxa"/>
            <w:vAlign w:val="bottom"/>
            <w:gridSpan w:val="5"/>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04"/>
        </w:trPr>
        <w:tc>
          <w:tcPr>
            <w:tcW w:w="11420" w:type="dxa"/>
            <w:vAlign w:val="bottom"/>
            <w:gridSpan w:val="19"/>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Consolidated Statements of Operations for the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Times New Roman" w:cs="Times New Roman" w:eastAsia="Times New Roman" w:hAnsi="Times New Roman"/>
                <w:sz w:val="18"/>
                <w:szCs w:val="18"/>
                <w:color w:val="0000EE"/>
                <w:w w:val="94"/>
              </w:rPr>
            </w:pPr>
            <w:hyperlink w:anchor="page135">
              <w:r>
                <w:rPr>
                  <w:rFonts w:ascii="Times New Roman" w:cs="Times New Roman" w:eastAsia="Times New Roman" w:hAnsi="Times New Roman"/>
                  <w:sz w:val="18"/>
                  <w:szCs w:val="18"/>
                  <w:color w:val="0000EE"/>
                  <w:w w:val="9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Times New Roman" w:cs="Times New Roman" w:eastAsia="Times New Roman" w:hAnsi="Times New Roman"/>
                <w:sz w:val="18"/>
                <w:szCs w:val="18"/>
                <w:color w:val="0000EE"/>
                <w:w w:val="97"/>
              </w:rPr>
            </w:pPr>
            <w:hyperlink w:anchor="page136">
              <w:r>
                <w:rPr>
                  <w:rFonts w:ascii="Times New Roman" w:cs="Times New Roman" w:eastAsia="Times New Roman" w:hAnsi="Times New Roman"/>
                  <w:sz w:val="18"/>
                  <w:szCs w:val="18"/>
                  <w:color w:val="0000EE"/>
                  <w:w w:val="97"/>
                </w:rPr>
                <w:t>Consolidated Statements of Changes in Net Assets for year ended September 30, 2008 and the period from January</w:t>
              </w:r>
            </w:hyperlink>
          </w:p>
        </w:tc>
        <w:tc>
          <w:tcPr>
            <w:tcW w:w="3280" w:type="dxa"/>
            <w:vAlign w:val="bottom"/>
            <w:gridSpan w:val="4"/>
          </w:tcPr>
          <w:p>
            <w:pPr>
              <w:jc w:val="right"/>
              <w:ind w:right="1132"/>
              <w:spacing w:after="0"/>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11, 2007 (inception) through</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September 30, 2007</w:t>
              </w:r>
            </w:hyperlink>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1420" w:type="dxa"/>
            <w:vAlign w:val="bottom"/>
            <w:gridSpan w:val="19"/>
          </w:tcPr>
          <w:p>
            <w:pPr>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Consolidated Statements of Cash Flows for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Times New Roman" w:cs="Times New Roman" w:eastAsia="Times New Roman" w:hAnsi="Times New Roman"/>
                <w:sz w:val="18"/>
                <w:szCs w:val="18"/>
                <w:color w:val="0000EE"/>
                <w:w w:val="94"/>
              </w:rPr>
            </w:pPr>
            <w:hyperlink w:anchor="page137">
              <w:r>
                <w:rPr>
                  <w:rFonts w:ascii="Times New Roman" w:cs="Times New Roman" w:eastAsia="Times New Roman" w:hAnsi="Times New Roman"/>
                  <w:sz w:val="18"/>
                  <w:szCs w:val="18"/>
                  <w:color w:val="0000EE"/>
                  <w:w w:val="9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38">
              <w:r>
                <w:rPr>
                  <w:rFonts w:ascii="Times New Roman" w:cs="Times New Roman" w:eastAsia="Times New Roman" w:hAnsi="Times New Roman"/>
                  <w:sz w:val="18"/>
                  <w:szCs w:val="18"/>
                  <w:color w:val="0000EE"/>
                  <w:w w:val="97"/>
                </w:rPr>
                <w:t>Schedules of Investments at September 30, 2008 and 2007</w:t>
              </w:r>
            </w:hyperlink>
          </w:p>
        </w:tc>
        <w:tc>
          <w:tcPr>
            <w:tcW w:w="4020" w:type="dxa"/>
            <w:vAlign w:val="bottom"/>
            <w:gridSpan w:val="9"/>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44">
              <w:r>
                <w:rPr>
                  <w:rFonts w:ascii="Times New Roman" w:cs="Times New Roman" w:eastAsia="Times New Roman" w:hAnsi="Times New Roman"/>
                  <w:sz w:val="18"/>
                  <w:szCs w:val="18"/>
                  <w:color w:val="0000EE"/>
                  <w:w w:val="97"/>
                </w:rPr>
                <w:t>Notes to Financial Statements</w:t>
              </w:r>
            </w:hyperlink>
          </w:p>
        </w:tc>
        <w:tc>
          <w:tcPr>
            <w:tcW w:w="6020" w:type="dxa"/>
            <w:vAlign w:val="bottom"/>
            <w:gridSpan w:val="10"/>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c>
          <w:tcPr>
            <w:tcW w:w="0" w:type="dxa"/>
            <w:vAlign w:val="bottom"/>
          </w:tcPr>
          <w:p>
            <w:pPr>
              <w:spacing w:after="0"/>
              <w:rPr>
                <w:sz w:val="1"/>
                <w:szCs w:val="1"/>
                <w:color w:val="auto"/>
              </w:rPr>
            </w:pPr>
          </w:p>
        </w:tc>
      </w:tr>
      <w:tr>
        <w:trPr>
          <w:trHeight w:val="343"/>
        </w:trPr>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Report of Independent Registered Public Accounting Firm</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gridSpan w:val="15"/>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Statements of Assets and Liabilities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156">
              <w:r>
                <w:rPr>
                  <w:rFonts w:ascii="Times New Roman" w:cs="Times New Roman" w:eastAsia="Times New Roman" w:hAnsi="Times New Roman"/>
                  <w:sz w:val="18"/>
                  <w:szCs w:val="18"/>
                  <w:color w:val="0000EE"/>
                  <w:w w:val="97"/>
                </w:rPr>
                <w:t>Statements of Operations for the three and nine months ended June 30, 2009 (unaudited) and 2008 (unaudited)</w:t>
              </w:r>
            </w:hyperlink>
          </w:p>
        </w:tc>
        <w:tc>
          <w:tcPr>
            <w:tcW w:w="36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Statements of Changes in Net Assets for the nine months ended June 30, 2009 (unaudited) and 2008 (unaudited)</w:t>
              </w:r>
            </w:hyperlink>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04"/>
        </w:trPr>
        <w:tc>
          <w:tcPr>
            <w:tcW w:w="71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58">
              <w:r>
                <w:rPr>
                  <w:rFonts w:ascii="Times New Roman" w:cs="Times New Roman" w:eastAsia="Times New Roman" w:hAnsi="Times New Roman"/>
                  <w:sz w:val="18"/>
                  <w:szCs w:val="18"/>
                  <w:color w:val="0000EE"/>
                  <w:w w:val="97"/>
                </w:rPr>
                <w:t>Statements of Cash Flows for the nine months ended June 30, 2009 (unaudited) and 2008 (unaudited)</w:t>
              </w:r>
            </w:hyperlink>
          </w:p>
        </w:tc>
        <w:tc>
          <w:tcPr>
            <w:tcW w:w="100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304"/>
        </w:trPr>
        <w:tc>
          <w:tcPr>
            <w:tcW w:w="8140" w:type="dxa"/>
            <w:vAlign w:val="bottom"/>
            <w:gridSpan w:val="15"/>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Schedules of Investments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F-30</w:t>
            </w:r>
          </w:p>
        </w:tc>
        <w:tc>
          <w:tcPr>
            <w:tcW w:w="0" w:type="dxa"/>
            <w:vAlign w:val="bottom"/>
          </w:tcPr>
          <w:p>
            <w:pPr>
              <w:spacing w:after="0"/>
              <w:rPr>
                <w:sz w:val="1"/>
                <w:szCs w:val="1"/>
                <w:color w:val="auto"/>
              </w:rPr>
            </w:pPr>
          </w:p>
        </w:tc>
      </w:tr>
      <w:tr>
        <w:trPr>
          <w:trHeight w:val="304"/>
        </w:trPr>
        <w:tc>
          <w:tcPr>
            <w:tcW w:w="56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66">
              <w:r>
                <w:rPr>
                  <w:rFonts w:ascii="Times New Roman" w:cs="Times New Roman" w:eastAsia="Times New Roman" w:hAnsi="Times New Roman"/>
                  <w:sz w:val="18"/>
                  <w:szCs w:val="18"/>
                  <w:color w:val="0000EE"/>
                </w:rPr>
                <w:t>Notes to Financial Statements</w:t>
              </w:r>
            </w:hyperlink>
          </w:p>
        </w:tc>
        <w:tc>
          <w:tcPr>
            <w:tcW w:w="254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gridSpan w:val="7"/>
          </w:tcPr>
          <w:p>
            <w:pPr>
              <w:jc w:val="center"/>
              <w:ind w:right="1460"/>
              <w:spacing w:after="0"/>
              <w:rPr>
                <w:sz w:val="20"/>
                <w:szCs w:val="20"/>
                <w:color w:val="auto"/>
              </w:rPr>
            </w:pPr>
            <w:r>
              <w:rPr>
                <w:rFonts w:ascii="Times New Roman" w:cs="Times New Roman" w:eastAsia="Times New Roman" w:hAnsi="Times New Roman"/>
                <w:sz w:val="18"/>
                <w:szCs w:val="18"/>
                <w:color w:val="auto"/>
                <w:w w:val="95"/>
              </w:rPr>
              <w:t>F-1</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management of PennantPark Investment Corporation (the “Company”) is responsible for establishing and maintaining adequate internal control over financial reporting. The Company’s internal control system is a process designed to provide reasonable assurance to the Company’s management and board of directors regarding the preparation and fair presentation of published financial statements.</w:t>
      </w:r>
    </w:p>
    <w:p>
      <w:pPr>
        <w:spacing w:after="0" w:line="132"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0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Management assessed the effectiveness of the Company’s internal control over financial reporting as of September 30, 2008. In making this assessment, we used the criteria set forth by the Committee of Sponsoring Organizations of the Treadway Commission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Based on the assessment management believes that, as of September 30, 2008, the Company’s internal control over financial reporting is effective based on those criteria.</w:t>
      </w:r>
    </w:p>
    <w:p>
      <w:pPr>
        <w:spacing w:after="0" w:line="97"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that audited the financial statements has issued an audit report on the effectiveness of the Company’s internal control over financial reporting as of September 30, 2008. This report appears on page F-4 of this prospectus.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7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assets and liabilities of PennantPark Investment Corporation (the “Company”) as of September 30, 2008 and 2007, including the schedule of investments, and the related statements of operations, changes in net assets, and cash flows for the year ended September 30,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PennantPark Investment Corporation as of September 30, 2008 and 2007, and the results of their operations and their cash flows for the year ended September 30, 2008 and for the period from January 11, 2007 (inception) through September 30, 2007, in conformity with U.S. generally accepted accounting principles.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PennantPark Investment Corporation’s internal control over financial reporting as of September 30, 2008,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November 20, 2008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603375"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2008</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7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PennantPark Investment Corporation’s (the Company) internal control over financial reporting as of September 30, 2008,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of the Company is responsible for maintaining effective internal control over financial reporting and for its assessment of the effectiveness of internal control over financial reporting, included on page 78 of the Annual Report on Form 10-K, Item 9A., Controls and Procedures—Management’s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In our opinion, PennantPark Investment Corporation maintained, in all material respects, effective internal control over financial reporting as of September 30, 2008,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3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statements of assets and liabilities of PennantPark Investment Corporation as of September 30, 2008 and 2007, including the schedule of investments, and the related statements of operations, changes in net assets, and cash flows for the year ended September 30, 2008 and for the period from January 11, 2007 (inception) through September 30, 2007, and our report dated November 20, 2008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603375" cy="360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2008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 non-affiliated investments, at fair value (cost—$427,481,745 and $298,789,297, respectively)</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354,261,950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274,679,030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 affiliated investments, at fair value (cost—$16,692,261 and $16,092,573, respectively)</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17,885,870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372,147,820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291,016,608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(cost—$40,249,201 and $258,016,351, respectively)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40,249,201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257,959,635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1,367,479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419,810,699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Payable for cash equivalents purchased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252,759,931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Unfunded investments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209,082,439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284,614,582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par value $0.001 per share, 100,000,000 shares authorized and 21,068,772 shares issued and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294,586,604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in excess of net investment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(602,660)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realized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(11,250,567)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 and cash equivalents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(72,026,186)</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210,728,260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419,810,699</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555,007,676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From non-controlled, non-affiliated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37,809,280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From non-controlled,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1,405,205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209,781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39,810,962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13,107,341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Base management fee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7,136,580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Performance-based incentive fee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3,791,900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and other credit facility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6,308,933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Administrative services expenses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2,301,973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1,158,750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Expenses before base management fee waiver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21,675,689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6,338,238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21,254,958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5,802,845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18,556,004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7,304,496</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investments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(11,154,735)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Non-controlled, non-affiliated investments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(49,052,812)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Non-controlled, affiliated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change in unrealized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(48,104,208)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(23,921,978)</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loss from investments and cash equivalents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(59,258,943)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(24,003,747)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(40,702,939)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(16,699,251)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Gain (loss) per common share (see note 6)</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2"/>
                <w:szCs w:val="12"/>
                <w:color w:val="auto"/>
              </w:rPr>
            </w:pP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(inception)</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65"/>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investment income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18,556,004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7,304,496</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(81,769)</w:t>
            </w: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(48,104,208)</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(23,921,978)</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(40,702,939)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(16,699,251)</w:t>
            </w:r>
          </w:p>
        </w:tc>
      </w:tr>
      <w:tr>
        <w:trPr>
          <w:trHeight w:val="22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(7,545,458)</w:t>
            </w: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(28,356)</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(7,573,814)</w:t>
            </w:r>
          </w:p>
        </w:tc>
      </w:tr>
      <w:tr>
        <w:trPr>
          <w:trHeight w:val="22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315,375,000</w:t>
            </w: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(21,309,375)</w:t>
            </w:r>
          </w:p>
        </w:tc>
      </w:tr>
      <w:tr>
        <w:trPr>
          <w:trHeight w:val="216"/>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600,534</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294,666,159</w:t>
            </w: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(59,664,834)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120" w:type="dxa"/>
            <w:vAlign w:val="bottom"/>
            <w:shd w:val="clear" w:color="auto" w:fill="CCEEFF"/>
          </w:tcPr>
          <w:p>
            <w:pPr>
              <w:spacing w:after="0"/>
              <w:rPr>
                <w:sz w:val="18"/>
                <w:szCs w:val="18"/>
                <w:color w:val="auto"/>
              </w:rPr>
            </w:pPr>
          </w:p>
        </w:tc>
      </w:tr>
      <w:tr>
        <w:trPr>
          <w:trHeight w:val="32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210,728,260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21,025,000</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12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increase in capital shares</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21,068,772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(40,702,939)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(16,699,251)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reconcile net decrease in net assets resulting from operations to net cash used by operating</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net unrealized depreciation on investments and cash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48,104,208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11,154,735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accretion of discount and amortization of premium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(1,285,365)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(206,790,979)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Payment-in-kind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(2,434,562)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disposition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70,120,751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interest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(1,528,349)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distributions payable to stockholders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5,056,505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payables for cash equivalents purchased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(252,759,931)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252,759,931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increase in payables for investments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(16,583,921)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unfunded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(3,989,948)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interest payable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554,328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190,824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(390,748,539)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(37,871,414)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issuance of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Offering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Capitalized borrowing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Dividends and distributions to stockholders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Borrowings under credit facility (see note 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461,040,000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271,913,786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Repayments under credit facility (see note 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(269,040,000)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(261,913,786)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173,038,105</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295,831,049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(217,710,434)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257,959,635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40,249,201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4,982,247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 consist of the reinvestment of dividends totaling</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Basis Point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7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2"/>
              </w:rPr>
              <w:t>Coupon</w:t>
            </w: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3"/>
                <w:szCs w:val="13"/>
                <w:b w:val="1"/>
                <w:bCs w:val="1"/>
                <w:color w:val="auto"/>
              </w:rPr>
              <w:t>Index</w:t>
            </w:r>
            <w:r>
              <w:rPr>
                <w:rFonts w:ascii="Times New Roman" w:cs="Times New Roman" w:eastAsia="Times New Roman" w:hAnsi="Times New Roman"/>
                <w:sz w:val="20"/>
                <w:szCs w:val="20"/>
                <w:b w:val="1"/>
                <w:bCs w:val="1"/>
                <w:color w:val="auto"/>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Companies—187.2%</w:t>
            </w:r>
            <w:r>
              <w:rPr>
                <w:rFonts w:ascii="Times New Roman" w:cs="Times New Roman" w:eastAsia="Times New Roman" w:hAnsi="Times New Roman"/>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Debt/Corporate Notes—76.8%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Advanstar,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11/30/2015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10.76%</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$ 16,268,634</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$ 16,268,634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Affinion Group Holdings,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03/01/2012</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Consumer Products</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9.37%</w:t>
            </w:r>
            <w:r>
              <w:rPr>
                <w:rFonts w:ascii="Times New Roman" w:cs="Times New Roman" w:eastAsia="Times New Roman" w:hAnsi="Times New Roman"/>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L+625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21,587,384</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Foundries,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04/17/2015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14.25%</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7,831,761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CT Technologies Intermediate Holdings,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03/19/2014</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14.00%</w:t>
            </w:r>
            <w:r>
              <w:rPr>
                <w:rFonts w:ascii="Times New Roman" w:cs="Times New Roman" w:eastAsia="Times New Roman" w:hAnsi="Times New Roman"/>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19,502,246</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06/06/2014</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14.75%</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22,041,438</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21,649,325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IDQ Holdings,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05/20/2012</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Auto Sector</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19,555,782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Learning Care Group,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12/28/2015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Education</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10,067,361</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9,922,722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Realogy Corp.</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04/15/2015</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Buildings and Real Estate</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26,337,698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Merger Sub,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10/01/2016</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Acquisitions Sub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02/08/2015</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20,428,146</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187,877,433</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182,895,483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Second Lien Secured Debt—45.5%</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Infrastructure Services,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02/07/2015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Energy/Utilities</w:t>
            </w:r>
          </w:p>
        </w:tc>
        <w:tc>
          <w:tcPr>
            <w:tcW w:w="120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Infrastructure Services,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02/07/2015</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Energy/Utilities</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13,068,290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Generics International (U.S.),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04/30/2015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Childcare</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11.26%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L+750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11,947,073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11/04/2014</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L+650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05/15/2015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20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L+775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9,951,058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05/15/2017</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2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16,565,952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Sheridan Holdings, Inc.</w:t>
            </w:r>
          </w:p>
        </w:tc>
        <w:tc>
          <w:tcPr>
            <w:tcW w:w="840" w:type="dxa"/>
            <w:vAlign w:val="bottom"/>
            <w:gridSpan w:val="2"/>
            <w:shd w:val="clear" w:color="auto" w:fill="CCEEFF"/>
          </w:tcPr>
          <w:p>
            <w:pPr>
              <w:jc w:val="center"/>
              <w:ind w:right="220"/>
              <w:spacing w:after="0" w:line="136" w:lineRule="exact"/>
              <w:rPr>
                <w:sz w:val="20"/>
                <w:szCs w:val="20"/>
                <w:color w:val="auto"/>
              </w:rPr>
            </w:pPr>
            <w:r>
              <w:rPr>
                <w:rFonts w:ascii="Times New Roman" w:cs="Times New Roman" w:eastAsia="Times New Roman" w:hAnsi="Times New Roman"/>
                <w:sz w:val="14"/>
                <w:szCs w:val="14"/>
                <w:color w:val="auto"/>
                <w:w w:val="97"/>
              </w:rPr>
              <w:t>06/15/2015</w:t>
            </w:r>
          </w:p>
        </w:tc>
        <w:tc>
          <w:tcPr>
            <w:tcW w:w="20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Healthcare, Education and</w:t>
            </w:r>
          </w:p>
        </w:tc>
        <w:tc>
          <w:tcPr>
            <w:tcW w:w="120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0"/>
                <w:szCs w:val="10"/>
                <w:color w:val="auto"/>
              </w:rPr>
              <w:t>8.54%</w:t>
            </w:r>
            <w:r>
              <w:rPr>
                <w:rFonts w:ascii="Times New Roman" w:cs="Times New Roman" w:eastAsia="Times New Roman" w:hAnsi="Times New Roman"/>
                <w:sz w:val="15"/>
                <w:szCs w:val="15"/>
                <w:color w:val="auto"/>
                <w:vertAlign w:val="superscript"/>
              </w:rPr>
              <w:t>(6)</w:t>
            </w:r>
          </w:p>
        </w:tc>
        <w:tc>
          <w:tcPr>
            <w:tcW w:w="7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L+575</w:t>
            </w:r>
          </w:p>
        </w:tc>
        <w:tc>
          <w:tcPr>
            <w:tcW w:w="8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12,500,000</w:t>
            </w:r>
          </w:p>
        </w:tc>
        <w:tc>
          <w:tcPr>
            <w:tcW w:w="118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11,838,114</w:t>
            </w:r>
          </w:p>
        </w:tc>
        <w:tc>
          <w:tcPr>
            <w:tcW w:w="7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Childcare</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Specialized Technology Resources, Inc.</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12/15/2014</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Chemical, Plastics and Rubber</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10.70%</w:t>
            </w:r>
            <w:r>
              <w:rPr>
                <w:rFonts w:ascii="Times New Roman" w:cs="Times New Roman" w:eastAsia="Times New Roman" w:hAnsi="Times New Roman"/>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22,485,895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TransFirst Holdings,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06/15/2015</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Financial Services</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9.77%</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15,866,044</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Second Lien Secured Debt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128,100,000</w:t>
            </w: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123,405,221</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CFHC Holdings, Inc., Class A (Consolidated Foundries, Inc.)</w:t>
            </w:r>
          </w:p>
        </w:tc>
        <w:tc>
          <w:tcPr>
            <w:tcW w:w="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2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12.00%</w:t>
            </w:r>
            <w:r>
              <w:rPr>
                <w:rFonts w:ascii="Times New Roman" w:cs="Times New Roman" w:eastAsia="Times New Roman" w:hAnsi="Times New Roman"/>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841,927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8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12.00%</w:t>
            </w:r>
            <w:r>
              <w:rPr>
                <w:rFonts w:ascii="Times New Roman" w:cs="Times New Roman" w:eastAsia="Times New Roman" w:hAnsi="Times New Roman"/>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3,960,000</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TZ Holdings, L.P., Series A</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380"/>
              <w:spacing w:after="0" w:line="29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 xml:space="preserve"> (7)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(TZ Merger Sub, Inc.)</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Insurance</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685,820</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685,820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6.50%</w:t>
            </w:r>
            <w:r>
              <w:rPr>
                <w:rFonts w:ascii="Times New Roman" w:cs="Times New Roman" w:eastAsia="Times New Roman" w:hAnsi="Times New Roman"/>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(TZ Merger Sub, Inc.)</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Insurance</w:t>
            </w:r>
          </w:p>
        </w:tc>
        <w:tc>
          <w:tcPr>
            <w:tcW w:w="1200" w:type="dxa"/>
            <w:vAlign w:val="bottom"/>
            <w:gridSpan w:val="3"/>
            <w:vMerge w:val="continue"/>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1,312,006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UP Holdings Inc., Class A-1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8.00%</w:t>
            </w:r>
            <w:r>
              <w:rPr>
                <w:rFonts w:ascii="Times New Roman" w:cs="Times New Roman" w:eastAsia="Times New Roman" w:hAnsi="Times New Roman"/>
                <w:sz w:val="22"/>
                <w:szCs w:val="22"/>
                <w:color w:val="auto"/>
                <w:vertAlign w:val="superscript"/>
              </w:rPr>
              <w:t>(6)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(UP Acquisitions Sub Inc.)</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Oil and Gas</w:t>
            </w:r>
          </w:p>
        </w:tc>
        <w:tc>
          <w:tcPr>
            <w:tcW w:w="1200" w:type="dxa"/>
            <w:vAlign w:val="bottom"/>
            <w:gridSpan w:val="3"/>
            <w:vMerge w:val="continue"/>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91,608</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2,499,066</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4,054,448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9,298,819</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89"/>
              </w:rPr>
              <w:t>Current</w:t>
            </w:r>
          </w:p>
        </w:tc>
        <w:tc>
          <w:tcPr>
            <w:tcW w:w="7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Coupon</w:t>
            </w:r>
          </w:p>
        </w:tc>
        <w:tc>
          <w:tcPr>
            <w:tcW w:w="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3"/>
                <w:szCs w:val="13"/>
                <w:b w:val="1"/>
                <w:bCs w:val="1"/>
                <w:color w:val="auto"/>
              </w:rPr>
              <w:t>Index</w:t>
            </w:r>
            <w:r>
              <w:rPr>
                <w:rFonts w:ascii="Times New Roman" w:cs="Times New Roman" w:eastAsia="Times New Roman" w:hAnsi="Times New Roman"/>
                <w:sz w:val="20"/>
                <w:szCs w:val="20"/>
                <w:b w:val="1"/>
                <w:bCs w:val="1"/>
                <w:color w:val="auto"/>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0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Common Equity/Partnership</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Interest</w:t>
            </w:r>
            <w:r>
              <w:rPr>
                <w:rFonts w:ascii="Times New Roman" w:cs="Times New Roman" w:eastAsia="Times New Roman" w:hAnsi="Times New Roman"/>
                <w:sz w:val="20"/>
                <w:szCs w:val="20"/>
                <w:b w:val="1"/>
                <w:bCs w:val="1"/>
                <w:color w:val="auto"/>
                <w:vertAlign w:val="superscript"/>
              </w:rPr>
              <w:t>(7)</w:t>
            </w:r>
            <w:r>
              <w:rPr>
                <w:rFonts w:ascii="Times New Roman" w:cs="Times New Roman" w:eastAsia="Times New Roman" w:hAnsi="Times New Roman"/>
                <w:sz w:val="13"/>
                <w:szCs w:val="13"/>
                <w:b w:val="1"/>
                <w:bCs w:val="1"/>
                <w:color w:val="auto"/>
              </w:rPr>
              <w:t>—4.0%</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Other Media</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3,000,000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CFHC Holdings, Inc., (Consolidated Foundries, Inc.)</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149,557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Holdings, Inc.)</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Business Services</w:t>
            </w:r>
          </w:p>
        </w:tc>
        <w:tc>
          <w:tcPr>
            <w:tcW w:w="20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3,200,000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440,000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TZ Holdings, L.P. (TZ Merger Sub, Inc.)</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Insurance</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UP Holdings Inc. (UP Acquisitions Sub Inc.)</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Oil and Gas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2,569,208</w:t>
            </w: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541,793</w:t>
            </w:r>
          </w:p>
        </w:tc>
        <w:tc>
          <w:tcPr>
            <w:tcW w:w="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6,659,360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8,464,883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Burlington Coat Factory Warehouse Corp.</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05/28/2013</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Retail Store</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7,896,473</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7,889,120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5,401,187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Cohr Holdings, Inc.</w:t>
            </w:r>
          </w:p>
        </w:tc>
        <w:tc>
          <w:tcPr>
            <w:tcW w:w="820" w:type="dxa"/>
            <w:vAlign w:val="bottom"/>
            <w:gridSpan w:val="2"/>
            <w:shd w:val="clear" w:color="auto" w:fill="CCEEFF"/>
          </w:tcPr>
          <w:p>
            <w:pPr>
              <w:jc w:val="center"/>
              <w:ind w:right="180"/>
              <w:spacing w:after="0" w:line="136" w:lineRule="exact"/>
              <w:rPr>
                <w:sz w:val="20"/>
                <w:szCs w:val="20"/>
                <w:color w:val="auto"/>
              </w:rPr>
            </w:pPr>
            <w:r>
              <w:rPr>
                <w:rFonts w:ascii="Times New Roman" w:cs="Times New Roman" w:eastAsia="Times New Roman" w:hAnsi="Times New Roman"/>
                <w:sz w:val="14"/>
                <w:szCs w:val="14"/>
                <w:color w:val="auto"/>
                <w:w w:val="93"/>
              </w:rPr>
              <w:t>01/31/2013</w:t>
            </w:r>
          </w:p>
        </w:tc>
        <w:tc>
          <w:tcPr>
            <w:tcW w:w="19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Healthcare, Education and</w:t>
            </w:r>
          </w:p>
        </w:tc>
        <w:tc>
          <w:tcPr>
            <w:tcW w:w="1140" w:type="dxa"/>
            <w:vAlign w:val="bottom"/>
            <w:gridSpan w:val="3"/>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5.35%</w:t>
            </w:r>
          </w:p>
        </w:tc>
        <w:tc>
          <w:tcPr>
            <w:tcW w:w="74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L+250</w:t>
            </w:r>
          </w:p>
        </w:tc>
        <w:tc>
          <w:tcPr>
            <w:tcW w:w="8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2,955,000</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2,955,000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1,484,888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Childcare</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EnviroSolutions, Inc.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08/07/2012</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Environmental Services</w:t>
            </w:r>
          </w:p>
        </w:tc>
        <w:tc>
          <w:tcPr>
            <w:tcW w:w="11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1"/>
                <w:szCs w:val="11"/>
                <w:color w:val="auto"/>
              </w:rPr>
              <w:t>12.04%</w:t>
            </w:r>
            <w:r>
              <w:rPr>
                <w:rFonts w:ascii="Times New Roman" w:cs="Times New Roman" w:eastAsia="Times New Roman" w:hAnsi="Times New Roman"/>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L+825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14,014,177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12,965,204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EnviroSolutions,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08/07/2012</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Environmental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Gatehouse Media Operating, Inc.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08/28/2014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Media</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Nutrition Centers,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09/16/2013</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Retail Store</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3,410,095</w:t>
            </w:r>
          </w:p>
        </w:tc>
        <w:tc>
          <w:tcPr>
            <w:tcW w:w="11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Greatwide Logistics Services, Inc.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12/19/2013</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Cargo Transport</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6,912,500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6,912,500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Hanley-Wood,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03/08/2014</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8,932,500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8,932,500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Hughes Network Systems, L.L.C.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04/15/2014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Telecommunications</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L+250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4,275,000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Jacuzzi Brands Corp.</w:t>
            </w:r>
          </w:p>
        </w:tc>
        <w:tc>
          <w:tcPr>
            <w:tcW w:w="820" w:type="dxa"/>
            <w:vAlign w:val="bottom"/>
            <w:gridSpan w:val="2"/>
            <w:shd w:val="clear" w:color="auto" w:fill="CCEEFF"/>
          </w:tcPr>
          <w:p>
            <w:pPr>
              <w:jc w:val="center"/>
              <w:ind w:right="180"/>
              <w:spacing w:after="0" w:line="136" w:lineRule="exact"/>
              <w:rPr>
                <w:sz w:val="20"/>
                <w:szCs w:val="20"/>
                <w:color w:val="auto"/>
              </w:rPr>
            </w:pPr>
            <w:r>
              <w:rPr>
                <w:rFonts w:ascii="Times New Roman" w:cs="Times New Roman" w:eastAsia="Times New Roman" w:hAnsi="Times New Roman"/>
                <w:sz w:val="14"/>
                <w:szCs w:val="14"/>
                <w:color w:val="auto"/>
                <w:w w:val="93"/>
              </w:rPr>
              <w:t>02/07/2014</w:t>
            </w:r>
          </w:p>
        </w:tc>
        <w:tc>
          <w:tcPr>
            <w:tcW w:w="19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and Office</w:t>
            </w:r>
          </w:p>
        </w:tc>
        <w:tc>
          <w:tcPr>
            <w:tcW w:w="1140" w:type="dxa"/>
            <w:vAlign w:val="bottom"/>
            <w:gridSpan w:val="3"/>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5.35%</w:t>
            </w:r>
          </w:p>
        </w:tc>
        <w:tc>
          <w:tcPr>
            <w:tcW w:w="74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9,890,541</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9,890,541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Furnishings, Housewares and</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Durable Consumer Products</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Levlad, L.L.C.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03/08/2014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4,564,563</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4,564,563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Longview Power,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02/28/2014</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2,630,001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Mattress Holding Corp.</w:t>
            </w:r>
          </w:p>
        </w:tc>
        <w:tc>
          <w:tcPr>
            <w:tcW w:w="82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color w:val="auto"/>
                <w:w w:val="93"/>
              </w:rPr>
              <w:t>01/18/2014</w:t>
            </w:r>
          </w:p>
        </w:tc>
        <w:tc>
          <w:tcPr>
            <w:tcW w:w="1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and Office Furnishings,</w:t>
            </w:r>
          </w:p>
        </w:tc>
        <w:tc>
          <w:tcPr>
            <w:tcW w:w="1140" w:type="dxa"/>
            <w:vAlign w:val="bottom"/>
            <w:gridSpan w:val="3"/>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5.96%</w:t>
            </w:r>
          </w:p>
        </w:tc>
        <w:tc>
          <w:tcPr>
            <w:tcW w:w="7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3,950,100</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3,950,100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2,567,565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Consumer Products</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Mitchell International,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03/28/2014</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3,940,000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3,723,300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National Bedding Co., L.L.C.</w:t>
            </w:r>
          </w:p>
        </w:tc>
        <w:tc>
          <w:tcPr>
            <w:tcW w:w="82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color w:val="auto"/>
                <w:w w:val="93"/>
              </w:rPr>
              <w:t>02/28/2013</w:t>
            </w:r>
          </w:p>
        </w:tc>
        <w:tc>
          <w:tcPr>
            <w:tcW w:w="1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and Office Furnishings,</w:t>
            </w:r>
          </w:p>
        </w:tc>
        <w:tc>
          <w:tcPr>
            <w:tcW w:w="1140" w:type="dxa"/>
            <w:vAlign w:val="bottom"/>
            <w:gridSpan w:val="3"/>
          </w:tcPr>
          <w:p>
            <w:pPr>
              <w:jc w:val="right"/>
              <w:ind w:right="360"/>
              <w:spacing w:after="0" w:line="136" w:lineRule="exact"/>
              <w:rPr>
                <w:sz w:val="20"/>
                <w:szCs w:val="20"/>
                <w:color w:val="auto"/>
              </w:rPr>
            </w:pPr>
            <w:r>
              <w:rPr>
                <w:rFonts w:ascii="Times New Roman" w:cs="Times New Roman" w:eastAsia="Times New Roman" w:hAnsi="Times New Roman"/>
                <w:sz w:val="14"/>
                <w:szCs w:val="14"/>
                <w:color w:val="auto"/>
              </w:rPr>
              <w:t>4.62%</w:t>
            </w:r>
          </w:p>
        </w:tc>
        <w:tc>
          <w:tcPr>
            <w:tcW w:w="7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6,895,000</w:t>
            </w:r>
          </w:p>
        </w:tc>
        <w:tc>
          <w:tcPr>
            <w:tcW w:w="9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6,900,583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Consumer Products</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Penton Media,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02/01/2013</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4,925,000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Philosophy, Inc.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03/16/2014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1,474,667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05/04/2014</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4,924,167</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4,924,167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Reader’s Digest Association, Inc.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03/02/2014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Printing and Publishing</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985,000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985,000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Rexnord ,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07/19/2013</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Manufacturing/Basic Industry</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2,917,576</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2,917,576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01/30/2014</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11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L+250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2,592,017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3"/>
              </w:rPr>
              <w:t>01/30/2014</w:t>
            </w:r>
          </w:p>
        </w:tc>
        <w:tc>
          <w:tcPr>
            <w:tcW w:w="1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90,311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90,311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65,927</w:t>
            </w: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106,271,980</w:t>
            </w: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105,222,862</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78,844,929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427,481,745</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354,261,950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89"/>
              </w:rPr>
              <w:t>Current</w:t>
            </w: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2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2"/>
              </w:rPr>
              <w:t>Coupon</w:t>
            </w:r>
          </w:p>
        </w:tc>
        <w:tc>
          <w:tcPr>
            <w:tcW w:w="8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6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92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Investments in Non-Controlled, Affiliated Portfolio Companies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—8.5%</w:t>
            </w:r>
            <w:r>
              <w:rPr>
                <w:rFonts w:ascii="Times New Roman" w:cs="Times New Roman" w:eastAsia="Times New Roman" w:hAnsi="Times New Roman"/>
                <w:sz w:val="20"/>
                <w:szCs w:val="20"/>
                <w:b w:val="1"/>
                <w:bCs w:val="1"/>
                <w:color w:val="auto"/>
                <w:vertAlign w:val="superscript"/>
              </w:rPr>
              <w:t>(2)</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Subordinated Debt/Corporate Notes—2.1%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Performance Holdings, Inc.</w:t>
            </w:r>
          </w:p>
        </w:tc>
        <w:tc>
          <w:tcPr>
            <w:tcW w:w="102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07/02/2014</w:t>
            </w:r>
          </w:p>
        </w:tc>
        <w:tc>
          <w:tcPr>
            <w:tcW w:w="16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Leisure, Amusement, Motion</w:t>
            </w:r>
          </w:p>
        </w:tc>
        <w:tc>
          <w:tcPr>
            <w:tcW w:w="118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0"/>
                <w:szCs w:val="10"/>
                <w:color w:val="auto"/>
              </w:rPr>
              <w:t>14.25%</w:t>
            </w:r>
            <w:r>
              <w:rPr>
                <w:rFonts w:ascii="Times New Roman" w:cs="Times New Roman" w:eastAsia="Times New Roman" w:hAnsi="Times New Roman"/>
                <w:sz w:val="15"/>
                <w:szCs w:val="15"/>
                <w:color w:val="auto"/>
                <w:vertAlign w:val="superscript"/>
              </w:rPr>
              <w:t>(6)</w:t>
            </w:r>
          </w:p>
        </w:tc>
        <w:tc>
          <w:tcPr>
            <w:tcW w:w="880" w:type="dxa"/>
            <w:vAlign w:val="bottom"/>
            <w:gridSpan w:val="2"/>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4,414,356</w:t>
            </w:r>
          </w:p>
        </w:tc>
        <w:tc>
          <w:tcPr>
            <w:tcW w:w="1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4,192,261</w:t>
            </w:r>
          </w:p>
        </w:tc>
        <w:tc>
          <w:tcPr>
            <w:tcW w:w="3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4,414,356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Pictures, Entertainment</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Second Lien Secured Debt—4.0%</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Performance, Inc.</w:t>
            </w:r>
          </w:p>
        </w:tc>
        <w:tc>
          <w:tcPr>
            <w:tcW w:w="102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07/02/2013</w:t>
            </w:r>
          </w:p>
        </w:tc>
        <w:tc>
          <w:tcPr>
            <w:tcW w:w="16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Leisure, Amusement, Motion</w:t>
            </w:r>
          </w:p>
        </w:tc>
        <w:tc>
          <w:tcPr>
            <w:tcW w:w="1180" w:type="dxa"/>
            <w:vAlign w:val="bottom"/>
            <w:gridSpan w:val="3"/>
            <w:shd w:val="clear" w:color="auto" w:fill="CCEEFF"/>
          </w:tcPr>
          <w:p>
            <w:pPr>
              <w:jc w:val="right"/>
              <w:ind w:right="380"/>
              <w:spacing w:after="0" w:line="136" w:lineRule="exact"/>
              <w:rPr>
                <w:sz w:val="20"/>
                <w:szCs w:val="20"/>
                <w:color w:val="auto"/>
              </w:rPr>
            </w:pPr>
            <w:r>
              <w:rPr>
                <w:rFonts w:ascii="Times New Roman" w:cs="Times New Roman" w:eastAsia="Times New Roman" w:hAnsi="Times New Roman"/>
                <w:sz w:val="14"/>
                <w:szCs w:val="14"/>
                <w:color w:val="auto"/>
              </w:rPr>
              <w:t>8.55%</w:t>
            </w:r>
          </w:p>
        </w:tc>
        <w:tc>
          <w:tcPr>
            <w:tcW w:w="880" w:type="dxa"/>
            <w:vAlign w:val="bottom"/>
            <w:gridSpan w:val="2"/>
            <w:shd w:val="clear" w:color="auto" w:fill="CCEEFF"/>
          </w:tcPr>
          <w:p>
            <w:pPr>
              <w:ind w:left="300"/>
              <w:spacing w:after="0" w:line="136" w:lineRule="exact"/>
              <w:rPr>
                <w:sz w:val="20"/>
                <w:szCs w:val="20"/>
                <w:color w:val="auto"/>
              </w:rPr>
            </w:pPr>
            <w:r>
              <w:rPr>
                <w:rFonts w:ascii="Times New Roman" w:cs="Times New Roman" w:eastAsia="Times New Roman" w:hAnsi="Times New Roman"/>
                <w:sz w:val="14"/>
                <w:szCs w:val="14"/>
                <w:color w:val="auto"/>
              </w:rPr>
              <w:t>L+575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8,347,500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Pictures, Entertainment</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Common Equity/Partnership Interest</w:t>
            </w:r>
            <w:r>
              <w:rPr>
                <w:rFonts w:ascii="Times New Roman" w:cs="Times New Roman" w:eastAsia="Times New Roman" w:hAnsi="Times New Roman"/>
                <w:sz w:val="16"/>
                <w:szCs w:val="16"/>
                <w:b w:val="1"/>
                <w:bCs w:val="1"/>
                <w:color w:val="auto"/>
                <w:vertAlign w:val="superscript"/>
              </w:rPr>
              <w:t>(7)</w:t>
            </w:r>
            <w:r>
              <w:rPr>
                <w:rFonts w:ascii="Times New Roman" w:cs="Times New Roman" w:eastAsia="Times New Roman" w:hAnsi="Times New Roman"/>
                <w:sz w:val="11"/>
                <w:szCs w:val="11"/>
                <w:b w:val="1"/>
                <w:bCs w:val="1"/>
                <w:color w:val="auto"/>
              </w:rPr>
              <w:t>—2.4%</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NCP-Performance (Performance Holdings, Inc.)</w:t>
            </w:r>
          </w:p>
        </w:tc>
        <w:tc>
          <w:tcPr>
            <w:tcW w:w="1020" w:type="dxa"/>
            <w:vAlign w:val="bottom"/>
            <w:gridSpan w:val="2"/>
          </w:tcPr>
          <w:p>
            <w:pPr>
              <w:ind w:left="6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Leisure, Amusement, Motion</w:t>
            </w:r>
          </w:p>
        </w:tc>
        <w:tc>
          <w:tcPr>
            <w:tcW w:w="220" w:type="dxa"/>
            <w:vAlign w:val="bottom"/>
          </w:tcPr>
          <w:p>
            <w:pPr>
              <w:spacing w:after="0"/>
              <w:rPr>
                <w:sz w:val="11"/>
                <w:szCs w:val="11"/>
                <w:color w:val="auto"/>
              </w:rPr>
            </w:pPr>
          </w:p>
        </w:tc>
        <w:tc>
          <w:tcPr>
            <w:tcW w:w="960" w:type="dxa"/>
            <w:vAlign w:val="bottom"/>
            <w:gridSpan w:val="2"/>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Pictures, Entertainment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 Non-Controlled, Affiliated Portfolio Companies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16,692,261</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17,885,870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Total Investments—176.6%</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444,174,006</w:t>
            </w:r>
          </w:p>
        </w:tc>
        <w:tc>
          <w:tcPr>
            <w:tcW w:w="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372,147,820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Equivalents—19.1%</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Money Market—Mutual Funds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1"/>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Cash Equivalents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1"/>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and Cash Equivalents—195.7%</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484,423,207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412,397,021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in Excess of Other Assets—(95.7%)</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auto"/>
                <w:w w:val="93"/>
              </w:rPr>
              <w:t>(201,668,761)</w:t>
            </w: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Assets—100.0%</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210,728,260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right="300" w:hanging="332"/>
        <w:spacing w:after="0" w:line="241" w:lineRule="auto"/>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right="240" w:hanging="332"/>
        <w:spacing w:after="0" w:line="241" w:lineRule="auto"/>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Valued based on our accounting policy (see Note 2 to our financial statements).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Times New Roman" w:cs="Times New Roman" w:eastAsia="Times New Roman" w:hAnsi="Times New Roman"/>
          <w:sz w:val="12"/>
          <w:szCs w:val="12"/>
          <w:color w:val="auto"/>
        </w:rPr>
      </w:pPr>
    </w:p>
    <w:p>
      <w:pPr>
        <w:ind w:left="340" w:right="300" w:hanging="332"/>
        <w:spacing w:after="0" w:line="241" w:lineRule="auto"/>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Coupon payable in cash and/or payment-in-kind (“PIK”).</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Basis Point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7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2"/>
              </w:rPr>
              <w:t>Coupon</w:t>
            </w:r>
          </w:p>
        </w:tc>
        <w:tc>
          <w:tcPr>
            <w:tcW w:w="72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tcPr>
          <w:p>
            <w:pPr>
              <w:spacing w:after="0"/>
              <w:rPr>
                <w:sz w:val="10"/>
                <w:szCs w:val="10"/>
                <w:color w:val="auto"/>
              </w:rPr>
            </w:pPr>
          </w:p>
        </w:tc>
        <w:tc>
          <w:tcPr>
            <w:tcW w:w="248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Investments in Non-Controlled, Non-</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80" w:type="dxa"/>
            <w:vAlign w:val="bottom"/>
            <w:gridSpan w:val="2"/>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Affiliated Portfolio Companies—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101.6%</w:t>
            </w:r>
            <w:r>
              <w:rPr>
                <w:rFonts w:ascii="Times New Roman" w:cs="Times New Roman" w:eastAsia="Times New Roman" w:hAnsi="Times New Roman"/>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Subordinated Debt/Corporate Notes—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19.8%</w:t>
            </w: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11/30/2015</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0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1"/>
                <w:szCs w:val="11"/>
                <w:color w:val="auto"/>
              </w:rPr>
              <w:t>12.20%</w:t>
            </w:r>
            <w:r>
              <w:rPr>
                <w:rFonts w:ascii="Times New Roman" w:cs="Times New Roman" w:eastAsia="Times New Roman" w:hAnsi="Times New Roman"/>
                <w:sz w:val="17"/>
                <w:szCs w:val="17"/>
                <w:color w:val="auto"/>
                <w:vertAlign w:val="superscript"/>
              </w:rPr>
              <w:t>(7)</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14,580,690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$14,580,690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03/01/2012</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1"/>
                <w:szCs w:val="11"/>
                <w:color w:val="auto"/>
              </w:rPr>
              <w:t>11.68%</w:t>
            </w:r>
            <w:r>
              <w:rPr>
                <w:rFonts w:ascii="Times New Roman" w:cs="Times New Roman" w:eastAsia="Times New Roman" w:hAnsi="Times New Roman"/>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L+625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18,500,000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18,106,103</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Realogy, Corp.</w:t>
            </w:r>
            <w:r>
              <w:rPr>
                <w:rFonts w:ascii="Times New Roman" w:cs="Times New Roman" w:eastAsia="Times New Roman" w:hAnsi="Times New Roman"/>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04/15/2015</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Buildings and Real Estate</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28,000,000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26,117,780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Total Subordinated Debt/Corporate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1"/>
              </w:rPr>
              <w:t>61,080,690</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58,804,573</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53,480,690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Secured Debt—21.8%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11/04/2014</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L+650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10,000,000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05/15/2015</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13.31%</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L+775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10,000,000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9,932,321</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(6)</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05/15/2017</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19,000,000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16,198,167</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Specialized Technology Resources,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12/15/2014</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Chemical, Plastics and Rubber</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17,500,000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17,493,750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TransFirst Holdings,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06/15/2015</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1"/>
                <w:szCs w:val="11"/>
                <w:color w:val="auto"/>
              </w:rPr>
              <w:t>11.30%</w:t>
            </w:r>
            <w:r>
              <w:rPr>
                <w:rFonts w:ascii="Times New Roman" w:cs="Times New Roman" w:eastAsia="Times New Roman" w:hAnsi="Times New Roman"/>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13,000,000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12,886,250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69,500,000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66,510,488</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58,998,750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0"/>
                <w:szCs w:val="10"/>
                <w:b w:val="1"/>
                <w:bCs w:val="1"/>
                <w:color w:val="auto"/>
              </w:rPr>
              <w:t>Common Equity/Partnership Interest</w:t>
            </w:r>
            <w:r>
              <w:rPr>
                <w:rFonts w:ascii="Times New Roman" w:cs="Times New Roman" w:eastAsia="Times New Roman" w:hAnsi="Times New Roman"/>
                <w:sz w:val="14"/>
                <w:szCs w:val="14"/>
                <w:b w:val="1"/>
                <w:bCs w:val="1"/>
                <w:color w:val="auto"/>
                <w:vertAlign w:val="superscript"/>
              </w:rPr>
              <w:t>(8)</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AHC Mezzanine (Advanstar Inc.)</w:t>
            </w:r>
          </w:p>
        </w:tc>
        <w:tc>
          <w:tcPr>
            <w:tcW w:w="7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2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Debt—58.8%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Berry Plastics Group,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04/03/2015</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Containers, Packaging and Glass</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7,462,500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7,462,500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7,274,602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Burlington Coat Factory Warehouse Corp.</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05/28/2013</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Retail Store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7,896,473</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7,887,537</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7,571,975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Charter Communications Operating,</w:t>
            </w:r>
          </w:p>
        </w:tc>
        <w:tc>
          <w:tcPr>
            <w:tcW w:w="7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color w:val="auto"/>
                <w:w w:val="93"/>
              </w:rPr>
              <w:t>03/06/2014</w:t>
            </w:r>
          </w:p>
        </w:tc>
        <w:tc>
          <w:tcPr>
            <w:tcW w:w="4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Cable Television</w:t>
            </w:r>
          </w:p>
        </w:tc>
        <w:tc>
          <w:tcPr>
            <w:tcW w:w="1000" w:type="dxa"/>
            <w:vAlign w:val="bottom"/>
            <w:gridSpan w:val="3"/>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7.13%</w:t>
            </w:r>
          </w:p>
        </w:tc>
        <w:tc>
          <w:tcPr>
            <w:tcW w:w="7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L+200</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w w:val="91"/>
              </w:rPr>
              <w:t>15,000,000</w:t>
            </w:r>
          </w:p>
        </w:tc>
        <w:tc>
          <w:tcPr>
            <w:tcW w:w="8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14,992,740</w:t>
            </w: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14,468,310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L.L.C.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Cohr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01/31/2013</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Healthcare, Education and Childcare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8.04%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2,985,000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2,985,000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FR Brand Acquisition Corp.</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02/07/2014</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Energy/Utilities</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Gatehouse Media Operating,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08/28/2014</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Media</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7.47%</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Nutrition Centers,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09/16/2013</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Retail Store</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6,483,750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6,487,788</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6,147,405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Greatwide Logistics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12/19/2013</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Cargo Transport</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L+350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6,947,500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6,947,500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6,079,062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Hanley-Wood, L.L.C.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03/08/2014</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7,845,003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Hawker Beechcraft,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03/28/2014</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1,990,780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1,990,780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 Management Associates, Inc.</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02/28/2014</w:t>
            </w: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Healthcare, Education and Childcare</w:t>
            </w:r>
          </w:p>
        </w:tc>
        <w:tc>
          <w:tcPr>
            <w:tcW w:w="10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L+175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9,950,000</w:t>
            </w: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9,441,615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Hughes Network Systems, L.L.C.</w:t>
            </w:r>
          </w:p>
        </w:tc>
        <w:tc>
          <w:tcPr>
            <w:tcW w:w="7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04/15/2014</w:t>
            </w:r>
          </w:p>
        </w:tc>
        <w:tc>
          <w:tcPr>
            <w:tcW w:w="4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Telecommunications</w:t>
            </w:r>
          </w:p>
        </w:tc>
        <w:tc>
          <w:tcPr>
            <w:tcW w:w="10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Jacuzzi Brands Corp.</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02/07/2014</w:t>
            </w: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Home and Office Furnishings, Housewares and Durable Consumer Products</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7.44%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L+225</w:t>
            </w:r>
          </w:p>
        </w:tc>
        <w:tc>
          <w:tcPr>
            <w:tcW w:w="1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9,963,514</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9,963,514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8,947,235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Basis Point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7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2"/>
              </w:rPr>
              <w:t>Coupon</w:t>
            </w:r>
          </w:p>
        </w:tc>
        <w:tc>
          <w:tcPr>
            <w:tcW w:w="7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Debt—(Continued)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Level 3 Financing,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03/13/2014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Telecommunications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Levlad, L.L.C.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03/08/2014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Longview Power, L.L.C.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02/28/2014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Longview Power, L.L.C.</w:t>
            </w:r>
            <w:r>
              <w:rPr>
                <w:rFonts w:ascii="Times New Roman" w:cs="Times New Roman" w:eastAsia="Times New Roman" w:hAnsi="Times New Roman"/>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02/28/2014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Utilities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Mach Gen, L.L.C.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02/22/2014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3,972,813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3,971,545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Mattress Holding Corp.</w:t>
            </w:r>
          </w:p>
        </w:tc>
        <w:tc>
          <w:tcPr>
            <w:tcW w:w="3840" w:type="dxa"/>
            <w:vAlign w:val="bottom"/>
            <w:gridSpan w:val="3"/>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w w:val="97"/>
              </w:rPr>
              <w:t>01/18/2014   Home and Office Furnishings, Housewares and Durable</w:t>
            </w:r>
          </w:p>
        </w:tc>
        <w:tc>
          <w:tcPr>
            <w:tcW w:w="980" w:type="dxa"/>
            <w:vAlign w:val="bottom"/>
            <w:gridSpan w:val="3"/>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7.61%</w:t>
            </w:r>
          </w:p>
        </w:tc>
        <w:tc>
          <w:tcPr>
            <w:tcW w:w="74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3,740,625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Products</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McJunkin Corp.</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01/31/2014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Mitchell International, Inc.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03/28/2014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National Bedding Co., L.L.C.</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97"/>
              </w:rPr>
              <w:t>08/31/2011   Home and Office Furnishings, Housewares and Durable</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7.43%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L+200</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6,965,000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6,971,653</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6,668,988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Consumer Products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Penton Media, Inc.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02/01/2013</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Philosophy,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03/16/2014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Proquest CSA, L.L.C.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02/09/2014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Education</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L+300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05/04/2014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L+300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Reader’s Digest Association, Inc.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Printing and Publishing</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Rexnord , L.L.C.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07/19/2013</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Manufacturing and Basic Industry</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01/30/2014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Univision Communications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09/29/2014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Broadcasting and Entertainment</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Univision Communications Inc.</w:t>
            </w:r>
            <w:r>
              <w:rPr>
                <w:rFonts w:ascii="Times New Roman" w:cs="Times New Roman" w:eastAsia="Times New Roman" w:hAnsi="Times New Roman"/>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09/29/2014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Broadcasting and Entertainment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Valassis Communications,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03/02/2014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Printing and Publishing</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L+175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Valassis Communications, Inc.</w:t>
            </w:r>
            <w:r>
              <w:rPr>
                <w:rFonts w:ascii="Times New Roman" w:cs="Times New Roman" w:eastAsia="Times New Roman" w:hAnsi="Times New Roman"/>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Printing and Publishing</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Western Refining, Inc.</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05/30/2014</w:t>
            </w:r>
          </w:p>
        </w:tc>
        <w:tc>
          <w:tcPr>
            <w:tcW w:w="3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L+175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First Lien Secured Debt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170,481,009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170,474,236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158,929,905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Total Investments in Non-Controlled, Non-Affiliated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298,789,297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4"/>
              </w:rPr>
              <w:t>274,679,030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8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8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12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Investments in Non-Controlled, Affiliated Portfolio Companies—</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jc w:val="right"/>
              <w:ind w:right="35"/>
              <w:spacing w:after="0" w:line="176" w:lineRule="exact"/>
              <w:rPr>
                <w:sz w:val="20"/>
                <w:szCs w:val="20"/>
                <w:color w:val="auto"/>
              </w:rPr>
            </w:pPr>
            <w:r>
              <w:rPr>
                <w:rFonts w:ascii="Times New Roman" w:cs="Times New Roman" w:eastAsia="Times New Roman" w:hAnsi="Times New Roman"/>
                <w:sz w:val="13"/>
                <w:szCs w:val="13"/>
                <w:b w:val="1"/>
                <w:bCs w:val="1"/>
                <w:color w:val="auto"/>
              </w:rPr>
              <w:t>6.0%</w:t>
            </w:r>
            <w:r>
              <w:rPr>
                <w:rFonts w:ascii="Times New Roman" w:cs="Times New Roman" w:eastAsia="Times New Roman" w:hAnsi="Times New Roman"/>
                <w:sz w:val="20"/>
                <w:szCs w:val="20"/>
                <w:b w:val="1"/>
                <w:bCs w:val="1"/>
                <w:color w:val="auto"/>
                <w:vertAlign w:val="superscript"/>
              </w:rPr>
              <w:t>(2)</w:t>
            </w:r>
          </w:p>
        </w:tc>
        <w:tc>
          <w:tcPr>
            <w:tcW w:w="3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Subordinated Debt/Corporate Notes—1.4%</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Performance Holdings, Inc.</w:t>
            </w:r>
          </w:p>
        </w:tc>
        <w:tc>
          <w:tcPr>
            <w:tcW w:w="840" w:type="dxa"/>
            <w:vAlign w:val="bottom"/>
            <w:gridSpan w:val="2"/>
            <w:shd w:val="clear" w:color="auto" w:fill="CCEEFF"/>
          </w:tcPr>
          <w:p>
            <w:pPr>
              <w:jc w:val="center"/>
              <w:ind w:right="220"/>
              <w:spacing w:after="0" w:line="136" w:lineRule="exact"/>
              <w:rPr>
                <w:sz w:val="20"/>
                <w:szCs w:val="20"/>
                <w:color w:val="auto"/>
              </w:rPr>
            </w:pPr>
            <w:r>
              <w:rPr>
                <w:rFonts w:ascii="Times New Roman" w:cs="Times New Roman" w:eastAsia="Times New Roman" w:hAnsi="Times New Roman"/>
                <w:sz w:val="14"/>
                <w:szCs w:val="14"/>
                <w:color w:val="auto"/>
                <w:w w:val="97"/>
              </w:rPr>
              <w:t>07/02/2014</w:t>
            </w:r>
          </w:p>
        </w:tc>
        <w:tc>
          <w:tcPr>
            <w:tcW w:w="16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Leisure, Amusement, Motion</w:t>
            </w:r>
          </w:p>
        </w:tc>
        <w:tc>
          <w:tcPr>
            <w:tcW w:w="1180" w:type="dxa"/>
            <w:vAlign w:val="bottom"/>
            <w:gridSpan w:val="3"/>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0"/>
                <w:szCs w:val="10"/>
                <w:color w:val="auto"/>
              </w:rPr>
              <w:t>14.25%</w:t>
            </w:r>
            <w:r>
              <w:rPr>
                <w:rFonts w:ascii="Times New Roman" w:cs="Times New Roman" w:eastAsia="Times New Roman" w:hAnsi="Times New Roman"/>
                <w:sz w:val="15"/>
                <w:szCs w:val="15"/>
                <w:color w:val="auto"/>
                <w:vertAlign w:val="superscript"/>
              </w:rPr>
              <w:t>(7)</w:t>
            </w:r>
          </w:p>
        </w:tc>
        <w:tc>
          <w:tcPr>
            <w:tcW w:w="860" w:type="dxa"/>
            <w:vAlign w:val="bottom"/>
            <w:gridSpan w:val="2"/>
            <w:shd w:val="clear" w:color="auto" w:fill="CCEEFF"/>
          </w:tcPr>
          <w:p>
            <w:pPr>
              <w:ind w:left="4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3,837,578</w:t>
            </w:r>
          </w:p>
        </w:tc>
        <w:tc>
          <w:tcPr>
            <w:tcW w:w="1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3,592,573</w:t>
            </w:r>
          </w:p>
        </w:tc>
        <w:tc>
          <w:tcPr>
            <w:tcW w:w="3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3,837,578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Pictures, Entertainment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Second Lien Secured Debt—3.2%</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Performance, Inc.</w:t>
            </w:r>
          </w:p>
        </w:tc>
        <w:tc>
          <w:tcPr>
            <w:tcW w:w="840" w:type="dxa"/>
            <w:vAlign w:val="bottom"/>
            <w:gridSpan w:val="2"/>
            <w:shd w:val="clear" w:color="auto" w:fill="CCEEFF"/>
          </w:tcPr>
          <w:p>
            <w:pPr>
              <w:jc w:val="center"/>
              <w:ind w:right="220"/>
              <w:spacing w:after="0" w:line="136" w:lineRule="exact"/>
              <w:rPr>
                <w:sz w:val="20"/>
                <w:szCs w:val="20"/>
                <w:color w:val="auto"/>
              </w:rPr>
            </w:pPr>
            <w:r>
              <w:rPr>
                <w:rFonts w:ascii="Times New Roman" w:cs="Times New Roman" w:eastAsia="Times New Roman" w:hAnsi="Times New Roman"/>
                <w:sz w:val="14"/>
                <w:szCs w:val="14"/>
                <w:color w:val="auto"/>
                <w:w w:val="97"/>
              </w:rPr>
              <w:t>07/02/2013</w:t>
            </w:r>
          </w:p>
        </w:tc>
        <w:tc>
          <w:tcPr>
            <w:tcW w:w="16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Leisure, Amusement, Motion</w:t>
            </w:r>
          </w:p>
        </w:tc>
        <w:tc>
          <w:tcPr>
            <w:tcW w:w="1180" w:type="dxa"/>
            <w:vAlign w:val="bottom"/>
            <w:gridSpan w:val="3"/>
            <w:shd w:val="clear" w:color="auto" w:fill="CCEEFF"/>
          </w:tcPr>
          <w:p>
            <w:pPr>
              <w:jc w:val="right"/>
              <w:ind w:right="380"/>
              <w:spacing w:after="0" w:line="136" w:lineRule="exact"/>
              <w:rPr>
                <w:sz w:val="20"/>
                <w:szCs w:val="20"/>
                <w:color w:val="auto"/>
              </w:rPr>
            </w:pPr>
            <w:r>
              <w:rPr>
                <w:rFonts w:ascii="Times New Roman" w:cs="Times New Roman" w:eastAsia="Times New Roman" w:hAnsi="Times New Roman"/>
                <w:sz w:val="14"/>
                <w:szCs w:val="14"/>
                <w:color w:val="auto"/>
              </w:rPr>
              <w:t>11.11%</w:t>
            </w:r>
          </w:p>
        </w:tc>
        <w:tc>
          <w:tcPr>
            <w:tcW w:w="860" w:type="dxa"/>
            <w:vAlign w:val="bottom"/>
            <w:gridSpan w:val="2"/>
            <w:shd w:val="clear" w:color="auto" w:fill="CCEEFF"/>
          </w:tcPr>
          <w:p>
            <w:pPr>
              <w:ind w:left="280"/>
              <w:spacing w:after="0" w:line="136" w:lineRule="exact"/>
              <w:rPr>
                <w:sz w:val="20"/>
                <w:szCs w:val="20"/>
                <w:color w:val="auto"/>
              </w:rPr>
            </w:pPr>
            <w:r>
              <w:rPr>
                <w:rFonts w:ascii="Times New Roman" w:cs="Times New Roman" w:eastAsia="Times New Roman" w:hAnsi="Times New Roman"/>
                <w:sz w:val="14"/>
                <w:szCs w:val="14"/>
                <w:color w:val="auto"/>
              </w:rPr>
              <w:t>L+575</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Pictures, Entertainment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Common Equity/Partnership Interest</w:t>
            </w:r>
            <w:r>
              <w:rPr>
                <w:rFonts w:ascii="Times New Roman" w:cs="Times New Roman" w:eastAsia="Times New Roman" w:hAnsi="Times New Roman"/>
                <w:sz w:val="16"/>
                <w:szCs w:val="16"/>
                <w:b w:val="1"/>
                <w:bCs w:val="1"/>
                <w:color w:val="auto"/>
                <w:vertAlign w:val="superscript"/>
              </w:rPr>
              <w:t>(8)</w:t>
            </w:r>
            <w:r>
              <w:rPr>
                <w:rFonts w:ascii="Times New Roman" w:cs="Times New Roman" w:eastAsia="Times New Roman" w:hAnsi="Times New Roman"/>
                <w:sz w:val="11"/>
                <w:szCs w:val="11"/>
                <w:b w:val="1"/>
                <w:bCs w:val="1"/>
                <w:color w:val="auto"/>
              </w:rPr>
              <w:t>—1.4%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NCP-Performance (Performance Holdings, Inc.)</w:t>
            </w:r>
          </w:p>
        </w:tc>
        <w:tc>
          <w:tcPr>
            <w:tcW w:w="840" w:type="dxa"/>
            <w:vAlign w:val="bottom"/>
            <w:gridSpan w:val="2"/>
          </w:tcPr>
          <w:p>
            <w:pPr>
              <w:ind w:left="4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Leisure, Amusement,</w:t>
            </w:r>
          </w:p>
        </w:tc>
        <w:tc>
          <w:tcPr>
            <w:tcW w:w="200" w:type="dxa"/>
            <w:vAlign w:val="bottom"/>
          </w:tcPr>
          <w:p>
            <w:pPr>
              <w:spacing w:after="0"/>
              <w:rPr>
                <w:sz w:val="11"/>
                <w:szCs w:val="11"/>
                <w:color w:val="auto"/>
              </w:rPr>
            </w:pPr>
          </w:p>
        </w:tc>
        <w:tc>
          <w:tcPr>
            <w:tcW w:w="980" w:type="dxa"/>
            <w:vAlign w:val="bottom"/>
            <w:gridSpan w:val="2"/>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 Pictures,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Entertainment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16,092,573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16,337,578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Investments—107.6%</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314,881,870</w:t>
            </w:r>
          </w:p>
        </w:tc>
        <w:tc>
          <w:tcPr>
            <w:tcW w:w="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9"/>
              </w:rPr>
              <w:t>291,016,608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Equivalents—95.4%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Treasury Bill</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12/27/2007</w:t>
            </w:r>
          </w:p>
        </w:tc>
        <w:tc>
          <w:tcPr>
            <w:tcW w:w="160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8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1"/>
              </w:rPr>
              <w:t>255,000,000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252,759,931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252,703,215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Money Market—Mutual Fund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5,256,420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5,256,420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5,256,420</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w w:val="91"/>
              </w:rPr>
              <w:t>260,256,420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258,016,351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9"/>
              </w:rPr>
              <w:t>257,959,635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 and Cash Equivalents—203.0%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572,898,221</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548,976,243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in Excess of Other Assets—(103.0%)</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4"/>
                <w:szCs w:val="14"/>
                <w:color w:val="auto"/>
                <w:w w:val="93"/>
              </w:rPr>
              <w:t>(278,583,149)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270,393,094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right="300" w:hanging="332"/>
        <w:spacing w:after="0" w:line="241" w:lineRule="auto"/>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right="240" w:hanging="332"/>
        <w:spacing w:after="0" w:line="241" w:lineRule="auto"/>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Valued based on our accounting policy (see Note 2 to our financial statements).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floating rate instruments that accrue interest at a predetermined spread relative to an index, typically the applicable London Interbank Offer Rate (LIBOR or “L”).</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purchases of securities with delayed draws. These securities do not have a basis point spread above index.</w:t>
      </w:r>
    </w:p>
    <w:p>
      <w:pPr>
        <w:spacing w:after="0" w:line="68" w:lineRule="exact"/>
        <w:rPr>
          <w:rFonts w:ascii="Times New Roman" w:cs="Times New Roman" w:eastAsia="Times New Roman" w:hAnsi="Times New Roman"/>
          <w:sz w:val="14"/>
          <w:szCs w:val="14"/>
          <w:color w:val="auto"/>
        </w:rPr>
      </w:pPr>
    </w:p>
    <w:p>
      <w:pPr>
        <w:ind w:left="340" w:right="300" w:hanging="332"/>
        <w:spacing w:after="0" w:line="241" w:lineRule="auto"/>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Coupon payable in cash and/or payment-in-kind (“PIK”).</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3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3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accounting policies consistently followed by PennantPark Investment are:</w:t>
      </w:r>
    </w:p>
    <w:p>
      <w:pPr>
        <w:spacing w:after="0" w:line="90" w:lineRule="exact"/>
        <w:rPr>
          <w:sz w:val="20"/>
          <w:szCs w:val="20"/>
          <w:color w:val="auto"/>
        </w:rPr>
      </w:pPr>
    </w:p>
    <w:p>
      <w:pPr>
        <w:ind w:left="900" w:right="60" w:hanging="446"/>
        <w:spacing w:after="0" w:line="291" w:lineRule="auto"/>
        <w:tabs>
          <w:tab w:leader="none" w:pos="9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71" w:lineRule="exact"/>
        <w:rPr>
          <w:sz w:val="20"/>
          <w:szCs w:val="20"/>
          <w:color w:val="auto"/>
        </w:rPr>
      </w:pPr>
    </w:p>
    <w:p>
      <w:pPr>
        <w:ind w:left="460" w:right="300"/>
        <w:spacing w:after="0" w:line="275"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39" w:lineRule="exact"/>
        <w:rPr>
          <w:sz w:val="20"/>
          <w:szCs w:val="20"/>
          <w:color w:val="auto"/>
        </w:rPr>
      </w:pPr>
    </w:p>
    <w:p>
      <w:pPr>
        <w:ind w:left="1480" w:right="160" w:hanging="567"/>
        <w:spacing w:after="0" w:line="275" w:lineRule="auto"/>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90" w:lineRule="exact"/>
        <w:rPr>
          <w:rFonts w:ascii="Times New Roman" w:cs="Times New Roman" w:eastAsia="Times New Roman" w:hAnsi="Times New Roman"/>
          <w:sz w:val="18"/>
          <w:szCs w:val="18"/>
          <w:color w:val="auto"/>
        </w:rPr>
      </w:pPr>
    </w:p>
    <w:p>
      <w:pPr>
        <w:ind w:left="1480" w:right="40" w:hanging="567"/>
        <w:spacing w:after="0" w:line="258" w:lineRule="auto"/>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55" w:lineRule="exact"/>
        <w:rPr>
          <w:rFonts w:ascii="Times New Roman" w:cs="Times New Roman" w:eastAsia="Times New Roman" w:hAnsi="Times New Roman"/>
          <w:sz w:val="18"/>
          <w:szCs w:val="18"/>
          <w:color w:val="auto"/>
        </w:rPr>
      </w:pPr>
    </w:p>
    <w:p>
      <w:pPr>
        <w:ind w:left="1480" w:right="200" w:hanging="567"/>
        <w:spacing w:after="0" w:line="262" w:lineRule="auto"/>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1" w:lineRule="exact"/>
        <w:rPr>
          <w:rFonts w:ascii="Times New Roman" w:cs="Times New Roman" w:eastAsia="Times New Roman" w:hAnsi="Times New Roman"/>
          <w:sz w:val="18"/>
          <w:szCs w:val="18"/>
          <w:color w:val="auto"/>
        </w:rPr>
      </w:pPr>
    </w:p>
    <w:p>
      <w:pPr>
        <w:ind w:left="1480" w:right="80" w:hanging="567"/>
        <w:spacing w:after="0" w:line="275" w:lineRule="auto"/>
        <w:tabs>
          <w:tab w:leader="none" w:pos="1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39" w:lineRule="exact"/>
        <w:rPr>
          <w:sz w:val="20"/>
          <w:szCs w:val="20"/>
          <w:color w:val="auto"/>
        </w:rPr>
      </w:pPr>
    </w:p>
    <w:p>
      <w:pPr>
        <w:ind w:left="460" w:right="120"/>
        <w:spacing w:after="0" w:line="262" w:lineRule="auto"/>
        <w:rPr>
          <w:sz w:val="20"/>
          <w:szCs w:val="20"/>
          <w:color w:val="auto"/>
        </w:rPr>
      </w:pPr>
      <w:r>
        <w:rPr>
          <w:rFonts w:ascii="Times New Roman" w:cs="Times New Roman" w:eastAsia="Times New Roman" w:hAnsi="Times New Roman"/>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1" w:lineRule="exact"/>
        <w:rPr>
          <w:sz w:val="20"/>
          <w:szCs w:val="20"/>
          <w:color w:val="auto"/>
        </w:rPr>
      </w:pPr>
    </w:p>
    <w:p>
      <w:pPr>
        <w:ind w:left="900" w:hanging="446"/>
        <w:spacing w:after="0"/>
        <w:tabs>
          <w:tab w:leader="none" w:pos="9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purchased within 60 days of maturity are valued at cost plus accreted discount, or minus amortized premium, which approximates value.</w:t>
      </w:r>
    </w:p>
    <w:p>
      <w:pPr>
        <w:spacing w:after="0" w:line="113" w:lineRule="exact"/>
        <w:rPr>
          <w:rFonts w:ascii="Times New Roman" w:cs="Times New Roman" w:eastAsia="Times New Roman" w:hAnsi="Times New Roman"/>
          <w:sz w:val="16"/>
          <w:szCs w:val="16"/>
          <w:color w:val="auto"/>
        </w:rPr>
      </w:pPr>
    </w:p>
    <w:p>
      <w:pPr>
        <w:ind w:left="900" w:right="20" w:hanging="446"/>
        <w:spacing w:after="0" w:line="25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57" w:lineRule="exact"/>
        <w:rPr>
          <w:rFonts w:ascii="Times New Roman" w:cs="Times New Roman" w:eastAsia="Times New Roman" w:hAnsi="Times New Roman"/>
          <w:sz w:val="18"/>
          <w:szCs w:val="18"/>
          <w:color w:val="auto"/>
        </w:rPr>
      </w:pPr>
    </w:p>
    <w:p>
      <w:pPr>
        <w:jc w:val="both"/>
        <w:ind w:left="900" w:right="180" w:hanging="446"/>
        <w:spacing w:after="0" w:line="26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18"/>
          <w:szCs w:val="18"/>
          <w:color w:val="auto"/>
        </w:rPr>
        <w:t>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to the extent that we expect to collect such amounts.</w:t>
      </w:r>
    </w:p>
    <w:p>
      <w:pPr>
        <w:spacing w:after="0" w:line="69" w:lineRule="exact"/>
        <w:rPr>
          <w:sz w:val="20"/>
          <w:szCs w:val="20"/>
          <w:color w:val="auto"/>
        </w:rPr>
      </w:pPr>
    </w:p>
    <w:p>
      <w:pPr>
        <w:ind w:left="900" w:right="60" w:hanging="446"/>
        <w:spacing w:after="0" w:line="287" w:lineRule="auto"/>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2007 or September 30, 2008. Although we file federal and state tax returns, our major tax jurisdiction is federal. Our 2008 and 2007 federal tax year remains subject to examination by the IRS.</w:t>
      </w:r>
    </w:p>
    <w:p>
      <w:pPr>
        <w:spacing w:after="0" w:line="253" w:lineRule="exact"/>
        <w:rPr>
          <w:rFonts w:ascii="Times New Roman" w:cs="Times New Roman" w:eastAsia="Times New Roman" w:hAnsi="Times New Roman"/>
          <w:sz w:val="16"/>
          <w:szCs w:val="16"/>
          <w:color w:val="auto"/>
        </w:rPr>
      </w:pPr>
    </w:p>
    <w:p>
      <w:pPr>
        <w:ind w:left="900" w:right="60" w:hanging="446"/>
        <w:spacing w:after="0" w:line="26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1" w:lineRule="exact"/>
        <w:rPr>
          <w:rFonts w:ascii="Times New Roman" w:cs="Times New Roman" w:eastAsia="Times New Roman" w:hAnsi="Times New Roman"/>
          <w:sz w:val="18"/>
          <w:szCs w:val="18"/>
          <w:color w:val="auto"/>
        </w:rPr>
      </w:pPr>
    </w:p>
    <w:p>
      <w:pPr>
        <w:jc w:val="both"/>
        <w:ind w:left="900" w:right="120" w:hanging="446"/>
        <w:spacing w:after="0" w:line="258"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55" w:lineRule="exact"/>
        <w:rPr>
          <w:rFonts w:ascii="Times New Roman" w:cs="Times New Roman" w:eastAsia="Times New Roman" w:hAnsi="Times New Roman"/>
          <w:sz w:val="18"/>
          <w:szCs w:val="18"/>
          <w:color w:val="auto"/>
        </w:rPr>
      </w:pPr>
    </w:p>
    <w:p>
      <w:pPr>
        <w:ind w:left="900" w:hanging="446"/>
        <w:spacing w:after="0" w:line="255"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did not affect the Company’s financial position or its results of operations.</w:t>
      </w:r>
    </w:p>
    <w:p>
      <w:pPr>
        <w:spacing w:after="0" w:line="56" w:lineRule="exact"/>
        <w:rPr>
          <w:rFonts w:ascii="Times New Roman" w:cs="Times New Roman" w:eastAsia="Times New Roman" w:hAnsi="Times New Roman"/>
          <w:sz w:val="18"/>
          <w:szCs w:val="18"/>
          <w:color w:val="auto"/>
        </w:rPr>
      </w:pPr>
    </w:p>
    <w:p>
      <w:pPr>
        <w:ind w:left="900" w:right="120" w:hanging="446"/>
        <w:spacing w:after="0" w:line="255"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 made an irrevocable election to apply the fair value option to our credit facility liability. Upon our adoption our Net Asset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5" w:right="2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200"/>
        <w:spacing w:after="0" w:line="310" w:lineRule="auto"/>
        <w:rPr>
          <w:sz w:val="20"/>
          <w:szCs w:val="20"/>
          <w:color w:val="auto"/>
        </w:rPr>
      </w:pPr>
      <w:r>
        <w:rPr>
          <w:rFonts w:ascii="Times New Roman" w:cs="Times New Roman" w:eastAsia="Times New Roman" w:hAnsi="Times New Roman"/>
          <w:sz w:val="16"/>
          <w:szCs w:val="16"/>
          <w:color w:val="auto"/>
        </w:rPr>
        <w:t>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 The balances in the September 30, 2008 financial statements as reported did not reflect such adoption.</w:t>
      </w:r>
    </w:p>
    <w:p>
      <w:pPr>
        <w:spacing w:after="0" w:line="30" w:lineRule="exact"/>
        <w:rPr>
          <w:sz w:val="20"/>
          <w:szCs w:val="20"/>
          <w:color w:val="auto"/>
        </w:rPr>
      </w:pPr>
    </w:p>
    <w:p>
      <w:pPr>
        <w:ind w:left="900" w:hanging="446"/>
        <w:spacing w:after="0"/>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25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w:t>
      </w:r>
    </w:p>
    <w:p>
      <w:pPr>
        <w:spacing w:after="0" w:line="9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the Investment Adviser received a net base management fee of $6.7 million from the Company. For the period from April 24, 2007 (initial public offering) through September 30, 2007, the Investment Adviser received a net base management fee of approximately $1.9 million from the Company.</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58" w:lineRule="exact"/>
        <w:rPr>
          <w:sz w:val="20"/>
          <w:szCs w:val="20"/>
          <w:color w:val="auto"/>
        </w:rPr>
      </w:pPr>
    </w:p>
    <w:p>
      <w:pPr>
        <w:ind w:right="20" w:firstLine="464"/>
        <w:spacing w:after="0" w:line="262" w:lineRule="auto"/>
        <w:tabs>
          <w:tab w:leader="none" w:pos="7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Adviser received an incentive fee of $3.8 million from the Company. For the period from April 24, 2007 (initial public offering) through September 30, 2007, the Investment Adviser did not receive an incentive fee from the Company.</w:t>
      </w:r>
    </w:p>
    <w:p>
      <w:pPr>
        <w:spacing w:after="0" w:line="13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 ended September 30, 2008, the Investment Adviser was reimbursed $2.0 million from the Company, including expenses it incurred on behalf of the Administrator, for services described above. For the period from April 24, 2007 (initial public offering) through September 30, 2007, the Investment Adviser was reimbursed approximately $490,000 from the Company for services described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ORGANIZATIONAL AND OFFERING EXPENSES</w:t>
      </w:r>
    </w:p>
    <w:p>
      <w:pPr>
        <w:spacing w:after="0" w:line="92"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ASSET VALUE PER SHARE</w:t>
      </w:r>
    </w:p>
    <w:p>
      <w:pPr>
        <w:spacing w:after="0" w:line="92" w:lineRule="exact"/>
        <w:rPr>
          <w:sz w:val="20"/>
          <w:szCs w:val="20"/>
          <w:color w:val="auto"/>
        </w:rPr>
      </w:pPr>
    </w:p>
    <w:p>
      <w:pPr>
        <w:ind w:right="640" w:firstLine="456"/>
        <w:spacing w:after="0" w:line="339" w:lineRule="auto"/>
        <w:rPr>
          <w:sz w:val="20"/>
          <w:szCs w:val="20"/>
          <w:color w:val="auto"/>
        </w:rPr>
      </w:pPr>
      <w:r>
        <w:rPr>
          <w:rFonts w:ascii="Times New Roman" w:cs="Times New Roman" w:eastAsia="Times New Roman" w:hAnsi="Times New Roman"/>
          <w:sz w:val="16"/>
          <w:szCs w:val="16"/>
          <w:color w:val="auto"/>
        </w:rPr>
        <w:t>On September 30, 2008, PennantPark Investment’s total net assets and net asset value per share were $210.7 million and $10.00, respectively. On September 30, 2007, PennantPark Investment’s total net assets and net asset value per share were $270.4 million and $12.83, respectively.</w:t>
      </w:r>
    </w:p>
    <w:p>
      <w:pPr>
        <w:spacing w:after="0" w:line="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20"/>
          </w:cols>
          <w:pgMar w:left="240" w:top="45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LOSS PER SHARE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per share net increase/(decrease) in net assets resulting from operations: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65"/>
        </w:trPr>
        <w:tc>
          <w:tcPr>
            <w:tcW w:w="7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net decrease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(40,702,939)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basic and diluted weighted average shares: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21,068,772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20,936,149*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Since completion of IPO on April 24, 2007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92"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Purchases and sales/repayments of long-term investments for the fiscal year ended September 30, 2008 totaled $206.8 million and $70.1 million, respectively.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cash equivalents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132,155,221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104,242,000</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 corporate notes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187,087,744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166,173,175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9,298,819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9,298,819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10,409,360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13,588,897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105,222,862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78,844,929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40,249,201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40,249,201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258,016,351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484,423,207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412,397,021</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572,898,221</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represents the original cost adjusted for the accretion of discounts and amortization of premiums on debt investments, if any.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market value, of the total portfolio assets (excluding cash equivalents) in such industries as of September 30, 2008 and September 30, 2007.</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62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62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Media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and Gas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/Utilities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Sector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Plastic and Rubber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Leisure, Amusement, Motion Picture, Entertainment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Home and Office Furnishings, Housewares, and Durable Consumer</w:t>
            </w:r>
          </w:p>
        </w:tc>
        <w:tc>
          <w:tcPr>
            <w:tcW w:w="1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Real Estate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Store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 Transport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 Basic Industry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Broadcast and Entertainment</w:t>
            </w:r>
          </w:p>
        </w:tc>
        <w:tc>
          <w:tcPr>
            <w:tcW w:w="262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Television</w:t>
            </w:r>
          </w:p>
        </w:tc>
        <w:tc>
          <w:tcPr>
            <w:tcW w:w="262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Containers, Packaging and Glass</w:t>
            </w:r>
          </w:p>
        </w:tc>
        <w:tc>
          <w:tcPr>
            <w:tcW w:w="262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Publishing</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TAXES AND DISTRIBUTIONS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fiscal year ended September 30, 2008, there were no permanent book-to-tax differences present. Aggregate stockholders’ equity was not affected as a result of any reclassification. As of September 30, 2008, the cost of investments for federal income tax purposes was $444.2 million resulting in a gross unrealized appreciation and depreciation of $7.9 million and $79.9 million, respectively. The following reconciles net increase in stockholders’ equity resulting from operations to taxable income for the year ended September 30, 2008:</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stockholders’ equity resulting from operations</w:t>
            </w:r>
          </w:p>
        </w:tc>
        <w:tc>
          <w:tcPr>
            <w:tcW w:w="2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$(40,702,939)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 transactions not taxable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48,104,208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 and cash equivalents not taxable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derived from revenue recognition of contractual PIK interest</w:t>
            </w:r>
          </w:p>
        </w:tc>
        <w:tc>
          <w:tcPr>
            <w:tcW w:w="2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(295,894)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deductible expenses</w:t>
            </w:r>
          </w:p>
        </w:tc>
        <w:tc>
          <w:tcPr>
            <w:tcW w:w="2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(13,808)</w:t>
            </w: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Taxable income before deductions for distributions</w:t>
            </w:r>
          </w:p>
        </w:tc>
        <w:tc>
          <w:tcPr>
            <w:tcW w:w="1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$ 18,246,302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F-21</w:t>
            </w: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5"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September 30, 2008, the components of accumulated losses on tax basis and reconciliation to accumulated losses on a book basis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ordinary income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(602,660)</w:t>
            </w:r>
          </w:p>
        </w:tc>
      </w:tr>
      <w:tr>
        <w:trPr>
          <w:trHeight w:val="223"/>
        </w:trPr>
        <w:tc>
          <w:tcPr>
            <w:tcW w:w="9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long-term net capital gains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undistributed net earnings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(602,660)</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loss carry forward*</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(205,217)</w:t>
            </w: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Post-October 2007 capital losses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(11,045,348)</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of investments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(72,026,186)</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earnings/(deficit)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(83,879,411)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Expires 2016.</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Under federal tax law, foreign currency and capital losses realized after October 31 may be deferred and treated as having arisen on the first day of the following fiscal year. For the year ended September 30, 2008, the Corporation incurred post October capital losses of $11.0 million that will be deferred to the year ended September 30, 2009.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CASH EQUIVALENTS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REPURCHASE AGREEMENTS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2008 or September 30, 2007.</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HIGHLIGHTS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11,</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4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(inception)</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r>
      <w:tr>
        <w:trPr>
          <w:trHeight w:val="149"/>
        </w:trPr>
        <w:tc>
          <w:tcPr>
            <w:tcW w:w="7260" w:type="dxa"/>
            <w:vAlign w:val="bottom"/>
          </w:tcPr>
          <w:p>
            <w:pPr>
              <w:spacing w:after="0"/>
              <w:rPr>
                <w:sz w:val="12"/>
                <w:szCs w:val="12"/>
                <w:color w:val="auto"/>
              </w:rPr>
            </w:pPr>
          </w:p>
        </w:tc>
        <w:tc>
          <w:tcPr>
            <w:tcW w:w="188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3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65"/>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4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realized and unrealized loss</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distributions to stockholders</w:t>
            </w:r>
            <w:r>
              <w:rPr>
                <w:rFonts w:ascii="Times New Roman" w:cs="Times New Roman" w:eastAsia="Times New Roman" w:hAnsi="Times New Roman"/>
                <w:sz w:val="11"/>
                <w:szCs w:val="11"/>
                <w:color w:val="auto"/>
              </w:rPr>
              <w:t>(1)</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w:t>
            </w:r>
            <w:r>
              <w:rPr>
                <w:rFonts w:ascii="Times New Roman" w:cs="Times New Roman" w:eastAsia="Times New Roman" w:hAnsi="Times New Roman"/>
                <w:sz w:val="11"/>
                <w:szCs w:val="11"/>
                <w:color w:val="auto"/>
              </w:rPr>
              <w:t>(4)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0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21,068,772</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21,068,772</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Ratio of operating expenses to average net assets</w:t>
            </w:r>
            <w:r>
              <w:rPr>
                <w:rFonts w:ascii="Times New Roman" w:cs="Times New Roman" w:eastAsia="Times New Roman" w:hAnsi="Times New Roman"/>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r>
              <w:rPr>
                <w:rFonts w:ascii="Times New Roman" w:cs="Times New Roman" w:eastAsia="Times New Roman" w:hAnsi="Times New Roman"/>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credit facility related expenses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r>
              <w:rPr>
                <w:rFonts w:ascii="Times New Roman" w:cs="Times New Roman" w:eastAsia="Times New Roman" w:hAnsi="Times New Roman"/>
                <w:sz w:val="11"/>
                <w:szCs w:val="11"/>
                <w:color w:val="auto"/>
              </w:rPr>
              <w:t>(4)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to average net assets</w:t>
            </w:r>
            <w:r>
              <w:rPr>
                <w:rFonts w:ascii="Times New Roman" w:cs="Times New Roman" w:eastAsia="Times New Roman" w:hAnsi="Times New Roman"/>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r>
              <w:rPr>
                <w:rFonts w:ascii="Times New Roman" w:cs="Times New Roman" w:eastAsia="Times New Roman" w:hAnsi="Times New Roman"/>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r>
              <w:rPr>
                <w:rFonts w:ascii="Times New Roman" w:cs="Times New Roman" w:eastAsia="Times New Roman" w:hAnsi="Times New Roman"/>
                <w:sz w:val="11"/>
                <w:szCs w:val="11"/>
                <w:color w:val="auto"/>
              </w:rPr>
              <w:t>(4)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w w:val="95"/>
              </w:rPr>
              <w:t>210,728,260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270,393,094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95"/>
              </w:rPr>
              <w:t>119,472,732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817,610</w:t>
            </w:r>
            <w:r>
              <w:rPr>
                <w:rFonts w:ascii="Times New Roman" w:cs="Times New Roman" w:eastAsia="Times New Roman" w:hAnsi="Times New Roman"/>
                <w:sz w:val="11"/>
                <w:szCs w:val="11"/>
                <w:color w:val="auto"/>
              </w:rPr>
              <w:t>(4)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Average debt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r>
              <w:rPr>
                <w:rFonts w:ascii="Times New Roman" w:cs="Times New Roman" w:eastAsia="Times New Roman" w:hAnsi="Times New Roman"/>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w:t>
      </w:r>
    </w:p>
    <w:p>
      <w:pPr>
        <w:spacing w:after="0" w:line="90" w:lineRule="exact"/>
        <w:rPr>
          <w:sz w:val="20"/>
          <w:szCs w:val="20"/>
          <w:color w:val="auto"/>
        </w:rPr>
      </w:pPr>
    </w:p>
    <w:p>
      <w:pPr>
        <w:ind w:left="460" w:right="60" w:hanging="452"/>
        <w:spacing w:after="0" w:line="275"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38" w:lineRule="exact"/>
        <w:rPr>
          <w:rFonts w:ascii="Times New Roman" w:cs="Times New Roman" w:eastAsia="Times New Roman" w:hAnsi="Times New Roman"/>
          <w:sz w:val="18"/>
          <w:szCs w:val="18"/>
          <w:color w:val="auto"/>
        </w:rPr>
      </w:pPr>
    </w:p>
    <w:p>
      <w:pPr>
        <w:ind w:left="460" w:right="400" w:hanging="452"/>
        <w:spacing w:after="0" w:line="275"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38"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September 30, 2008, the ratio of operating expenses before management fee waiver to average net assets was 6.47%, and the ratio of total expenses before management fee waiver to average net assets was 9.13%.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initial public offering on April 24, 2007.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92" w:lineRule="exact"/>
        <w:rPr>
          <w:sz w:val="20"/>
          <w:szCs w:val="20"/>
          <w:color w:val="auto"/>
        </w:rPr>
      </w:pPr>
    </w:p>
    <w:p>
      <w:pPr>
        <w:ind w:right="280" w:firstLine="456"/>
        <w:spacing w:after="0" w:line="301" w:lineRule="auto"/>
        <w:rPr>
          <w:sz w:val="20"/>
          <w:szCs w:val="20"/>
          <w:color w:val="auto"/>
        </w:rPr>
      </w:pPr>
      <w:r>
        <w:rPr>
          <w:rFonts w:ascii="Times New Roman" w:cs="Times New Roman" w:eastAsia="Times New Roman" w:hAnsi="Times New Roman"/>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there was $202.0 million in outstanding borrowings under the Credit Agreement (including $40.0 million temporary draw), with an average interest rate of 3.93%.</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60"/>
          </w:cols>
          <w:pgMar w:left="240" w:top="455" w:right="29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the maintenance of a minimum stockholders’ equity, the maintenance of a ratio not less than 200% of total assets (less total liabilities other than indebtedness) to total indebtedness (approximately 204% including temporary draw as of September 30, 2008 or 230% excluding such draws), and restrictions on certain payments and issuance of debt. For a complete list of such covenants, see our current report on Form 8-K, filed June 28, 2007.</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Subsequent to September 30, 2008 and through the date of this report, conditions in the public debt and equity markets have continued to deteriorate and our net asset value has continued to decline. The Credit Agreement requires the Company to maintain a minimum amount of shareholder’s equity and requires that the Company’s outstanding borrowings under the Credit Agreement not exceed a certain percentage of the values of its portfolio companies. The Company’s continued compliance with these covenants depends on many factors, some of which are beyond the Company’s control. For example, during the fiscal year ended September 30,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9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statement of assets and liabilities of PennantPark Investment Corporation (the “Company”), including the schedule of investments, as of June 30, 2009, the statements of operations for the three and nine month periods ended June 30, 2009 and 2008, and the statements of changes in net assets, and cash flows for the nine months ended June 30, 2009 and 2008. These interim financial statements are the responsibility of the Company’s management.</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03375" cy="360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2009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3"/>
              </w:rPr>
              <w:t>June 30, 2009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Non-controlled, non-affiliated investments, at fair value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(cost—$435,642,024 and $427,481,745, respectively)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377,382,905</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354,261,950</w:t>
            </w: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Non-controlled, affiliated investments, at fair value (cost—$17,200,193 and $16,692,261, respectively)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15,755,326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17,885,870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393,138,231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372,147,820</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541,136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40,249,201</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1,381,011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4,770,692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6,046,199</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1,271,943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1,367,479</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401,103,013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419,810,699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5,056,505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5,056,505</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4,183,666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Unfunded investments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6,331,385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Credit facility payable (fair value: $134,057,558 and $160,204,000, respectively) (cost: $187,300,000 and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$202,000,000,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(see note 7)</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134,057,558</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202,000,000</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725,317</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1,928,082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85,896</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incentive fee payable (see note 3)</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1,415,872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123,033</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1,080,397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1,091,688</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154,125,773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209,082,439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7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par value $0.001 per share, 100,000,000 shares authorized and 21,068,772 shares issued and</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21,069</w:t>
            </w:r>
          </w:p>
        </w:tc>
      </w:tr>
      <w:tr>
        <w:trPr>
          <w:trHeight w:val="21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294,586,604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294,586,604</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(distributions in excess of) net investment income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928,718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(602,660)</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fair value option on credit facility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41,796,000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net realized loss on investments and cash equivalents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(42,097,607)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(11,250,567)</w:t>
            </w: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(59,703,986)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(72,026,186)</w:t>
            </w: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depreciation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11,446,442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246,977,240</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210,728,260</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401,103,013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419,810,699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6"/>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2009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2008</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2008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From non-controlled, non-affiliated investments: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10,347,405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9,212,625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31,930,815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27,148,848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123,955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111,924</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337,832</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988,668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1,063,257</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10,769,709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9,662,381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33,270,932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28,379,911</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1,928,082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1,829,909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5,495,505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5,195,750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Performance-based incentive fee (see note 3)</w:t>
            </w:r>
          </w:p>
        </w:tc>
        <w:tc>
          <w:tcPr>
            <w:tcW w:w="80" w:type="dxa"/>
            <w:vAlign w:val="bottom"/>
          </w:tcPr>
          <w:p>
            <w:pPr>
              <w:spacing w:after="0"/>
              <w:rPr>
                <w:sz w:val="18"/>
                <w:szCs w:val="18"/>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1,412,925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985,287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4,175,224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credit facility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791,587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1,656,140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Administrative services expenses (see note 3)</w:t>
            </w:r>
          </w:p>
        </w:tc>
        <w:tc>
          <w:tcPr>
            <w:tcW w:w="80" w:type="dxa"/>
            <w:vAlign w:val="bottom"/>
          </w:tcPr>
          <w:p>
            <w:pPr>
              <w:spacing w:after="0"/>
              <w:rPr>
                <w:sz w:val="18"/>
                <w:szCs w:val="18"/>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582,177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591,726</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1,558,672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388,507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658,178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1,523,505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Expenses before base management fee waiver</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5,103,278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5,721,240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16,570,039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15,678,748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(420,731)</w:t>
            </w:r>
          </w:p>
        </w:tc>
      </w:tr>
      <w:tr>
        <w:trPr>
          <w:trHeight w:val="230"/>
        </w:trPr>
        <w:tc>
          <w:tcPr>
            <w:tcW w:w="20" w:type="dxa"/>
            <w:vAlign w:val="bottom"/>
          </w:tcPr>
          <w:p>
            <w:pPr>
              <w:spacing w:after="0"/>
              <w:rPr>
                <w:sz w:val="20"/>
                <w:szCs w:val="20"/>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5,103,278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5,721,240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16,570,039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15,258,017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5,666,431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3,941,141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16,700,893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13,121,894</w:t>
            </w:r>
          </w:p>
        </w:tc>
        <w:tc>
          <w:tcPr>
            <w:tcW w:w="120" w:type="dxa"/>
            <w:vAlign w:val="bottom"/>
            <w:shd w:val="clear" w:color="auto" w:fill="CCEEFF"/>
          </w:tcPr>
          <w:p>
            <w:pPr>
              <w:spacing w:after="0"/>
              <w:rPr>
                <w:sz w:val="18"/>
                <w:szCs w:val="18"/>
                <w:color w:val="auto"/>
              </w:rPr>
            </w:pPr>
          </w:p>
        </w:tc>
      </w:tr>
      <w:tr>
        <w:trPr>
          <w:trHeight w:val="207"/>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investments, cash equivalents and</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8"/>
              </w:rPr>
              <w:t>(24,701,776)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(401,624)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(30,847,040)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(620,998)</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Non-controlled, non-affiliated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27,736,328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10,700,808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14,960,676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(41,097,670)</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Non-controlled, affiliated investments</w:t>
            </w:r>
          </w:p>
        </w:tc>
        <w:tc>
          <w:tcPr>
            <w:tcW w:w="80" w:type="dxa"/>
            <w:vAlign w:val="bottom"/>
          </w:tcPr>
          <w:p>
            <w:pPr>
              <w:spacing w:after="0"/>
              <w:rPr>
                <w:sz w:val="18"/>
                <w:szCs w:val="18"/>
                <w:color w:val="auto"/>
              </w:rPr>
            </w:pPr>
          </w:p>
        </w:tc>
        <w:tc>
          <w:tcPr>
            <w:tcW w:w="11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(318,107)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964,139</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(2,638,476)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(1,064,091)</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Credit facility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(9,202,647)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11,446,442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change in unrealized appreciation (depreciation)</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18,215,574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11,664,947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23,768,642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(42,161,761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20" w:type="dxa"/>
            <w:vAlign w:val="bottom"/>
          </w:tcPr>
          <w:p>
            <w:pPr>
              <w:spacing w:after="0"/>
              <w:rPr>
                <w:sz w:val="17"/>
                <w:szCs w:val="17"/>
                <w:color w:val="auto"/>
              </w:rPr>
            </w:pPr>
          </w:p>
        </w:tc>
        <w:tc>
          <w:tcPr>
            <w:tcW w:w="61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realized and unrealized gain (loss) from investments, cash equivalents,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and credit facility</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(6,486,202)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11,263,323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(7,078,398)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(42,782,759)</w:t>
            </w: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(819,771</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15,204,464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9,622,495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(29,660,865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(decrease) increase in net assets resulting from operations per common share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(see note 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8"/>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common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2009</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net assets from operations: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investment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16,700,893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(30,847,040)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12,322,200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change in unrealized depreciation on credit facility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11,446,442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9,622,495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(29,660,865)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to Stockholders: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from net investment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(15,169,515)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(13,905,390)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dividends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(15,169,515)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(13,905,390)</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decrease in net assets</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(5,547,020)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(43,566,255)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210,728,260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Cumulative effect of adoption of fair value option on credit facility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(see note 7)</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41,796,000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beginning of period</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252,524,260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270,393,094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246,977,240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226,826,839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Undistributed (distribution in excess of) net investment income, at period end</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928,718</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9,622,495</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(29,660,865)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increase (decrease) in net assets resulting from operations to net cash used by</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 and cash equivalents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(12,322,200)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change in unrealized depreciation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(11,446,442)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realized loss on investments and cash equivalents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30,847,040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(1,903,798)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(47,957,218)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(149,312,146)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(2,528,233)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disposition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12,873,998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receivable for investment sold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(1,381,011)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 interest receivable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 payables for cash equivalents purchased</w:t>
            </w: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payables for investments purchased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4,183,666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(decrease) in unfunded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6,331,385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 interest payable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(653,009)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(decrease) in management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increase in accrued other expenses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(9,838,550)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(397,124,009)</w:t>
            </w: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Dividends and distributions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(15,169,515)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Borrowings under credit facility (see note 11)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Repayments under credit facility (see note 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(100,000,000)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(165,740,000)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(29,869,515)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(39,708,065)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(216,929,399)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40,249,201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41,030,236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 and non-cash financing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4,270,412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3,840,424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Cumulative effect of adoption of fair value option on credit facility</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41,796,000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9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9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w:t>
            </w:r>
          </w:p>
        </w:tc>
        <w:tc>
          <w:tcPr>
            <w:tcW w:w="2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4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Investments in Non-Controlled, Non-Affiliated Portfolio Companies—152.8%</w:t>
            </w:r>
            <w:r>
              <w:rPr>
                <w:rFonts w:ascii="Times New Roman" w:cs="Times New Roman" w:eastAsia="Times New Roman" w:hAnsi="Times New Roman"/>
                <w:sz w:val="16"/>
                <w:szCs w:val="16"/>
                <w:b w:val="1"/>
                <w:bCs w:val="1"/>
                <w:color w:val="auto"/>
                <w:vertAlign w:val="superscript"/>
              </w:rPr>
              <w:t>(1)(2)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 / Corporate Notes—61.2%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3/1/2012</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CONSUMER PRODUCTS</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9.27%</w:t>
            </w:r>
            <w:r>
              <w:rPr>
                <w:rFonts w:ascii="Times New Roman" w:cs="Times New Roman" w:eastAsia="Times New Roman" w:hAnsi="Times New Roman"/>
                <w:sz w:val="17"/>
                <w:szCs w:val="17"/>
                <w:color w:val="auto"/>
                <w:vertAlign w:val="superscript"/>
              </w:rPr>
              <w:t>(6)</w:t>
            </w:r>
          </w:p>
        </w:tc>
        <w:tc>
          <w:tcPr>
            <w:tcW w:w="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L+750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21,787,179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4/17/2015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11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14.25%</w:t>
            </w:r>
            <w:r>
              <w:rPr>
                <w:rFonts w:ascii="Times New Roman" w:cs="Times New Roman" w:eastAsia="Times New Roman" w:hAnsi="Times New Roman"/>
                <w:sz w:val="17"/>
                <w:szCs w:val="17"/>
                <w:color w:val="auto"/>
                <w:vertAlign w:val="superscript"/>
              </w:rPr>
              <w:t>(6)</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8,109,468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7,976,044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3/19/2014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14.00%</w:t>
            </w:r>
            <w:r>
              <w:rPr>
                <w:rFonts w:ascii="Times New Roman" w:cs="Times New Roman" w:eastAsia="Times New Roman" w:hAnsi="Times New Roman"/>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20,210,550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19,780,909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Digicel Ltd.</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4/1/2014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TELECOMMUNICATIONS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6/6/2014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14.75%</w:t>
            </w:r>
            <w:r>
              <w:rPr>
                <w:rFonts w:ascii="Times New Roman" w:cs="Times New Roman" w:eastAsia="Times New Roman" w:hAnsi="Times New Roman"/>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22,499,596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22,219,219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IDQ Holdings,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5/20/2012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AUTO SECTOR</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19,647,170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12/28/2015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EDUCATION</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10,259,430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10,129,726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Realogy Corp.</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BUILDINGS &amp; REAL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4/15/2015</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ESTATE</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12.38%</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26,531,029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Merger Sub,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10/1/2016</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INSURANCE</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20,197,856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20,020,106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Acquisition Sub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2/8/2015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20,531,948</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173,776,900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169,618,330</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151,216,708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Second Lien Secured Debt—41.9%</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Infrastucture Services,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2/7/2015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ENERGY/UTILITIES</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13,130,857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Infrastucture Services,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2/7/2015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ENERGY/UTILITIES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9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11,720,122</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Generics International (U.S.), Inc.</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4/30/2015</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HEALTHCARE,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EDUCATION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CHILDCARE</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8.10%</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L+750</w:t>
            </w:r>
          </w:p>
        </w:tc>
        <w:tc>
          <w:tcPr>
            <w:tcW w:w="2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8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11,953,089</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CARGO TRANSPORT</w:t>
            </w:r>
          </w:p>
        </w:tc>
        <w:tc>
          <w:tcPr>
            <w:tcW w:w="11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11.00%</w:t>
            </w:r>
            <w:r>
              <w:rPr>
                <w:rFonts w:ascii="Times New Roman" w:cs="Times New Roman" w:eastAsia="Times New Roman" w:hAnsi="Times New Roman"/>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1"/>
                <w:szCs w:val="11"/>
                <w:color w:val="auto"/>
              </w:rPr>
              <w:t>L+700</w:t>
            </w:r>
            <w:r>
              <w:rPr>
                <w:rFonts w:ascii="Times New Roman" w:cs="Times New Roman" w:eastAsia="Times New Roman" w:hAnsi="Times New Roman"/>
                <w:sz w:val="17"/>
                <w:szCs w:val="17"/>
                <w:color w:val="auto"/>
                <w:vertAlign w:val="superscript"/>
              </w:rPr>
              <w:t>(8)</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11/4/2014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6.91%</w:t>
            </w:r>
            <w:r>
              <w:rPr>
                <w:rFonts w:ascii="Times New Roman" w:cs="Times New Roman" w:eastAsia="Times New Roman" w:hAnsi="Times New Roman"/>
                <w:sz w:val="17"/>
                <w:szCs w:val="17"/>
                <w:color w:val="auto"/>
                <w:vertAlign w:val="superscript"/>
              </w:rPr>
              <w:t>(7)</w:t>
            </w:r>
          </w:p>
        </w:tc>
        <w:tc>
          <w:tcPr>
            <w:tcW w:w="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L+650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5/15/2017</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TRANSPORTATION</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16,840,878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5/15/2015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TRANSPORTATION</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L+775</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9,965,034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Sheridan Holdings, Inc.</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6/15/2015</w:t>
            </w:r>
          </w:p>
        </w:tc>
        <w:tc>
          <w:tcPr>
            <w:tcW w:w="2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HEALTHCARE,</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EDUCATION &amp;</w:t>
            </w: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6.07%</w:t>
            </w:r>
            <w:r>
              <w:rPr>
                <w:rFonts w:ascii="Times New Roman" w:cs="Times New Roman" w:eastAsia="Times New Roman" w:hAnsi="Times New Roman"/>
                <w:sz w:val="22"/>
                <w:szCs w:val="22"/>
                <w:color w:val="auto"/>
                <w:vertAlign w:val="superscript"/>
              </w:rPr>
              <w:t>(6)</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CHILDCARE</w:t>
            </w:r>
          </w:p>
        </w:tc>
        <w:tc>
          <w:tcPr>
            <w:tcW w:w="1180" w:type="dxa"/>
            <w:vAlign w:val="bottom"/>
            <w:gridSpan w:val="3"/>
            <w:vMerge w:val="continue"/>
          </w:tcPr>
          <w:p>
            <w:pPr>
              <w:spacing w:after="0"/>
              <w:rPr>
                <w:sz w:val="14"/>
                <w:szCs w:val="14"/>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L+575</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21,500,000</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18,786,899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18,253,500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Specialized Technology Resources,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CHEMICALS, PLASTICS</w:t>
            </w: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7.31%</w:t>
            </w:r>
            <w:r>
              <w:rPr>
                <w:rFonts w:ascii="Times New Roman" w:cs="Times New Roman" w:eastAsia="Times New Roman" w:hAnsi="Times New Roman"/>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12/15/2014</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&amp; RUBBER</w:t>
            </w:r>
          </w:p>
        </w:tc>
        <w:tc>
          <w:tcPr>
            <w:tcW w:w="1180" w:type="dxa"/>
            <w:vAlign w:val="bottom"/>
            <w:gridSpan w:val="3"/>
            <w:vMerge w:val="continue"/>
            <w:shd w:val="clear" w:color="auto" w:fill="CCEEFF"/>
          </w:tcPr>
          <w:p>
            <w:pPr>
              <w:spacing w:after="0"/>
              <w:rPr>
                <w:sz w:val="14"/>
                <w:szCs w:val="14"/>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L+700</w:t>
            </w:r>
          </w:p>
        </w:tc>
        <w:tc>
          <w:tcPr>
            <w:tcW w:w="2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8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22,487,594</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TransFirst Holdings,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6/15/2015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FINANCIAL SERVICES</w:t>
            </w:r>
          </w:p>
        </w:tc>
        <w:tc>
          <w:tcPr>
            <w:tcW w:w="11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1"/>
                <w:szCs w:val="11"/>
                <w:color w:val="auto"/>
              </w:rPr>
              <w:t>7.06%</w:t>
            </w:r>
            <w:r>
              <w:rPr>
                <w:rFonts w:ascii="Times New Roman" w:cs="Times New Roman" w:eastAsia="Times New Roman" w:hAnsi="Times New Roman"/>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L+675</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15,936,742</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13,909,500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139,282,000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133,003,215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103,370,200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Preferred Equity / Partnership Interests</w:t>
            </w:r>
            <w:r>
              <w:rPr>
                <w:rFonts w:ascii="Times New Roman" w:cs="Times New Roman" w:eastAsia="Times New Roman" w:hAnsi="Times New Roman"/>
                <w:sz w:val="16"/>
                <w:szCs w:val="16"/>
                <w:b w:val="1"/>
                <w:bCs w:val="1"/>
                <w:color w:val="auto"/>
                <w:vertAlign w:val="superscript"/>
              </w:rPr>
              <w:t>(7)</w:t>
            </w:r>
            <w:r>
              <w:rPr>
                <w:rFonts w:ascii="Times New Roman" w:cs="Times New Roman" w:eastAsia="Times New Roman" w:hAnsi="Times New Roman"/>
                <w:sz w:val="11"/>
                <w:szCs w:val="11"/>
                <w:b w:val="1"/>
                <w:bCs w:val="1"/>
                <w:color w:val="auto"/>
              </w:rPr>
              <w:t>—4.2%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CFHC Holdings, Inc. Class A (Consolidated Foundries,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797,288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TZ Holdings, L.P., Series A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685,820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Holdings, L.P., Series B (TZ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INSURANCE</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Holdings Inc., Class A-1 (UP Acquisition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2,499,066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VSS-AHC Holdings, L.L.C. (Advanstar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318,896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Preferred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4,054,722</w:t>
            </w:r>
          </w:p>
        </w:tc>
        <w:tc>
          <w:tcPr>
            <w:tcW w:w="2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9,573,076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10,259,189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Common Equity / Partnership Interests</w:t>
            </w:r>
            <w:r>
              <w:rPr>
                <w:rFonts w:ascii="Times New Roman" w:cs="Times New Roman" w:eastAsia="Times New Roman" w:hAnsi="Times New Roman"/>
                <w:sz w:val="17"/>
                <w:szCs w:val="17"/>
                <w:b w:val="1"/>
                <w:bCs w:val="1"/>
                <w:color w:val="auto"/>
                <w:vertAlign w:val="superscript"/>
              </w:rPr>
              <w:t>(7)</w:t>
            </w:r>
            <w:r>
              <w:rPr>
                <w:rFonts w:ascii="Times New Roman" w:cs="Times New Roman" w:eastAsia="Times New Roman" w:hAnsi="Times New Roman"/>
                <w:sz w:val="11"/>
                <w:szCs w:val="11"/>
                <w:b w:val="1"/>
                <w:bCs w:val="1"/>
                <w:color w:val="auto"/>
              </w:rPr>
              <w:t>—5.5%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AHC Mezzanine (Advanstar,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3,005,163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CFHC Holdings, Inc. (Consolidated Foundries,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CT Technologies Holdings, L.L.C (CT Technologies Intermediate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Holdings, Inc.)</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BUSINESS SERVICES</w:t>
            </w:r>
          </w:p>
        </w:tc>
        <w:tc>
          <w:tcPr>
            <w:tcW w:w="20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3,200,000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6,462,006</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9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8"/>
              </w:rPr>
              <w:t>Fair Value</w:t>
            </w:r>
            <w:r>
              <w:rPr>
                <w:rFonts w:ascii="Times New Roman" w:cs="Times New Roman" w:eastAsia="Times New Roman" w:hAnsi="Times New Roman"/>
                <w:sz w:val="22"/>
                <w:szCs w:val="22"/>
                <w:b w:val="1"/>
                <w:bCs w:val="1"/>
                <w:color w:val="auto"/>
                <w:w w:val="88"/>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9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Common Equity / Partnership Interests</w:t>
            </w:r>
            <w:r>
              <w:rPr>
                <w:rFonts w:ascii="Times New Roman" w:cs="Times New Roman" w:eastAsia="Times New Roman" w:hAnsi="Times New Roman"/>
                <w:sz w:val="16"/>
                <w:szCs w:val="16"/>
                <w:b w:val="1"/>
                <w:bCs w:val="1"/>
                <w:color w:val="auto"/>
                <w:vertAlign w:val="superscript"/>
              </w:rPr>
              <w:t>(7)</w:t>
            </w:r>
            <w:r>
              <w:rPr>
                <w:rFonts w:ascii="Times New Roman" w:cs="Times New Roman" w:eastAsia="Times New Roman" w:hAnsi="Times New Roman"/>
                <w:sz w:val="11"/>
                <w:szCs w:val="11"/>
                <w:b w:val="1"/>
                <w:bCs w:val="1"/>
                <w:color w:val="auto"/>
              </w:rPr>
              <w:t>—(Continued)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AEROSPACE &amp; DEFENSE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440,000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2,467,643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Transportation 100 Holdco, L.L.C. (Greatwide Logistics Services,</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L.L.C.)</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CARGO TRANSPORT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106,299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1,779,455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TZ Holdings, L.P.,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6,467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UP Holdings Inc., (UP Acquisition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OIL &amp; GAS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Common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648,092</w:t>
            </w: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8,448,272</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13,704,085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Equity—Warrants</w:t>
            </w:r>
            <w:r>
              <w:rPr>
                <w:rFonts w:ascii="Times New Roman" w:cs="Times New Roman" w:eastAsia="Times New Roman" w:hAnsi="Times New Roman"/>
                <w:sz w:val="17"/>
                <w:szCs w:val="17"/>
                <w:b w:val="1"/>
                <w:bCs w:val="1"/>
                <w:color w:val="auto"/>
                <w:vertAlign w:val="superscript"/>
              </w:rPr>
              <w:t>(7)</w:t>
            </w:r>
            <w:r>
              <w:rPr>
                <w:rFonts w:ascii="Times New Roman" w:cs="Times New Roman" w:eastAsia="Times New Roman" w:hAnsi="Times New Roman"/>
                <w:sz w:val="11"/>
                <w:szCs w:val="11"/>
                <w:b w:val="1"/>
                <w:bCs w:val="1"/>
                <w:color w:val="auto"/>
              </w:rPr>
              <w:t>—0.0%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VSS-AHC HOLDINGS, LLC (expires 11/6/18)</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Debt—40.0%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1-800 Contacts,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3/4/2015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DISTRIBUTION</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1"/>
                <w:szCs w:val="11"/>
                <w:color w:val="auto"/>
              </w:rPr>
              <w:t>P+295</w:t>
            </w:r>
            <w:r>
              <w:rPr>
                <w:rFonts w:ascii="Times New Roman" w:cs="Times New Roman" w:eastAsia="Times New Roman" w:hAnsi="Times New Roman"/>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$ 13,964,912</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11,852,349</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5/28/2013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RETAIL STORE</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7,877,863</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7,871,705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EnviroSolutions, Inc.</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ENVIRONMENTAL</w:t>
            </w: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11.00%</w:t>
            </w:r>
            <w:r>
              <w:rPr>
                <w:rFonts w:ascii="Times New Roman" w:cs="Times New Roman" w:eastAsia="Times New Roman" w:hAnsi="Times New Roman"/>
                <w:sz w:val="22"/>
                <w:szCs w:val="22"/>
                <w:color w:val="auto"/>
                <w:vertAlign w:val="superscript"/>
              </w:rPr>
              <w:t>(6)</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87"/>
              </w:rPr>
              <w:t>L+775</w:t>
            </w:r>
            <w:r>
              <w:rPr>
                <w:rFonts w:ascii="Times New Roman" w:cs="Times New Roman" w:eastAsia="Times New Roman" w:hAnsi="Times New Roman"/>
                <w:sz w:val="22"/>
                <w:szCs w:val="22"/>
                <w:color w:val="auto"/>
                <w:w w:val="87"/>
                <w:vertAlign w:val="superscript"/>
              </w:rPr>
              <w:t>(8)</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7/7/2012</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SERVICES</w:t>
            </w:r>
          </w:p>
        </w:tc>
        <w:tc>
          <w:tcPr>
            <w:tcW w:w="11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14,122,062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13,281,220</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14,122,062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3/8/2014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9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8,865,000</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8,865,000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4/15/2014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TELECOMMUNICATIONS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L+250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Jacuzzi Brands Corp.</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2/7/2014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PRODUCTS</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2.58%</w:t>
            </w:r>
          </w:p>
        </w:tc>
        <w:tc>
          <w:tcPr>
            <w:tcW w:w="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5"/>
              </w:rPr>
              <w:t>L+225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9,835,811</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9,835,811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4,081,861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Levlad, L.L.C.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CONSUMER PRODUCTS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L+475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4,446,133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4,446,133</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Lyondell Chemical Co.</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12/15/2009</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CHEMICALS, PLASTICS</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2"/>
              </w:rPr>
              <w:t>L+1,000</w:t>
            </w:r>
            <w:r>
              <w:rPr>
                <w:rFonts w:ascii="Times New Roman" w:cs="Times New Roman" w:eastAsia="Times New Roman" w:hAnsi="Times New Roman"/>
                <w:sz w:val="22"/>
                <w:szCs w:val="22"/>
                <w:color w:val="auto"/>
                <w:w w:val="92"/>
                <w:vertAlign w:val="superscript"/>
              </w:rPr>
              <w:t>(8)</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&amp; RUBBER</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13.00%</w:t>
            </w: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12,668,615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12,862,512</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13,037,589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tcPr>
          <w:p>
            <w:pPr>
              <w:spacing w:after="0" w:line="136" w:lineRule="exact"/>
              <w:rPr>
                <w:sz w:val="20"/>
                <w:szCs w:val="20"/>
                <w:color w:val="auto"/>
              </w:rPr>
            </w:pPr>
            <w:r>
              <w:rPr>
                <w:rFonts w:ascii="Times New Roman" w:cs="Times New Roman" w:eastAsia="Times New Roman" w:hAnsi="Times New Roman"/>
                <w:sz w:val="10"/>
                <w:szCs w:val="10"/>
                <w:color w:val="auto"/>
              </w:rPr>
              <w:t>Lyondell Chemical Co.</w:t>
            </w:r>
            <w:r>
              <w:rPr>
                <w:rFonts w:ascii="Times New Roman" w:cs="Times New Roman" w:eastAsia="Times New Roman" w:hAnsi="Times New Roman"/>
                <w:sz w:val="15"/>
                <w:szCs w:val="15"/>
                <w:color w:val="auto"/>
                <w:vertAlign w:val="superscript"/>
              </w:rPr>
              <w:t>(9)</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12/15/2009</w:t>
            </w:r>
          </w:p>
        </w:tc>
        <w:tc>
          <w:tcPr>
            <w:tcW w:w="22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CHEMICALS, PLASTICS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&amp; RUBBER</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6,331,385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6,382,317</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6,515,786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Mattress Holding Corp.</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1/18/2014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PRODUCTS</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5"/>
              </w:rPr>
              <w:t>L+225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3,920,175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3,920,175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3/28/2014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L+200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1,915,102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1,915,102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National Bedding Co., L.L.C.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2/28/2013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PRODUCTS</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2.38%</w:t>
            </w:r>
          </w:p>
        </w:tc>
        <w:tc>
          <w:tcPr>
            <w:tcW w:w="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5"/>
              </w:rPr>
              <w:t>L+200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6,842,500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6,847,056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5,838,931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Penton Media,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2/1/2013</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4,887,500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4,887,500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3/16/2014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CONSUMER PRODUCTS</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9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L+200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1,426,506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1,426,506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Quebecor World, Inc.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7/21/2012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PRINTING</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L+600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5/4/2014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L+200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4,886,667</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4,886,667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Rexair, L.L.C.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6/30/2010</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RETAIL</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L+425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2,658,369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1,991,445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Rexnord, L.L.C.</w:t>
            </w:r>
          </w:p>
        </w:tc>
        <w:tc>
          <w:tcPr>
            <w:tcW w:w="6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7/19/2013</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MANUFACTURING/</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BASIC INDUSTRY</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2.31%</w:t>
            </w:r>
          </w:p>
        </w:tc>
        <w:tc>
          <w:tcPr>
            <w:tcW w:w="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5"/>
              </w:rPr>
              <w:t>L+200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2,895,305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2,895,305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1/30/2014</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18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L+550</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118,726,233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114,999,131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98,832,723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8"/>
              </w:rPr>
              <w:t>Fair Value</w:t>
            </w:r>
            <w:r>
              <w:rPr>
                <w:rFonts w:ascii="Times New Roman" w:cs="Times New Roman" w:eastAsia="Times New Roman" w:hAnsi="Times New Roman"/>
                <w:sz w:val="22"/>
                <w:szCs w:val="22"/>
                <w:b w:val="1"/>
                <w:bCs w:val="1"/>
                <w:color w:val="auto"/>
                <w:w w:val="88"/>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Investments in Non-Controlled, Non-Affiliated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435,642,024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377,382,905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gridSpan w:val="2"/>
          </w:tcPr>
          <w:p>
            <w:pPr>
              <w:spacing w:after="0" w:line="156" w:lineRule="exact"/>
              <w:rPr>
                <w:sz w:val="20"/>
                <w:szCs w:val="20"/>
                <w:color w:val="auto"/>
              </w:rPr>
            </w:pPr>
            <w:r>
              <w:rPr>
                <w:rFonts w:ascii="Times New Roman" w:cs="Times New Roman" w:eastAsia="Times New Roman" w:hAnsi="Times New Roman"/>
                <w:sz w:val="12"/>
                <w:szCs w:val="12"/>
                <w:b w:val="1"/>
                <w:bCs w:val="1"/>
                <w:color w:val="auto"/>
              </w:rPr>
              <w:t>Investments in Non-Controlled, Affiliated Portfolio Companies—6.4%</w:t>
            </w:r>
            <w:r>
              <w:rPr>
                <w:rFonts w:ascii="Times New Roman" w:cs="Times New Roman" w:eastAsia="Times New Roman" w:hAnsi="Times New Roman"/>
                <w:sz w:val="18"/>
                <w:szCs w:val="18"/>
                <w:b w:val="1"/>
                <w:bCs w:val="1"/>
                <w:color w:val="auto"/>
                <w:vertAlign w:val="superscript"/>
              </w:rPr>
              <w:t>(1)(2)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 / Corporate Notes—2.0%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Performance Holdings, Inc.</w:t>
            </w:r>
          </w:p>
        </w:tc>
        <w:tc>
          <w:tcPr>
            <w:tcW w:w="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7/2/2014</w:t>
            </w:r>
          </w:p>
        </w:tc>
        <w:tc>
          <w:tcPr>
            <w:tcW w:w="10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LEISURE,</w:t>
            </w:r>
          </w:p>
        </w:tc>
        <w:tc>
          <w:tcPr>
            <w:tcW w:w="100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10"/>
                <w:szCs w:val="10"/>
                <w:color w:val="auto"/>
              </w:rPr>
              <w:t>14.25%</w:t>
            </w:r>
            <w:r>
              <w:rPr>
                <w:rFonts w:ascii="Times New Roman" w:cs="Times New Roman" w:eastAsia="Times New Roman" w:hAnsi="Times New Roman"/>
                <w:sz w:val="15"/>
                <w:szCs w:val="15"/>
                <w:color w:val="auto"/>
                <w:vertAlign w:val="superscript"/>
              </w:rPr>
              <w:t>(6)</w:t>
            </w:r>
          </w:p>
        </w:tc>
        <w:tc>
          <w:tcPr>
            <w:tcW w:w="70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$ 4,903,147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4,700,193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4,817,342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Second Lien Secured Debt—3.2%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Performance, Inc.</w:t>
            </w:r>
          </w:p>
        </w:tc>
        <w:tc>
          <w:tcPr>
            <w:tcW w:w="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7/2/2013</w:t>
            </w:r>
          </w:p>
        </w:tc>
        <w:tc>
          <w:tcPr>
            <w:tcW w:w="10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LEISURE,</w:t>
            </w:r>
          </w:p>
        </w:tc>
        <w:tc>
          <w:tcPr>
            <w:tcW w:w="1000" w:type="dxa"/>
            <w:vAlign w:val="bottom"/>
            <w:gridSpan w:val="3"/>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6.78%</w:t>
            </w: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L+575</w:t>
            </w:r>
          </w:p>
        </w:tc>
        <w:tc>
          <w:tcPr>
            <w:tcW w:w="8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7,848,750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Common Equity / Partnership Interests</w:t>
            </w:r>
            <w:r>
              <w:rPr>
                <w:rFonts w:ascii="Times New Roman" w:cs="Times New Roman" w:eastAsia="Times New Roman" w:hAnsi="Times New Roman"/>
                <w:sz w:val="16"/>
                <w:szCs w:val="16"/>
                <w:b w:val="1"/>
                <w:bCs w:val="1"/>
                <w:color w:val="auto"/>
                <w:vertAlign w:val="superscript"/>
              </w:rPr>
              <w:t>(7)</w:t>
            </w:r>
            <w:r>
              <w:rPr>
                <w:rFonts w:ascii="Times New Roman" w:cs="Times New Roman" w:eastAsia="Times New Roman" w:hAnsi="Times New Roman"/>
                <w:sz w:val="11"/>
                <w:szCs w:val="11"/>
                <w:b w:val="1"/>
                <w:bCs w:val="1"/>
                <w:color w:val="auto"/>
              </w:rPr>
              <w:t>—1.2%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NCP-Performance (Performance Holdings, Inc.)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LEISURE,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37,500</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3,750,000</w:t>
            </w:r>
          </w:p>
        </w:tc>
        <w:tc>
          <w:tcPr>
            <w:tcW w:w="16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3,089,234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 Non-Controlled, 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17,200,193</w:t>
            </w:r>
          </w:p>
        </w:tc>
        <w:tc>
          <w:tcPr>
            <w:tcW w:w="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15,755,326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Investments—159.2%</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452,842,217</w:t>
            </w:r>
          </w:p>
        </w:tc>
        <w:tc>
          <w:tcPr>
            <w:tcW w:w="1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393,138,231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Equivalents—0.2%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541,136</w:t>
            </w:r>
          </w:p>
        </w:tc>
        <w:tc>
          <w:tcPr>
            <w:tcW w:w="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and Cash Equivalents—159.4%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453,383,353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393,679,367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 in Excess of Other</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Assets—(59.4%)</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(146,702,127)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Assets—100.0%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246,977,240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right="30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Valued based on our accounting policy (see Note 2 to our financial statements).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Times New Roman" w:cs="Times New Roman" w:eastAsia="Times New Roman" w:hAnsi="Times New Roman"/>
          <w:sz w:val="12"/>
          <w:szCs w:val="12"/>
          <w:color w:val="auto"/>
        </w:rPr>
      </w:pPr>
    </w:p>
    <w:p>
      <w:pPr>
        <w:ind w:left="340" w:right="30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Coupon payable in cash and/or payment-in-kind (“PIK”).</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LIBOR or Prime rate floor applies.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purchases of securities with delayed settlement. These securities do not have a basis point spread above index.</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3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9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22"/>
                <w:szCs w:val="22"/>
                <w:b w:val="1"/>
                <w:bCs w:val="1"/>
                <w:color w:val="auto"/>
                <w:w w:val="95"/>
                <w:vertAlign w:val="superscript"/>
              </w:rPr>
              <w:t>(3)</w:t>
            </w:r>
          </w:p>
        </w:tc>
        <w:tc>
          <w:tcPr>
            <w:tcW w:w="0" w:type="dxa"/>
            <w:vAlign w:val="bottom"/>
          </w:tcPr>
          <w:p>
            <w:pPr>
              <w:spacing w:after="0"/>
              <w:rPr>
                <w:sz w:val="1"/>
                <w:szCs w:val="1"/>
                <w:color w:val="auto"/>
              </w:rPr>
            </w:pPr>
          </w:p>
        </w:tc>
      </w:tr>
      <w:tr>
        <w:trPr>
          <w:trHeight w:val="176"/>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4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4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Investments in Non-Controlled, Non-Affiliated Portfolio Companies—168.1%</w:t>
            </w:r>
            <w:r>
              <w:rPr>
                <w:rFonts w:ascii="Times New Roman" w:cs="Times New Roman" w:eastAsia="Times New Roman" w:hAnsi="Times New Roman"/>
                <w:sz w:val="16"/>
                <w:szCs w:val="16"/>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 / Corporate Notes—76.8%</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Advanstar,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11/30/2015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10.76%</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16,268,634</w:t>
            </w:r>
          </w:p>
        </w:tc>
        <w:tc>
          <w:tcPr>
            <w:tcW w:w="3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16,268,634</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Affinion Group Holdings,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03/01/2012</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3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9.37%</w:t>
            </w:r>
            <w:r>
              <w:rPr>
                <w:rFonts w:ascii="Times New Roman" w:cs="Times New Roman" w:eastAsia="Times New Roman" w:hAnsi="Times New Roman"/>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L+625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21,587,384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Foundries,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04/17/2015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14.25%</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7,831,761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CT Technologies Intermediate Holdings,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03/19/2014</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3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14.00%</w:t>
            </w:r>
            <w:r>
              <w:rPr>
                <w:rFonts w:ascii="Times New Roman" w:cs="Times New Roman" w:eastAsia="Times New Roman" w:hAnsi="Times New Roman"/>
                <w:sz w:val="17"/>
                <w:szCs w:val="17"/>
                <w:color w:val="auto"/>
                <w:vertAlign w:val="superscript"/>
              </w:rPr>
              <w:t>(6)</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19,502,246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i2 Holdings Ltd.</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06/06/2014</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14.75%</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22,041,438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21,649,325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IDQ Holdings,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05/20/2012</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Auto Sector</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19,555,782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Learning Care Group,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12/28/2015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Education</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10,067,361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9,922,722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Realogy Corp.</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04/15/2015</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Buildings and Real Estate</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26,337,698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Merger Sub,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10/01/2016</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13.50%</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19,811,785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Acquisitions Sub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02/08/2015</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20,428,146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Subordinated Debt / Corporate Notes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187,877,433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182,895,483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Second Lien Secured Debt—45.5%</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Infrastructure Services,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02/07/2015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Energy / Utilities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11,682,795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Brand Energy and Infrastructure Services,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02/07/2015</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Energy / Utilities</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9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13,068,290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Generics International (U.S.),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04/30/2015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Healthcare, Education and Childcare</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L+750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11,947,073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11/04/2014</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9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L+650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05/15/2015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L+775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9,951,058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auto"/>
              </w:rPr>
              <w:t>Saint Acquisition Corp.</w:t>
            </w:r>
            <w:r>
              <w:rPr>
                <w:rFonts w:ascii="Times New Roman" w:cs="Times New Roman" w:eastAsia="Times New Roman" w:hAnsi="Times New Roman"/>
                <w:sz w:val="17"/>
                <w:szCs w:val="17"/>
                <w:color w:val="auto"/>
                <w:vertAlign w:val="superscript"/>
              </w:rPr>
              <w:t>(5)</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05/15/2017</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Transportation</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16,565,952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Sheridan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Healthcare, Education and Childcare</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8.54%</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L+575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11,838,114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Specialized Technology Resources,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12/15/2014</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Chemical, Plastics and Rubber</w:t>
            </w:r>
          </w:p>
        </w:tc>
        <w:tc>
          <w:tcPr>
            <w:tcW w:w="13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10.70%</w:t>
            </w:r>
            <w:r>
              <w:rPr>
                <w:rFonts w:ascii="Times New Roman" w:cs="Times New Roman" w:eastAsia="Times New Roman" w:hAnsi="Times New Roman"/>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L+700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22,485,895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TransFirst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Financial Services</w:t>
            </w:r>
          </w:p>
        </w:tc>
        <w:tc>
          <w:tcPr>
            <w:tcW w:w="13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1"/>
                <w:szCs w:val="11"/>
                <w:color w:val="auto"/>
              </w:rPr>
              <w:t>9.77%</w:t>
            </w:r>
            <w:r>
              <w:rPr>
                <w:rFonts w:ascii="Times New Roman" w:cs="Times New Roman" w:eastAsia="Times New Roman" w:hAnsi="Times New Roman"/>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L+600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15,866,044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Second Lien Secured Debt</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128,100,000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123,405,221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95,894,500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Basis Point</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7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108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Value</w:t>
            </w:r>
            <w:r>
              <w:rPr>
                <w:rFonts w:ascii="Times New Roman" w:cs="Times New Roman" w:eastAsia="Times New Roman" w:hAnsi="Times New Roman"/>
                <w:sz w:val="22"/>
                <w:szCs w:val="22"/>
                <w:b w:val="1"/>
                <w:bCs w:val="1"/>
                <w:color w:val="auto"/>
                <w:w w:val="92"/>
                <w:vertAlign w:val="superscript"/>
              </w:rPr>
              <w:t>(3)</w:t>
            </w:r>
          </w:p>
        </w:tc>
        <w:tc>
          <w:tcPr>
            <w:tcW w:w="0" w:type="dxa"/>
            <w:vAlign w:val="bottom"/>
          </w:tcPr>
          <w:p>
            <w:pPr>
              <w:spacing w:after="0"/>
              <w:rPr>
                <w:sz w:val="1"/>
                <w:szCs w:val="1"/>
                <w:color w:val="auto"/>
              </w:rPr>
            </w:pPr>
          </w:p>
        </w:tc>
      </w:tr>
      <w:tr>
        <w:trPr>
          <w:trHeight w:val="17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340" w:type="dxa"/>
            <w:vAlign w:val="bottom"/>
          </w:tcPr>
          <w:p>
            <w:pPr>
              <w:spacing w:after="0"/>
              <w:rPr>
                <w:sz w:val="15"/>
                <w:szCs w:val="15"/>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1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Preferred Equity—4.4%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CFHC Holdings, Inc., Class A (Consolidated Foundries,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Aerospace and</w:t>
            </w:r>
          </w:p>
        </w:tc>
        <w:tc>
          <w:tcPr>
            <w:tcW w:w="15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12.00%</w:t>
            </w:r>
            <w:r>
              <w:rPr>
                <w:rFonts w:ascii="Times New Roman" w:cs="Times New Roman" w:eastAsia="Times New Roman" w:hAnsi="Times New Roman"/>
                <w:sz w:val="22"/>
                <w:szCs w:val="22"/>
                <w:color w:val="auto"/>
                <w:vertAlign w:val="superscript"/>
              </w:rPr>
              <w:t>(6)</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Inc.)</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Defense</w:t>
            </w:r>
          </w:p>
        </w:tc>
        <w:tc>
          <w:tcPr>
            <w:tcW w:w="1520" w:type="dxa"/>
            <w:vAlign w:val="bottom"/>
            <w:gridSpan w:val="3"/>
            <w:vMerge w:val="continue"/>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841,927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841,927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i2 Holdings Ltd.</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Aerospace and</w:t>
            </w:r>
          </w:p>
        </w:tc>
        <w:tc>
          <w:tcPr>
            <w:tcW w:w="1520" w:type="dxa"/>
            <w:vAlign w:val="bottom"/>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12.00%</w:t>
            </w:r>
            <w:r>
              <w:rPr>
                <w:rFonts w:ascii="Times New Roman" w:cs="Times New Roman" w:eastAsia="Times New Roman" w:hAnsi="Times New Roman"/>
                <w:sz w:val="22"/>
                <w:szCs w:val="22"/>
                <w:color w:val="auto"/>
                <w:vertAlign w:val="superscript"/>
              </w:rPr>
              <w:t>(6)</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Defense</w:t>
            </w:r>
          </w:p>
        </w:tc>
        <w:tc>
          <w:tcPr>
            <w:tcW w:w="1520" w:type="dxa"/>
            <w:vAlign w:val="bottom"/>
            <w:gridSpan w:val="3"/>
            <w:vMerge w:val="continue"/>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3,960,000</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3,960,000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TZ Holdings, L.P., Series A (TZ Merger Sub, Inc.)</w:t>
            </w:r>
          </w:p>
        </w:tc>
        <w:tc>
          <w:tcPr>
            <w:tcW w:w="10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 xml:space="preserve"> (7)</w:t>
            </w: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685,820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Holdings, L.P., Series B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1520" w:type="dxa"/>
            <w:vAlign w:val="bottom"/>
            <w:gridSpan w:val="3"/>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1"/>
                <w:szCs w:val="11"/>
                <w:color w:val="auto"/>
              </w:rPr>
              <w:t>6.50%</w:t>
            </w:r>
            <w:r>
              <w:rPr>
                <w:rFonts w:ascii="Times New Roman" w:cs="Times New Roman" w:eastAsia="Times New Roman" w:hAnsi="Times New Roman"/>
                <w:sz w:val="17"/>
                <w:szCs w:val="17"/>
                <w:color w:val="auto"/>
                <w:vertAlign w:val="superscript"/>
              </w:rPr>
              <w:t>(6)</w:t>
            </w:r>
          </w:p>
        </w:tc>
        <w:tc>
          <w:tcPr>
            <w:tcW w:w="10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1,312,006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Holdings Inc., Class A-1 (UP Acquisitions Sub Inc.)</w:t>
            </w:r>
          </w:p>
        </w:tc>
        <w:tc>
          <w:tcPr>
            <w:tcW w:w="10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152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1"/>
                <w:szCs w:val="11"/>
                <w:color w:val="auto"/>
              </w:rPr>
              <w:t>8.00%</w:t>
            </w:r>
            <w:r>
              <w:rPr>
                <w:rFonts w:ascii="Times New Roman" w:cs="Times New Roman" w:eastAsia="Times New Roman" w:hAnsi="Times New Roman"/>
                <w:sz w:val="17"/>
                <w:szCs w:val="17"/>
                <w:color w:val="auto"/>
                <w:vertAlign w:val="superscript"/>
              </w:rPr>
              <w:t>(6)</w:t>
            </w: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2,499,066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4,054,448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9,298,819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Equity/Partnership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Interest</w:t>
            </w:r>
            <w:r>
              <w:rPr>
                <w:rFonts w:ascii="Times New Roman" w:cs="Times New Roman" w:eastAsia="Times New Roman" w:hAnsi="Times New Roman"/>
                <w:sz w:val="20"/>
                <w:szCs w:val="20"/>
                <w:b w:val="1"/>
                <w:bCs w:val="1"/>
                <w:color w:val="auto"/>
                <w:vertAlign w:val="superscript"/>
              </w:rPr>
              <w:t>(7)</w:t>
            </w:r>
            <w:r>
              <w:rPr>
                <w:rFonts w:ascii="Times New Roman" w:cs="Times New Roman" w:eastAsia="Times New Roman" w:hAnsi="Times New Roman"/>
                <w:sz w:val="13"/>
                <w:szCs w:val="13"/>
                <w:b w:val="1"/>
                <w:bCs w:val="1"/>
                <w:color w:val="auto"/>
              </w:rPr>
              <w:t>—4.0%</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AHC Mezzanine</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(Advanstar Inc.)</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Other Media</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CFHC Holdings, Inc., (Consolidated Foundries,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Defense</w:t>
            </w:r>
          </w:p>
        </w:tc>
        <w:tc>
          <w:tcPr>
            <w:tcW w:w="34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16,271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149,557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CT Technologies Holdings, LLC (CT Technologies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Business</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Intermediate Holdings, Inc.)</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Services</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i2 Holdings Ltd.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Defense</w:t>
            </w:r>
          </w:p>
        </w:tc>
        <w:tc>
          <w:tcPr>
            <w:tcW w:w="34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440,000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TZ Holdings, L.P.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 Holdings Inc. (UP Acquisitions Sub Inc.)</w:t>
            </w:r>
          </w:p>
        </w:tc>
        <w:tc>
          <w:tcPr>
            <w:tcW w:w="10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Oil and Gas</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541,793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6,659,360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Debt—37.4%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Burlington Coat Factory Warehouse Corp.</w:t>
            </w: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05/28/2013</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Retail Store</w:t>
            </w:r>
          </w:p>
        </w:tc>
        <w:tc>
          <w:tcPr>
            <w:tcW w:w="152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7,896,473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7,889,120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Cohr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Healthcare,</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Education and</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01/31/2013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Childcare</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5.35%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L+250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2,955,000</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2,955,000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EnviroSolutions,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Environmental</w:t>
            </w:r>
          </w:p>
        </w:tc>
        <w:tc>
          <w:tcPr>
            <w:tcW w:w="15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12.04%</w:t>
            </w:r>
            <w:r>
              <w:rPr>
                <w:rFonts w:ascii="Times New Roman" w:cs="Times New Roman" w:eastAsia="Times New Roman" w:hAnsi="Times New Roman"/>
                <w:sz w:val="22"/>
                <w:szCs w:val="22"/>
                <w:color w:val="auto"/>
                <w:vertAlign w:val="superscript"/>
              </w:rPr>
              <w:t>(6)</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L+825</w:t>
            </w:r>
            <w:r>
              <w:rPr>
                <w:rFonts w:ascii="Times New Roman" w:cs="Times New Roman" w:eastAsia="Times New Roman" w:hAnsi="Times New Roman"/>
                <w:sz w:val="22"/>
                <w:szCs w:val="22"/>
                <w:color w:val="auto"/>
                <w:vertAlign w:val="superscript"/>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08/07/2012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Services</w:t>
            </w:r>
          </w:p>
        </w:tc>
        <w:tc>
          <w:tcPr>
            <w:tcW w:w="152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14,014,177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12,965,204</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12,192,334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EnviroSolutions,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Environmental</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08/07/2012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Services</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12.25%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P+725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Gatehouse Media Operating, Inc.</w:t>
            </w: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08/28/2014</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Media</w:t>
            </w:r>
          </w:p>
        </w:tc>
        <w:tc>
          <w:tcPr>
            <w:tcW w:w="152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L+200</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Nutrition Centers, Inc.</w:t>
            </w:r>
          </w:p>
        </w:tc>
        <w:tc>
          <w:tcPr>
            <w:tcW w:w="10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09/16/2013</w:t>
            </w: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Retail Store</w:t>
            </w:r>
          </w:p>
        </w:tc>
        <w:tc>
          <w:tcPr>
            <w:tcW w:w="1520" w:type="dxa"/>
            <w:vAlign w:val="bottom"/>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L+225</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3,410,095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3,411,892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Greatwide Logistics Services,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Cargo</w:t>
            </w:r>
          </w:p>
        </w:tc>
        <w:tc>
          <w:tcPr>
            <w:tcW w:w="34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 xml:space="preserve"> (7)</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12/19/2013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Transport</w:t>
            </w:r>
          </w:p>
        </w:tc>
        <w:tc>
          <w:tcPr>
            <w:tcW w:w="3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6,912,500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6,912,500</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5,149,813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3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22"/>
                <w:szCs w:val="22"/>
                <w:b w:val="1"/>
                <w:bCs w:val="1"/>
                <w:color w:val="auto"/>
                <w:w w:val="95"/>
                <w:vertAlign w:val="superscript"/>
              </w:rPr>
              <w:t>(3)</w:t>
            </w:r>
          </w:p>
        </w:tc>
        <w:tc>
          <w:tcPr>
            <w:tcW w:w="0" w:type="dxa"/>
            <w:vAlign w:val="bottom"/>
          </w:tcPr>
          <w:p>
            <w:pPr>
              <w:spacing w:after="0"/>
              <w:rPr>
                <w:sz w:val="1"/>
                <w:szCs w:val="1"/>
                <w:color w:val="auto"/>
              </w:rPr>
            </w:pPr>
          </w:p>
        </w:tc>
      </w:tr>
      <w:tr>
        <w:trPr>
          <w:trHeight w:val="176"/>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First Lien Secured Debt—(Continued)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Hanley- Wood, L.L.C.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03/08/2014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8,932,500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8,932,500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Hughes Network Systems,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04/15/2014</w:t>
            </w: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Telecommunications</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L+250</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Home and Office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Durable 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Jacuzzi Brands Corp.</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02/07/2014</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Products</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5.35%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9,890,541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9,890,541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Levlad,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03/08/2014</w:t>
            </w: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4,564,563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4,564,563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Longview Power, L.L.C.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02/28/2014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Utilities</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Mattress Holding Corp.</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01/18/2014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Products</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5.96%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3,950,100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3,950,100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2,567,565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Mitchell International,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03/28/2014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3,940,000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4"/>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Bedding Co., L.L.C.</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02/28/2013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Products</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4.62%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L+200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6,900,583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5,274,675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Penton Media,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02/01/2013</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Philosophy,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03/16/2014</w:t>
            </w: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1,474,667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05/04/2014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Other Media</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L+300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4,924,167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4,924,167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8"/>
              </w:rPr>
              <w:t>Printing and</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Reader’s Digest Association, Inc.</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03/02/2014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Publishing</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4.71%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L+200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Manufacturing /</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Rexnord , L.L.C.</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07/19/2013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Basic Industry</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5.76%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L+200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2,917,576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2,917,576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01/30/2014</w:t>
            </w: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L+250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2,592,017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2,592,017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Sitel, L.L.C.</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01/30/2014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Business Services</w:t>
            </w:r>
          </w:p>
        </w:tc>
        <w:tc>
          <w:tcPr>
            <w:tcW w:w="13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P+150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106,271,980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105,222,862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78,844,929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Investments in Non-Controlled, Non-Affiliated Portfolio</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427,481,745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354,261,950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Investments in Non-Controlled, Affiliated Portfolio Companies—8.5%</w:t>
            </w:r>
            <w:r>
              <w:rPr>
                <w:rFonts w:ascii="Times New Roman" w:cs="Times New Roman" w:eastAsia="Times New Roman" w:hAnsi="Times New Roman"/>
                <w:sz w:val="17"/>
                <w:szCs w:val="17"/>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 / Corporate Notes—2.1%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Leisure,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Amusement, Motion</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Pictures,</w:t>
            </w:r>
          </w:p>
        </w:tc>
        <w:tc>
          <w:tcPr>
            <w:tcW w:w="134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14.25%</w:t>
            </w:r>
            <w:r>
              <w:rPr>
                <w:rFonts w:ascii="Times New Roman" w:cs="Times New Roman" w:eastAsia="Times New Roman" w:hAnsi="Times New Roman"/>
                <w:sz w:val="22"/>
                <w:szCs w:val="22"/>
                <w:color w:val="auto"/>
                <w:vertAlign w:val="superscript"/>
              </w:rPr>
              <w:t>(6)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Holdings, Inc.</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07/02/2014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Entertainment</w:t>
            </w:r>
          </w:p>
        </w:tc>
        <w:tc>
          <w:tcPr>
            <w:tcW w:w="1340" w:type="dxa"/>
            <w:vAlign w:val="bottom"/>
            <w:gridSpan w:val="3"/>
            <w:vMerge w:val="continue"/>
            <w:shd w:val="clear" w:color="auto" w:fill="CCEEFF"/>
          </w:tcPr>
          <w:p>
            <w:pPr>
              <w:spacing w:after="0"/>
              <w:rPr>
                <w:sz w:val="14"/>
                <w:szCs w:val="14"/>
                <w:color w:val="auto"/>
              </w:rPr>
            </w:pP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4,414,356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4,192,261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Basis Point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Spread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Above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Index</w:t>
            </w:r>
            <w:r>
              <w:rPr>
                <w:rFonts w:ascii="Times New Roman" w:cs="Times New Roman" w:eastAsia="Times New Roman" w:hAnsi="Times New Roman"/>
                <w:sz w:val="20"/>
                <w:szCs w:val="20"/>
                <w:b w:val="1"/>
                <w:bCs w:val="1"/>
                <w:color w:val="auto"/>
                <w:w w:val="97"/>
                <w:vertAlign w:val="superscript"/>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Second Lien Secured Debt—4.0%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Performance, Inc.</w:t>
            </w:r>
          </w:p>
        </w:tc>
        <w:tc>
          <w:tcPr>
            <w:tcW w:w="86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w w:val="97"/>
              </w:rPr>
              <w:t>07/02/2013</w:t>
            </w: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Leisure,</w:t>
            </w:r>
          </w:p>
        </w:tc>
        <w:tc>
          <w:tcPr>
            <w:tcW w:w="106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4"/>
                <w:szCs w:val="14"/>
                <w:color w:val="auto"/>
              </w:rPr>
              <w:t>8.55%</w:t>
            </w:r>
          </w:p>
        </w:tc>
        <w:tc>
          <w:tcPr>
            <w:tcW w:w="6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L+575</w:t>
            </w:r>
          </w:p>
        </w:tc>
        <w:tc>
          <w:tcPr>
            <w:tcW w:w="3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2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8,750,000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8,347,500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Entertainment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Common Equity/Partnership Interest</w:t>
            </w:r>
            <w:r>
              <w:rPr>
                <w:rFonts w:ascii="Times New Roman" w:cs="Times New Roman" w:eastAsia="Times New Roman" w:hAnsi="Times New Roman"/>
                <w:sz w:val="16"/>
                <w:szCs w:val="16"/>
                <w:b w:val="1"/>
                <w:bCs w:val="1"/>
                <w:color w:val="auto"/>
                <w:vertAlign w:val="superscript"/>
              </w:rPr>
              <w:t>(7)</w:t>
            </w:r>
            <w:r>
              <w:rPr>
                <w:rFonts w:ascii="Times New Roman" w:cs="Times New Roman" w:eastAsia="Times New Roman" w:hAnsi="Times New Roman"/>
                <w:sz w:val="11"/>
                <w:szCs w:val="11"/>
                <w:b w:val="1"/>
                <w:bCs w:val="1"/>
                <w:color w:val="auto"/>
              </w:rPr>
              <w:t>—2.4%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NCP-Performance (Performance Holdings, Inc.)</w:t>
            </w:r>
          </w:p>
        </w:tc>
        <w:tc>
          <w:tcPr>
            <w:tcW w:w="86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Leisure,</w:t>
            </w:r>
          </w:p>
        </w:tc>
        <w:tc>
          <w:tcPr>
            <w:tcW w:w="200" w:type="dxa"/>
            <w:vAlign w:val="bottom"/>
          </w:tcPr>
          <w:p>
            <w:pPr>
              <w:spacing w:after="0"/>
              <w:rPr>
                <w:sz w:val="11"/>
                <w:szCs w:val="11"/>
                <w:color w:val="auto"/>
              </w:rPr>
            </w:pPr>
          </w:p>
        </w:tc>
        <w:tc>
          <w:tcPr>
            <w:tcW w:w="860" w:type="dxa"/>
            <w:vAlign w:val="bottom"/>
            <w:gridSpan w:val="2"/>
          </w:tcPr>
          <w:p>
            <w:pPr>
              <w:ind w:left="3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37,500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3,750,000</w:t>
            </w:r>
          </w:p>
        </w:tc>
        <w:tc>
          <w:tcPr>
            <w:tcW w:w="1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Entertainment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in Non-Controlled, 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16,692,261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Investments—176.6%</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w w:val="97"/>
              </w:rPr>
              <w:t>444,174,006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372,147,820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Equivalents—19.1%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Money Market—Mutual Funds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40,249,201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Cash Equivalents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40,249,201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and Cash Equivalents—195.7%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w w:val="97"/>
              </w:rPr>
              <w:t>484,423,207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412,397,021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 in Excess of Other</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Assets—(95.7%)</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(201,668,761)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480"/>
              <w:spacing w:after="0" w:line="155" w:lineRule="exact"/>
              <w:rPr>
                <w:sz w:val="20"/>
                <w:szCs w:val="20"/>
                <w:color w:val="auto"/>
              </w:rPr>
            </w:pPr>
            <w:r>
              <w:rPr>
                <w:rFonts w:ascii="Times New Roman" w:cs="Times New Roman" w:eastAsia="Times New Roman" w:hAnsi="Times New Roman"/>
                <w:sz w:val="14"/>
                <w:szCs w:val="14"/>
                <w:b w:val="1"/>
                <w:bCs w:val="1"/>
                <w:color w:val="auto"/>
              </w:rPr>
              <w:t>Net Assets—100.0%</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210,728,260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right="300" w:hanging="332"/>
        <w:spacing w:after="0" w:line="241" w:lineRule="auto"/>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Valued based on our accounting policy (see Note 2 to our financial statements).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Times New Roman" w:cs="Times New Roman" w:eastAsia="Times New Roman" w:hAnsi="Times New Roman"/>
          <w:sz w:val="12"/>
          <w:szCs w:val="12"/>
          <w:color w:val="auto"/>
        </w:rPr>
      </w:pPr>
    </w:p>
    <w:p>
      <w:pPr>
        <w:ind w:left="340" w:right="300" w:hanging="332"/>
        <w:spacing w:after="0" w:line="241" w:lineRule="auto"/>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Coupon payable in cash and/or payment-in-kind (“PIK”).</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LIBOR floor applies.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2009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PennantPark Investment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92" w:lineRule="exact"/>
        <w:rPr>
          <w:sz w:val="20"/>
          <w:szCs w:val="20"/>
          <w:color w:val="auto"/>
        </w:rPr>
      </w:pPr>
    </w:p>
    <w:p>
      <w:pPr>
        <w:ind w:right="520" w:firstLine="456"/>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3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Certain financial information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 on November 20, 2008.</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accounting policies consistently followed by PennantPark Investment are:</w:t>
      </w:r>
    </w:p>
    <w:p>
      <w:pPr>
        <w:spacing w:after="0" w:line="90" w:lineRule="exact"/>
        <w:rPr>
          <w:sz w:val="20"/>
          <w:szCs w:val="20"/>
          <w:color w:val="auto"/>
        </w:rPr>
      </w:pPr>
    </w:p>
    <w:p>
      <w:pPr>
        <w:ind w:left="900" w:right="20" w:hanging="446"/>
        <w:spacing w:after="0" w:line="254"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these differences could be material.</w:t>
      </w:r>
    </w:p>
    <w:p>
      <w:pPr>
        <w:spacing w:after="0" w:line="155"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39" w:lineRule="exact"/>
        <w:rPr>
          <w:sz w:val="20"/>
          <w:szCs w:val="20"/>
          <w:color w:val="auto"/>
        </w:rPr>
      </w:pPr>
    </w:p>
    <w:p>
      <w:pPr>
        <w:ind w:left="900" w:right="480" w:hanging="446"/>
        <w:spacing w:after="0" w:line="275"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90"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55" w:lineRule="exact"/>
        <w:rPr>
          <w:rFonts w:ascii="Times New Roman" w:cs="Times New Roman" w:eastAsia="Times New Roman" w:hAnsi="Times New Roman"/>
          <w:sz w:val="18"/>
          <w:szCs w:val="18"/>
          <w:color w:val="auto"/>
        </w:rPr>
      </w:pPr>
    </w:p>
    <w:p>
      <w:pPr>
        <w:ind w:left="900" w:right="300" w:hanging="446"/>
        <w:spacing w:after="0" w:line="334" w:lineRule="auto"/>
        <w:tabs>
          <w:tab w:leader="none" w:pos="9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1" w:lineRule="exact"/>
        <w:rPr>
          <w:rFonts w:ascii="Times New Roman" w:cs="Times New Roman" w:eastAsia="Times New Roman" w:hAnsi="Times New Roman"/>
          <w:sz w:val="16"/>
          <w:szCs w:val="16"/>
          <w:color w:val="auto"/>
        </w:rPr>
      </w:pPr>
    </w:p>
    <w:p>
      <w:pPr>
        <w:ind w:left="900" w:right="60" w:hanging="446"/>
        <w:spacing w:after="0" w:line="275"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1" w:lineRule="exact"/>
        <w:rPr>
          <w:sz w:val="20"/>
          <w:szCs w:val="20"/>
          <w:color w:val="auto"/>
        </w:rPr>
      </w:pPr>
    </w:p>
    <w:p>
      <w:pPr>
        <w:ind w:left="900" w:right="60" w:hanging="446"/>
        <w:spacing w:after="0" w:line="275"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sufficient credit quality, purchased within 60 days of maturity are valued at cost plus accreted discount, or minus amortized premium, which approximates value.</w:t>
      </w:r>
    </w:p>
    <w:p>
      <w:pPr>
        <w:spacing w:after="0" w:line="38"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57"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20"/>
        <w:spacing w:after="0" w:line="262" w:lineRule="auto"/>
        <w:rPr>
          <w:sz w:val="20"/>
          <w:szCs w:val="20"/>
          <w:color w:val="auto"/>
        </w:rPr>
      </w:pPr>
      <w:r>
        <w:rPr>
          <w:rFonts w:ascii="Times New Roman" w:cs="Times New Roman" w:eastAsia="Times New Roman" w:hAnsi="Times New Roman"/>
          <w:sz w:val="18"/>
          <w:szCs w:val="18"/>
          <w:color w:val="auto"/>
        </w:rPr>
        <w:t>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65" w:lineRule="exact"/>
        <w:rPr>
          <w:sz w:val="20"/>
          <w:szCs w:val="20"/>
          <w:color w:val="auto"/>
        </w:rPr>
      </w:pPr>
    </w:p>
    <w:p>
      <w:pPr>
        <w:ind w:left="900" w:hanging="446"/>
        <w:spacing w:after="0" w:line="253"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FASB Statement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57"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1" w:lineRule="exact"/>
        <w:rPr>
          <w:rFonts w:ascii="Times New Roman" w:cs="Times New Roman" w:eastAsia="Times New Roman" w:hAnsi="Times New Roman"/>
          <w:sz w:val="18"/>
          <w:szCs w:val="18"/>
          <w:color w:val="auto"/>
        </w:rPr>
      </w:pPr>
    </w:p>
    <w:p>
      <w:pPr>
        <w:jc w:val="both"/>
        <w:ind w:left="900" w:right="120" w:hanging="446"/>
        <w:spacing w:after="0" w:line="258"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53" w:lineRule="exact"/>
        <w:rPr>
          <w:rFonts w:ascii="Times New Roman" w:cs="Times New Roman" w:eastAsia="Times New Roman" w:hAnsi="Times New Roman"/>
          <w:sz w:val="18"/>
          <w:szCs w:val="18"/>
          <w:color w:val="auto"/>
        </w:rPr>
      </w:pPr>
    </w:p>
    <w:p>
      <w:pPr>
        <w:ind w:left="900" w:right="20" w:hanging="446"/>
        <w:spacing w:after="0" w:line="293" w:lineRule="auto"/>
        <w:tabs>
          <w:tab w:leader="none" w:pos="9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September 2006, the Financial Accounting Standards Board issued Statement of Financial Accounting Standards (“SFAS”) 157,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Measurements </w:t>
      </w:r>
      <w:r>
        <w:rPr>
          <w:rFonts w:ascii="Times New Roman" w:cs="Times New Roman" w:eastAsia="Times New Roman" w:hAnsi="Times New Roman"/>
          <w:sz w:val="16"/>
          <w:szCs w:val="16"/>
          <w:color w:val="auto"/>
        </w:rPr>
        <w:t>(“SFAS 157”), which clarifies the definition of fair value and requires companies to expand their disclosure about the use of fair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29" w:lineRule="exact"/>
        <w:rPr>
          <w:rFonts w:ascii="Times New Roman" w:cs="Times New Roman" w:eastAsia="Times New Roman" w:hAnsi="Times New Roman"/>
          <w:sz w:val="16"/>
          <w:szCs w:val="16"/>
          <w:color w:val="auto"/>
        </w:rPr>
      </w:pPr>
    </w:p>
    <w:p>
      <w:pPr>
        <w:ind w:left="900" w:hanging="446"/>
        <w:spacing w:after="0" w:line="255"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Including an Amendment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FASB 115 </w:t>
      </w:r>
      <w:r>
        <w:rPr>
          <w:rFonts w:ascii="Times New Roman" w:cs="Times New Roman" w:eastAsia="Times New Roman" w:hAnsi="Times New Roman"/>
          <w:sz w:val="18"/>
          <w:szCs w:val="18"/>
          <w:color w:val="auto"/>
        </w:rPr>
        <w:t>(“SFAS 159”). This statement permits an entity to elect to measure many financial instruments and certain other items at fair value.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00"/>
          </w:cols>
          <w:pgMar w:left="240" w:top="456" w:right="2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40"/>
        <w:spacing w:after="0" w:line="256" w:lineRule="auto"/>
        <w:rPr>
          <w:sz w:val="20"/>
          <w:szCs w:val="20"/>
          <w:color w:val="auto"/>
        </w:rPr>
      </w:pPr>
      <w:r>
        <w:rPr>
          <w:rFonts w:ascii="Times New Roman" w:cs="Times New Roman" w:eastAsia="Times New Roman" w:hAnsi="Times New Roman"/>
          <w:sz w:val="18"/>
          <w:szCs w:val="18"/>
          <w:color w:val="auto"/>
        </w:rPr>
        <w:t>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69" w:lineRule="exact"/>
        <w:rPr>
          <w:sz w:val="20"/>
          <w:szCs w:val="20"/>
          <w:color w:val="auto"/>
        </w:rPr>
      </w:pPr>
    </w:p>
    <w:p>
      <w:pPr>
        <w:ind w:left="900" w:right="40" w:hanging="446"/>
        <w:spacing w:after="0" w:line="254"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2009, the FASB issued FASB Staff Position No. 157-4, </w:t>
      </w:r>
      <w:r>
        <w:rPr>
          <w:rFonts w:ascii="Times New Roman" w:cs="Times New Roman" w:eastAsia="Times New Roman" w:hAnsi="Times New Roman"/>
          <w:sz w:val="18"/>
          <w:szCs w:val="18"/>
          <w:i w:val="1"/>
          <w:iCs w:val="1"/>
          <w:color w:val="auto"/>
        </w:rPr>
        <w:t>Determining Fair Value When the Volume and Level of Activity for the Asset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Liability Have Significantly Decreased and Identifying Transactions That Are Not Orderly </w:t>
      </w:r>
      <w:r>
        <w:rPr>
          <w:rFonts w:ascii="Times New Roman" w:cs="Times New Roman" w:eastAsia="Times New Roman" w:hAnsi="Times New Roman"/>
          <w:sz w:val="18"/>
          <w:szCs w:val="18"/>
          <w:color w:val="auto"/>
        </w:rPr>
        <w:t>(“FSP 157-4”), which provides further clarification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SFAS 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the Company’s financial statements.</w:t>
      </w:r>
    </w:p>
    <w:p>
      <w:pPr>
        <w:spacing w:after="0" w:line="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w:t>
      </w:r>
    </w:p>
    <w:p>
      <w:pPr>
        <w:spacing w:after="0" w:line="92" w:lineRule="exact"/>
        <w:rPr>
          <w:sz w:val="20"/>
          <w:szCs w:val="20"/>
          <w:color w:val="auto"/>
        </w:rPr>
      </w:pPr>
    </w:p>
    <w:p>
      <w:pPr>
        <w:jc w:val="both"/>
        <w:ind w:right="220" w:firstLine="456"/>
        <w:spacing w:after="0" w:line="301" w:lineRule="auto"/>
        <w:rPr>
          <w:sz w:val="20"/>
          <w:szCs w:val="20"/>
          <w:color w:val="auto"/>
        </w:rPr>
      </w:pPr>
      <w:r>
        <w:rPr>
          <w:rFonts w:ascii="Times New Roman" w:cs="Times New Roman" w:eastAsia="Times New Roman" w:hAnsi="Times New Roman"/>
          <w:sz w:val="16"/>
          <w:szCs w:val="16"/>
          <w:color w:val="auto"/>
        </w:rPr>
        <w:t>PennantPark Investment has entered into an Investment Management Agreement with PennantPark Investment Advisers which commenced on April 17, 2007.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0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 periods ended June 30, 2009, the Investment Adviser earned a base management fee of $1.9 million and $5.5 million, respectively, from the Company. For the three and nine month periods ended June 30, 2008 the Investment Adviser received a net base management fee of $1.8 million and $4.8 million, respectively, from the Company.</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17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11" w:lineRule="exact"/>
        <w:rPr>
          <w:sz w:val="20"/>
          <w:szCs w:val="20"/>
          <w:color w:val="auto"/>
        </w:rPr>
      </w:pPr>
    </w:p>
    <w:p>
      <w:pPr>
        <w:ind w:firstLine="464"/>
        <w:spacing w:after="0" w:line="256" w:lineRule="auto"/>
        <w:tabs>
          <w:tab w:leader="none" w:pos="7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 periods ended June 30, 2009, the Investment Adviser earned an incentive fee of $1.4 million and $4.2 million, respectively, from the Company. For the three and nine month periods ended June 30, 2008, the Investment Adviser received an incentive fee of $1.0 million and $2.4 million, respectively, from the Company.</w:t>
      </w:r>
    </w:p>
    <w:p>
      <w:pPr>
        <w:spacing w:after="0" w:line="13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PennantPark Investment has also entered into an Administration Agreement with PennantPark Investment Administration, LLC (the “Administrator” or “PennantPark Investment Administration”) which commenced on April 17, 2009,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w:t>
      </w:r>
    </w:p>
    <w:p>
      <w:pPr>
        <w:spacing w:after="0" w:line="13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For the three and nine month periods ended June 30, 2009, the Investment Adviser and the Administrator were reimbursed approximately $0.3 million and $1.4 million, respectively, from the Company for services described above. For the three and nine month periods ended June 30, 2008 the Investment Adviser and the Administrator were reimbursed approximately $0.5 million and $1.6 million, respectively, from the Company for services described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ASSET VALUE PER SHARE</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On June 30, 2009, PennantPark Investment’s total net assets and net asset value per share were $247.0 million and $11.72, respectively. On September 30, 2008, PennantPark Investment’s total net assets and net asset value per share were $210.7 million and $10.00, respectively.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00"/>
          </w:cols>
          <w:pgMar w:left="240" w:top="455" w:right="2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CHANGE IN NET ASSETS PER COMMON SHARE FROM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per share net increase/(decrease) in net assets resulting from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6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2009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2008</w:t>
            </w:r>
          </w:p>
        </w:tc>
        <w:tc>
          <w:tcPr>
            <w:tcW w:w="12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(819,771)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15,204,464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9,622,495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(29,660,865)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and diluted weighted average shares: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21,068,772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21,068,772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21,068,772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21,068,772</w:t>
            </w:r>
          </w:p>
        </w:tc>
        <w:tc>
          <w:tcPr>
            <w:tcW w:w="120" w:type="dxa"/>
            <w:vAlign w:val="bottom"/>
          </w:tcPr>
          <w:p>
            <w:pPr>
              <w:spacing w:after="0"/>
              <w:rPr>
                <w:sz w:val="18"/>
                <w:szCs w:val="18"/>
                <w:color w:val="auto"/>
              </w:rPr>
            </w:pPr>
          </w:p>
        </w:tc>
      </w:tr>
      <w:tr>
        <w:trPr>
          <w:trHeight w:val="202"/>
        </w:trPr>
        <w:tc>
          <w:tcPr>
            <w:tcW w:w="6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increase (decrease) in net assets per share resulting from</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92"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Purchases of long-term investments and PIK for the three and nine months ended June 30, 2009 totaled $33.4 million and $50.5 million, respectively. Sales and repayments of long-term investments for the three and nine months ended June 30, 2009 totaled $7.3 million and $12.9 million, respectively.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and cash equivalents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2009</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142"/>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1"/>
                <w:szCs w:val="11"/>
                <w:b w:val="1"/>
                <w:bCs w:val="1"/>
                <w:color w:val="auto"/>
              </w:rPr>
              <w:t>Cost</w:t>
            </w:r>
            <w:r>
              <w:rPr>
                <w:rFonts w:ascii="Times New Roman" w:cs="Times New Roman" w:eastAsia="Times New Roman" w:hAnsi="Times New Roman"/>
                <w:sz w:val="16"/>
                <w:szCs w:val="16"/>
                <w:b w:val="1"/>
                <w:bCs w:val="1"/>
                <w:color w:val="auto"/>
                <w:vertAlign w:val="superscript"/>
              </w:rPr>
              <w:t>(1)</w:t>
            </w:r>
          </w:p>
        </w:tc>
        <w:tc>
          <w:tcPr>
            <w:tcW w:w="340" w:type="dxa"/>
            <w:vAlign w:val="bottom"/>
            <w:tcBorders>
              <w:top w:val="single" w:sz="8" w:color="auto"/>
            </w:tcBorders>
            <w:gridSpan w:val="2"/>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1"/>
                <w:szCs w:val="11"/>
                <w:b w:val="1"/>
                <w:bCs w:val="1"/>
                <w:color w:val="auto"/>
              </w:rPr>
              <w:t>Cost</w:t>
            </w:r>
            <w:r>
              <w:rPr>
                <w:rFonts w:ascii="Times New Roman" w:cs="Times New Roman" w:eastAsia="Times New Roman" w:hAnsi="Times New Roman"/>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114,999,131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98,832,723</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105,222,862</w:t>
            </w: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78,844,929</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lien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141,753,215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111,218,950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104,242,000</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 / corporate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174,318,523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156,034,050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166,173,175</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9,573,076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10,259,189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9,298,819</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12,198,272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16,793,319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13,588,897</w:t>
            </w:r>
          </w:p>
        </w:tc>
        <w:tc>
          <w:tcPr>
            <w:tcW w:w="2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452,842,217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393,138,231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444,174,006</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372,147,820</w:t>
            </w:r>
          </w:p>
        </w:tc>
        <w:tc>
          <w:tcPr>
            <w:tcW w:w="20" w:type="dxa"/>
            <w:vAlign w:val="bottom"/>
          </w:tcPr>
          <w:p>
            <w:pPr>
              <w:spacing w:after="0"/>
              <w:rPr>
                <w:sz w:val="19"/>
                <w:szCs w:val="19"/>
                <w:color w:val="auto"/>
              </w:rPr>
            </w:pPr>
          </w:p>
        </w:tc>
      </w:tr>
      <w:tr>
        <w:trPr>
          <w:trHeight w:val="217"/>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541,136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541,136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40,249,201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40,249,201</w:t>
            </w:r>
          </w:p>
        </w:tc>
        <w:tc>
          <w:tcPr>
            <w:tcW w:w="20" w:type="dxa"/>
            <w:vAlign w:val="bottom"/>
          </w:tcPr>
          <w:p>
            <w:pPr>
              <w:spacing w:after="0"/>
              <w:rPr>
                <w:sz w:val="18"/>
                <w:szCs w:val="18"/>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453,383,353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393,679,367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484,423,207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412,397,021</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market value, of the total portfolio assets (excluding cash equivalents) in such industries as of June 30, 2009 and September 30,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880" w:type="dxa"/>
            <w:vAlign w:val="bottom"/>
          </w:tcPr>
          <w:p>
            <w:pPr>
              <w:spacing w:after="0"/>
              <w:rPr>
                <w:sz w:val="14"/>
                <w:szCs w:val="14"/>
                <w:color w:val="auto"/>
              </w:rPr>
            </w:pPr>
          </w:p>
        </w:tc>
        <w:tc>
          <w:tcPr>
            <w:tcW w:w="218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w w:val="95"/>
              </w:rPr>
              <w:t>June 30, 2009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 and Rubber</w:t>
            </w:r>
          </w:p>
        </w:tc>
        <w:tc>
          <w:tcPr>
            <w:tcW w:w="606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Energy/Utilities</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 and Gas</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Sector</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60" w:type="dxa"/>
            <w:vAlign w:val="bottom"/>
            <w:gridSpan w:val="3"/>
          </w:tcPr>
          <w:p>
            <w:pPr>
              <w:jc w:val="right"/>
              <w:ind w:right="4260"/>
              <w:spacing w:after="0"/>
              <w:rPr>
                <w:sz w:val="20"/>
                <w:szCs w:val="20"/>
                <w:color w:val="auto"/>
              </w:rPr>
            </w:pPr>
            <w:r>
              <w:rPr>
                <w:rFonts w:ascii="Times New Roman" w:cs="Times New Roman" w:eastAsia="Times New Roman" w:hAnsi="Times New Roman"/>
                <w:sz w:val="18"/>
                <w:szCs w:val="18"/>
                <w:color w:val="auto"/>
              </w:rPr>
              <w:t>F-42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08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w w:val="95"/>
              </w:rPr>
              <w:t>June 30, 2009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Leisure, Amusement, Motion Picture, Entertainment</w:t>
            </w:r>
          </w:p>
        </w:tc>
        <w:tc>
          <w:tcPr>
            <w:tcW w:w="208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Media</w:t>
            </w:r>
          </w:p>
        </w:tc>
        <w:tc>
          <w:tcPr>
            <w:tcW w:w="20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0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Education</w:t>
            </w:r>
          </w:p>
        </w:tc>
        <w:tc>
          <w:tcPr>
            <w:tcW w:w="20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Services</w:t>
            </w:r>
          </w:p>
        </w:tc>
        <w:tc>
          <w:tcPr>
            <w:tcW w:w="20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and Office Furnishings, Housewares, and Durable Consumer Products</w:t>
            </w:r>
          </w:p>
        </w:tc>
        <w:tc>
          <w:tcPr>
            <w:tcW w:w="20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0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Real Estate</w:t>
            </w:r>
          </w:p>
        </w:tc>
        <w:tc>
          <w:tcPr>
            <w:tcW w:w="208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Store</w:t>
            </w:r>
          </w:p>
        </w:tc>
        <w:tc>
          <w:tcPr>
            <w:tcW w:w="20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Effective October 1, 2008, the Company adopted SFAS 157 for cash and cash equivalents, investments and long term credit facility. The Company realized no gain or loss as a result of the adoption of SFAS No. 157. SFAS 157 defines fair value as the price that the Company would receive upon selling an investment or pay to transfer a liability in an orderly transaction to a market participant in the principal or most advantageous market for the investment or liability.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SFAS No. 157 classifies the inputs used to measure these fair values into the following hierarchy: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 Inputs that are quoted prices (unadjusted) in active markets for identical assets or liabilities, accessible by the Company at the measurement date.</w:t>
      </w:r>
    </w:p>
    <w:p>
      <w:pPr>
        <w:spacing w:after="0" w:line="113" w:lineRule="exact"/>
        <w:rPr>
          <w:sz w:val="20"/>
          <w:szCs w:val="20"/>
          <w:color w:val="auto"/>
        </w:rPr>
      </w:pPr>
    </w:p>
    <w:p>
      <w:pPr>
        <w:jc w:val="both"/>
        <w:ind w:left="460"/>
        <w:spacing w:after="0" w:line="26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that are quoted prices for similar assets or liabilities in active markets, or that are quoted prices for identical or similar assets or liabilities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and inputs that are observable for the asset or liability, either directly or indirectly, for substantially the full term, if applicable, of the financial instrument.</w:t>
      </w:r>
    </w:p>
    <w:p>
      <w:pPr>
        <w:spacing w:after="0" w:line="46" w:lineRule="exact"/>
        <w:rPr>
          <w:sz w:val="20"/>
          <w:szCs w:val="20"/>
          <w:color w:val="auto"/>
        </w:rPr>
      </w:pPr>
    </w:p>
    <w:p>
      <w:pPr>
        <w:ind w:left="460" w:right="340"/>
        <w:spacing w:after="0" w:line="27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Inputs that are unobservable for an asset or liability because they are based on the Company’s own assumptions about how market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price the asset or liability.</w:t>
      </w:r>
    </w:p>
    <w:p>
      <w:pPr>
        <w:spacing w:after="0" w:line="118" w:lineRule="exact"/>
        <w:rPr>
          <w:sz w:val="20"/>
          <w:szCs w:val="20"/>
          <w:color w:val="auto"/>
        </w:rPr>
      </w:pPr>
    </w:p>
    <w:p>
      <w:pPr>
        <w:ind w:right="920" w:firstLine="456"/>
        <w:spacing w:after="0" w:line="275"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All of the Company’s investments and long term credit facility are classified as Level 3.</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3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addition to using the above inputs in cash and cash equivalents, investments and long term credit facility valuations, the Company employs the valuation policy approved by its board of directors that is consistent 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SFAS 157 (see Note 2). Consistent with this valuation policy, the Company evaluates the source of inputs, including any markets in which its investments are trading, in determining fair value.</w:t>
      </w:r>
    </w:p>
    <w:p>
      <w:pPr>
        <w:spacing w:after="0" w:line="118"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April 2009, the FASB issued FASB Staff Position No. 157-4, </w:t>
      </w:r>
      <w:r>
        <w:rPr>
          <w:rFonts w:ascii="Times New Roman" w:cs="Times New Roman" w:eastAsia="Times New Roman" w:hAnsi="Times New Roman"/>
          <w:sz w:val="18"/>
          <w:szCs w:val="18"/>
          <w:i w:val="1"/>
          <w:iCs w:val="1"/>
          <w:color w:val="auto"/>
        </w:rPr>
        <w:t>Determining Fair Value When the Volume and Level of Activity for the Asset or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Have Significantly Decreased and Identifying Transactions That Are Not Orderly </w:t>
      </w:r>
      <w:r>
        <w:rPr>
          <w:rFonts w:ascii="Times New Roman" w:cs="Times New Roman" w:eastAsia="Times New Roman" w:hAnsi="Times New Roman"/>
          <w:sz w:val="18"/>
          <w:szCs w:val="18"/>
          <w:color w:val="auto"/>
        </w:rPr>
        <w:t>(“FSP No. 157-4”). FSP No. 157-4 made amendments to SFAS No. 157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financial statements.</w:t>
      </w:r>
    </w:p>
    <w:p>
      <w:pPr>
        <w:spacing w:after="0" w:line="145" w:lineRule="exact"/>
        <w:rPr>
          <w:sz w:val="20"/>
          <w:szCs w:val="20"/>
          <w:color w:val="auto"/>
        </w:rPr>
      </w:pPr>
    </w:p>
    <w:p>
      <w:pPr>
        <w:ind w:right="340" w:firstLine="456"/>
        <w:spacing w:after="0" w:line="255" w:lineRule="auto"/>
        <w:rPr>
          <w:sz w:val="20"/>
          <w:szCs w:val="20"/>
          <w:color w:val="auto"/>
        </w:rPr>
      </w:pPr>
      <w:r>
        <w:rPr>
          <w:rFonts w:ascii="Times New Roman" w:cs="Times New Roman" w:eastAsia="Times New Roman" w:hAnsi="Times New Roman"/>
          <w:sz w:val="18"/>
          <w:szCs w:val="18"/>
          <w:color w:val="auto"/>
        </w:rPr>
        <w:t>The Company’s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2009, our cash and cash equivalents, investments and our long term credit facility were categorized as follows in the fair value hierarchy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No. 157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w w:val="95"/>
              </w:rPr>
              <w:t>Fair Value Measurement Using:</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Quoted Prices</w:t>
            </w: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5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Markets for</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Identical Assets</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inputs</w:t>
            </w:r>
          </w:p>
        </w:tc>
        <w:tc>
          <w:tcPr>
            <w:tcW w:w="0" w:type="dxa"/>
            <w:vAlign w:val="bottom"/>
          </w:tcPr>
          <w:p>
            <w:pPr>
              <w:spacing w:after="0"/>
              <w:rPr>
                <w:sz w:val="1"/>
                <w:szCs w:val="1"/>
                <w:color w:val="auto"/>
              </w:rPr>
            </w:pPr>
          </w:p>
        </w:tc>
      </w:tr>
      <w:tr>
        <w:trPr>
          <w:trHeight w:val="165"/>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6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debt securities</w:t>
            </w:r>
          </w:p>
        </w:tc>
        <w:tc>
          <w:tcPr>
            <w:tcW w:w="33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$ 366,085,723</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$ 366,085,723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27,052,508</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Investments</w:t>
            </w:r>
          </w:p>
        </w:tc>
        <w:tc>
          <w:tcPr>
            <w:tcW w:w="33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393,138,231</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393,138,231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541,136</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2"/>
              </w:rPr>
              <w:t>541,136</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Investments, Cash Equivalents</w:t>
            </w:r>
          </w:p>
        </w:tc>
        <w:tc>
          <w:tcPr>
            <w:tcW w:w="33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393,679,367</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541,136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393,138,231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Credit Facility</w:t>
            </w:r>
          </w:p>
        </w:tc>
        <w:tc>
          <w:tcPr>
            <w:tcW w:w="3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(134,057,558)</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(134,057,558)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40" w:type="dxa"/>
            <w:vAlign w:val="bottom"/>
            <w:gridSpan w:val="3"/>
          </w:tcPr>
          <w:p>
            <w:pPr>
              <w:jc w:val="right"/>
              <w:ind w:right="1740"/>
              <w:spacing w:after="0"/>
              <w:rPr>
                <w:sz w:val="20"/>
                <w:szCs w:val="20"/>
                <w:color w:val="auto"/>
              </w:rPr>
            </w:pPr>
            <w:r>
              <w:rPr>
                <w:rFonts w:ascii="Times New Roman" w:cs="Times New Roman" w:eastAsia="Times New Roman" w:hAnsi="Times New Roman"/>
                <w:sz w:val="18"/>
                <w:szCs w:val="18"/>
                <w:color w:val="auto"/>
              </w:rPr>
              <w:t>F-44</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show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Loan and debt</w:t>
            </w:r>
          </w:p>
        </w:tc>
        <w:tc>
          <w:tcPr>
            <w:tcW w:w="140" w:type="dxa"/>
            <w:vAlign w:val="bottom"/>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349,260,104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22,887,716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(30,847,040)</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10,220,577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2,101,623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PIK and discount / amortization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50,326,080</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2,063,169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 repayments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(12,873,998)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(12,873,998)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June 30, 2009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366,085,723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27,052,508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393,138,231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Amount of total gains or losses for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gains or losses relating to our Level 3 assets still held at the reporting date and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reported within the net change in unrealized gains or losses on investments in our Statement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(1,646,713)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3,424,565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show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Long Term Credit</w:t>
            </w:r>
          </w:p>
        </w:tc>
      </w:tr>
      <w:tr>
        <w:trPr>
          <w:trHeight w:val="165"/>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September 30, 2008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162,000,000</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Cumulative effect of adoption of fair value option</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(41,796,000)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unrealized gain included in earnings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(11,446,442)</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59,200,000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(33,900,000)</w:t>
            </w:r>
          </w:p>
        </w:tc>
      </w:tr>
      <w:tr>
        <w:trPr>
          <w:trHeight w:val="223"/>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June 30, 2009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134,057,558</w:t>
            </w:r>
          </w:p>
        </w:tc>
      </w:tr>
    </w:tbl>
    <w:p>
      <w:pPr>
        <w:spacing w:after="0" w:line="148"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 xml:space="preserve">The carrying value of the Company’s financial instruments approximates fair value. Effective October 1, 2008, the Company adopted Statement of Financial Accounting Standards No. 159, </w:t>
      </w:r>
      <w:r>
        <w:rPr>
          <w:rFonts w:ascii="Times New Roman" w:cs="Times New Roman" w:eastAsia="Times New Roman" w:hAnsi="Times New Roman"/>
          <w:sz w:val="18"/>
          <w:szCs w:val="18"/>
          <w:i w:val="1"/>
          <w:iCs w:val="1"/>
          <w:color w:val="auto"/>
        </w:rPr>
        <w:t>The Fair Value Option for Financial Assets and Liabilities</w:t>
      </w:r>
      <w:r>
        <w:rPr>
          <w:rFonts w:ascii="Times New Roman" w:cs="Times New Roman" w:eastAsia="Times New Roman" w:hAnsi="Times New Roman"/>
          <w:sz w:val="18"/>
          <w:szCs w:val="18"/>
          <w:color w:val="auto"/>
        </w:rPr>
        <w:t>, which provides companies with an option to report selected financial assets and liabilities at fair value, and made an irrevocable election to apply SFAS 159 to its credit facility. The Company elected to use the fair value option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 The Company has used a nationally recognized independent valuation service to measure the fair value of its credit facility in a manner consistent with the valuation process that the board of directors uses to value investments.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about the eligible instrument(s) for which the Company elected the fair value option under SFAS 159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2009 and for which a transition adjustment was recorded as of October 1,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2009</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Carrying Value 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5"/>
              </w:rPr>
              <w:t>Transition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Carrying Value on</w:t>
            </w: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October 1, 2008</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4"/>
              <w:spacing w:after="0" w:line="152" w:lineRule="exact"/>
              <w:rPr>
                <w:sz w:val="20"/>
                <w:szCs w:val="20"/>
                <w:color w:val="auto"/>
              </w:rPr>
            </w:pPr>
            <w:r>
              <w:rPr>
                <w:rFonts w:ascii="Times New Roman" w:cs="Times New Roman" w:eastAsia="Times New Roman" w:hAnsi="Times New Roman"/>
                <w:sz w:val="14"/>
                <w:szCs w:val="14"/>
                <w:b w:val="1"/>
                <w:bCs w:val="1"/>
                <w:color w:val="auto"/>
                <w:w w:val="95"/>
              </w:rPr>
              <w:t>Adjustment to</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October 1, 2008</w:t>
            </w: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before adoption of</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24"/>
              <w:spacing w:after="0" w:line="125"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after adoption of</w:t>
            </w: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Carrying Value</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SFAS 159</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5"/>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(long term)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134,057,558</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134,057,558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(temporary draw)</w:t>
            </w:r>
            <w:r>
              <w:rPr>
                <w:rFonts w:ascii="Times New Roman" w:cs="Times New Roman" w:eastAsia="Times New Roman" w:hAnsi="Times New Roman"/>
                <w:sz w:val="11"/>
                <w:szCs w:val="11"/>
                <w:color w:val="auto"/>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134,057,558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134,057,558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draw may include credit facility borrowings at the end of each quarter to maximize investment flexibility (See note 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EQUIVALENTS</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Pending investment in longer-term portfolio holdings, the Company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the Company may take proactive steps to preserve investment flexibility for the next quarter, which is dependent upon the composition of its total assets at quarter end. The Company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 to market in a manner consistent with PennantPark Investment’s valuation policy.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REPURCHASE AGREEMENTS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 to market daily to ensure that the value, plus accrued interest, is at least equal to the repurchase price. In the event of default of the obligor to repurchase, PennantPark Investment would have a contractual right to liquidate the collateral and apply the proceeds in satisfaction of the underlying obligation. Under certain circumstances, including the event of default or bankruptcy by the counterparty to the agreement, realization and/or retention of the collateral or proceeds may be subject to legal proceedings. There were no repurchase agreements outstanding on June 30, 2009 or September 30, 2008.</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HIGHLIGHTS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w w:val="98"/>
              </w:rPr>
              <w:t>June 30, 2009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Cumulative effect of adoption of fair value option (credit facility)</w:t>
            </w:r>
            <w:r>
              <w:rPr>
                <w:rFonts w:ascii="Times New Roman" w:cs="Times New Roman" w:eastAsia="Times New Roman" w:hAnsi="Times New Roman"/>
                <w:sz w:val="11"/>
                <w:szCs w:val="11"/>
                <w:color w:val="auto"/>
              </w:rPr>
              <w:t>(1)</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asset value, beginning of period</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realized and change in unrealized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and distributions to stockholders</w:t>
            </w:r>
            <w:r>
              <w:rPr>
                <w:rFonts w:ascii="Times New Roman" w:cs="Times New Roman" w:eastAsia="Times New Roman" w:hAnsi="Times New Roman"/>
                <w:sz w:val="11"/>
                <w:szCs w:val="11"/>
                <w:color w:val="auto"/>
              </w:rPr>
              <w:t>(2)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end of period</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w:t>
            </w:r>
            <w:r>
              <w:rPr>
                <w:rFonts w:ascii="Times New Roman" w:cs="Times New Roman" w:eastAsia="Times New Roman" w:hAnsi="Times New Roman"/>
                <w:sz w:val="11"/>
                <w:szCs w:val="11"/>
                <w:color w:val="auto"/>
              </w:rPr>
              <w:t>(3)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21,068,772</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Ratio of operating expenses to average net assets</w:t>
            </w:r>
            <w:r>
              <w:rPr>
                <w:rFonts w:ascii="Times New Roman" w:cs="Times New Roman" w:eastAsia="Times New Roman" w:hAnsi="Times New Roman"/>
                <w:sz w:val="11"/>
                <w:szCs w:val="11"/>
                <w:color w:val="auto"/>
              </w:rPr>
              <w:t>(4)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to average net assets</w:t>
            </w:r>
            <w:r>
              <w:rPr>
                <w:rFonts w:ascii="Times New Roman" w:cs="Times New Roman" w:eastAsia="Times New Roman" w:hAnsi="Times New Roman"/>
                <w:sz w:val="11"/>
                <w:szCs w:val="11"/>
                <w:color w:val="auto"/>
              </w:rPr>
              <w:t>(5)</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246,977,240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210,728,260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cost of debt outstanding</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173,118,681</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119,472,732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Average cost of debt per share</w:t>
            </w:r>
          </w:p>
        </w:tc>
        <w:tc>
          <w:tcPr>
            <w:tcW w:w="1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Annualized</w:t>
      </w:r>
    </w:p>
    <w:p>
      <w:pPr>
        <w:spacing w:after="0" w:line="90" w:lineRule="exact"/>
        <w:rPr>
          <w:sz w:val="20"/>
          <w:szCs w:val="20"/>
          <w:color w:val="auto"/>
        </w:rPr>
      </w:pPr>
    </w:p>
    <w:p>
      <w:pPr>
        <w:ind w:left="460" w:right="240" w:hanging="452"/>
        <w:spacing w:after="0" w:line="27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38"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38"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38"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operating expenses to average net assets for the nine months ended June 30, 2009 before adoption of SFAS 159 was 9.39%, and for the fiscal year ended September 30, 2008, the ratio before management fee waiver was 6.47%</w:t>
      </w:r>
    </w:p>
    <w:p>
      <w:pPr>
        <w:spacing w:after="0" w:line="38"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total expenses to average net assets for the nine months ended June 30, 2009 before the adoption of SFAS 159 was 12.20%, and for the fiscal year ended September 30, 2008 the ratio before management fee waiver was 9.13%.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FACILITY</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On June 25, 2007, PennantPark Investment entered into a Senior Secured Revolving Credit Agreement (the “Credit Agreement”, “Revolving Credit Facility”, or “credit facility”) among PennantPark Investment, various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lenders and SunTrust Bank, as administrative agent for the lenders. SunTrust Robinson Humphrey Capital Markets acted as the joint lead arranger and book-runner. As of June 30, 2009, there was $187.3 million in outstanding borrowings under the Credit Agreement with an average annual interest rate of 1.31%.</w:t>
      </w:r>
    </w:p>
    <w:p>
      <w:pPr>
        <w:spacing w:after="0" w:line="7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40"/>
          </w:cols>
          <w:pgMar w:left="240" w:top="455" w:right="31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9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25.</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320" w:lineRule="exact"/>
        <w:rPr>
          <w:sz w:val="20"/>
          <w:szCs w:val="20"/>
          <w:color w:val="auto"/>
        </w:rPr>
      </w:pPr>
    </w:p>
    <w:p>
      <w:pPr>
        <w:ind w:left="1380" w:hanging="1372"/>
        <w:spacing w:after="0"/>
        <w:tabs>
          <w:tab w:leader="none" w:pos="1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 to Financial Statements on page F-1 of this Registration Statement is hereby incorporated by reference.</w:t>
      </w:r>
    </w:p>
    <w:p>
      <w:pPr>
        <w:spacing w:after="0" w:line="115" w:lineRule="exact"/>
        <w:rPr>
          <w:rFonts w:ascii="Times New Roman" w:cs="Times New Roman" w:eastAsia="Times New Roman" w:hAnsi="Times New Roman"/>
          <w:sz w:val="18"/>
          <w:szCs w:val="18"/>
          <w:color w:val="auto"/>
        </w:rPr>
      </w:pPr>
    </w:p>
    <w:p>
      <w:pPr>
        <w:ind w:left="1380" w:hanging="1372"/>
        <w:spacing w:after="0"/>
        <w:tabs>
          <w:tab w:leader="none" w:pos="1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1380" w:right="160" w:hanging="1372"/>
        <w:spacing w:after="0" w:line="275" w:lineRule="auto"/>
        <w:tabs>
          <w:tab w:leader="none" w:pos="1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of the Registrant (Incorporated by reference to Exhibit 99(a) to the Registrant’s Pre-Effective Amendment No. 1 to the Registration Statement on Form N-2/A (File No. 333-140092), filed on March 5, 2007).</w:t>
      </w:r>
    </w:p>
    <w:p>
      <w:pPr>
        <w:spacing w:after="0" w:line="65" w:lineRule="exact"/>
        <w:rPr>
          <w:rFonts w:ascii="Times New Roman" w:cs="Times New Roman" w:eastAsia="Times New Roman" w:hAnsi="Times New Roman"/>
          <w:sz w:val="18"/>
          <w:szCs w:val="18"/>
          <w:color w:val="auto"/>
        </w:rPr>
      </w:pPr>
    </w:p>
    <w:p>
      <w:pPr>
        <w:ind w:left="1380" w:hanging="1372"/>
        <w:spacing w:after="0" w:line="275" w:lineRule="auto"/>
        <w:tabs>
          <w:tab w:leader="none" w:pos="1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56" w:right="25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Investment Management Agreement between the Registrant and PennantPark Investment Advisers, LLC.</w:t>
      </w:r>
    </w:p>
    <w:p>
      <w:pPr>
        <w:spacing w:after="0" w:line="139"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Underwriting Agreement for equity.</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Custodian Agreement between the Registrant and PFPC Trust Company.</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Administration Agreement between the Registrant and PennantPark Investment Administration, LLC.</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Stock Transfer Agency Agreement between the Registrant and American Stock Transfer and Trust Company.</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Trademark License Agreement.</w:t>
      </w:r>
    </w:p>
    <w:p>
      <w:pPr>
        <w:spacing w:after="0" w:line="140"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(k)(4)</w:t>
      </w:r>
    </w:p>
    <w:p>
      <w:pPr>
        <w:spacing w:after="0" w:line="20" w:lineRule="exact"/>
        <w:rPr>
          <w:sz w:val="20"/>
          <w:szCs w:val="20"/>
          <w:color w:val="auto"/>
        </w:rPr>
      </w:pPr>
      <w:r>
        <w:rPr>
          <w:sz w:val="20"/>
          <w:szCs w:val="20"/>
          <w:color w:val="auto"/>
        </w:rPr>
        <w:br w:type="column"/>
      </w:r>
    </w:p>
    <w:p>
      <w:pPr>
        <w:ind w:right="620"/>
        <w:spacing w:after="0" w:line="275" w:lineRule="auto"/>
        <w:rPr>
          <w:sz w:val="20"/>
          <w:szCs w:val="20"/>
          <w:color w:val="auto"/>
        </w:rPr>
      </w:pPr>
      <w:r>
        <w:rPr>
          <w:rFonts w:ascii="Times New Roman" w:cs="Times New Roman" w:eastAsia="Times New Roman" w:hAnsi="Times New Roman"/>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66"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(k)(5)*</w:t>
      </w:r>
    </w:p>
    <w:p>
      <w:pPr>
        <w:spacing w:after="0" w:line="20" w:lineRule="exact"/>
        <w:rPr>
          <w:sz w:val="20"/>
          <w:szCs w:val="20"/>
          <w:color w:val="auto"/>
        </w:rPr>
      </w:pPr>
      <w:r>
        <w:rPr>
          <w:sz w:val="20"/>
          <w:szCs w:val="20"/>
          <w:color w:val="auto"/>
        </w:rPr>
        <w:br w:type="column"/>
      </w:r>
    </w:p>
    <w:p>
      <w:pPr>
        <w:ind w:right="340"/>
        <w:spacing w:after="0" w:line="275" w:lineRule="auto"/>
        <w:rPr>
          <w:sz w:val="20"/>
          <w:szCs w:val="20"/>
          <w:color w:val="auto"/>
        </w:rPr>
      </w:pPr>
      <w:r>
        <w:rPr>
          <w:rFonts w:ascii="Times New Roman" w:cs="Times New Roman" w:eastAsia="Times New Roman" w:hAnsi="Times New Roman"/>
          <w:sz w:val="18"/>
          <w:szCs w:val="18"/>
          <w:color w:val="auto"/>
        </w:rPr>
        <w:t>Registration Rights Agreement among the Registrant and the purchasers in a private placement of 320,000 shares of common stock of the Registrant.</w:t>
      </w:r>
    </w:p>
    <w:p>
      <w:pPr>
        <w:spacing w:after="0" w:line="66"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Opinion and Consent of Venable LLP.</w:t>
      </w:r>
    </w:p>
    <w:p>
      <w:pPr>
        <w:spacing w:after="0" w:line="139"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Awareness Letter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75" w:lineRule="auto"/>
        <w:rPr>
          <w:sz w:val="20"/>
          <w:szCs w:val="20"/>
          <w:color w:val="auto"/>
        </w:rPr>
      </w:pPr>
      <w:r>
        <w:rPr>
          <w:rFonts w:ascii="Times New Roman" w:cs="Times New Roman" w:eastAsia="Times New Roman" w:hAnsi="Times New Roman"/>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06" w:lineRule="exact"/>
        <w:rPr>
          <w:sz w:val="20"/>
          <w:szCs w:val="20"/>
          <w:color w:val="auto"/>
        </w:rPr>
      </w:pPr>
    </w:p>
    <w:p>
      <w:pPr>
        <w:sectPr>
          <w:pgSz w:w="11900" w:h="16838" w:orient="portrait"/>
          <w:cols w:equalWidth="0" w:num="2">
            <w:col w:w="660" w:space="720"/>
            <w:col w:w="10020"/>
          </w:cols>
          <w:pgMar w:left="240" w:top="456" w:right="259" w:bottom="1440" w:gutter="0" w:footer="0" w:header="0"/>
          <w:type w:val="continuous"/>
        </w:sectPr>
      </w:pPr>
    </w:p>
    <w:p>
      <w:pPr>
        <w:ind w:right="9780" w:firstLine="8"/>
        <w:spacing w:after="0" w:line="431" w:lineRule="auto"/>
        <w:tabs>
          <w:tab w:leader="none" w:pos="44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C-1</w:t>
      </w:r>
    </w:p>
    <w:p>
      <w:pPr>
        <w:sectPr>
          <w:pgSz w:w="11900" w:h="16838" w:orient="portrait"/>
          <w:cols w:equalWidth="0" w:num="1">
            <w:col w:w="11400"/>
          </w:cols>
          <w:pgMar w:left="240" w:top="456" w:right="259" w:bottom="1440" w:gutter="0" w:footer="0" w:header="0"/>
          <w:type w:val="continuous"/>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26.</w:t>
      </w:r>
      <w:r>
        <w:rPr>
          <w:sz w:val="20"/>
          <w:szCs w:val="20"/>
          <w:color w:val="auto"/>
        </w:rPr>
        <w:tab/>
      </w:r>
      <w:r>
        <w:rPr>
          <w:rFonts w:ascii="Times New Roman" w:cs="Times New Roman" w:eastAsia="Times New Roman" w:hAnsi="Times New Roman"/>
          <w:sz w:val="16"/>
          <w:szCs w:val="16"/>
          <w:b w:val="1"/>
          <w:bCs w:val="1"/>
          <w:color w:val="auto"/>
        </w:rPr>
        <w:t>Marketing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hereby incorporated by reference.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27.</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92"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incurred by the Registrant in connection with the offering described in this registration statement: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Printing (other than certificates)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color w:val="auto"/>
              </w:rPr>
              <w:t>All of the expense set forth above shall be borne by the Registrant.</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7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28.</w:t>
            </w:r>
          </w:p>
        </w:tc>
        <w:tc>
          <w:tcPr>
            <w:tcW w:w="89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Persons controlled by or under common control with the registrant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29.</w:t>
            </w:r>
          </w:p>
        </w:tc>
        <w:tc>
          <w:tcPr>
            <w:tcW w:w="89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holders of shares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As of August 27, 2009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Times New Roman" w:cs="Times New Roman" w:eastAsia="Times New Roman" w:hAnsi="Times New Roman"/>
                <w:sz w:val="18"/>
                <w:szCs w:val="18"/>
                <w:color w:val="auto"/>
                <w:w w:val="97"/>
              </w:rPr>
              <w:t>Common Stock, $0.001 par value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30.</w:t>
      </w:r>
      <w:r>
        <w:rPr>
          <w:sz w:val="20"/>
          <w:szCs w:val="20"/>
          <w:color w:val="auto"/>
        </w:rPr>
        <w:tab/>
      </w:r>
      <w:r>
        <w:rPr>
          <w:rFonts w:ascii="Times New Roman" w:cs="Times New Roman" w:eastAsia="Times New Roman" w:hAnsi="Times New Roman"/>
          <w:sz w:val="16"/>
          <w:szCs w:val="16"/>
          <w:b w:val="1"/>
          <w:bCs w:val="1"/>
          <w:color w:val="auto"/>
        </w:rPr>
        <w:t>Indemnification</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contained under the heading “Limitation on Liability of Directors and Officers; Indemnification and Advance of Expenses” is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6"/>
          <w:szCs w:val="16"/>
          <w:b w:val="1"/>
          <w:bCs w:val="1"/>
          <w:color w:val="auto"/>
        </w:rPr>
        <w:t>Business and other connections of Investment Adviser</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6"/>
          <w:szCs w:val="16"/>
          <w:b w:val="1"/>
          <w:bCs w:val="1"/>
          <w:color w:val="auto"/>
        </w:rPr>
        <w:t>Location of accounts and records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All accounts, books and other documents required to be maintained by Section 31(a) of the 1940 Act, and the rules thereunder are maintained at the offices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78" w:lineRule="exact"/>
        <w:rPr>
          <w:sz w:val="20"/>
          <w:szCs w:val="20"/>
          <w:color w:val="auto"/>
        </w:rPr>
      </w:pPr>
    </w:p>
    <w:p>
      <w:pPr>
        <w:ind w:left="5580" w:right="2560" w:hanging="4677"/>
        <w:spacing w:after="0" w:line="447" w:lineRule="auto"/>
        <w:tabs>
          <w:tab w:leader="none" w:pos="11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PennantPark Investment Corporation, 590 Madison Avenue, 15th Floor, New York, NY 10022 C-2</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60" w:hanging="257"/>
        <w:spacing w:after="0"/>
        <w:tabs>
          <w:tab w:leader="none" w:pos="1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American Stock Transfer and Trust Company, 59 Maiden Lane, New York, NY 10038;</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PFPC Trust Company, 8800 Tinicum Boulevard, 4th Floor, Philadelphia, PA 19153;</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PennantPark Investment Advisers, LLC, 590 Madison Avenue, 15th Floor, New York, NY 10022</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6"/>
          <w:szCs w:val="16"/>
          <w:b w:val="1"/>
          <w:bCs w:val="1"/>
          <w:color w:val="auto"/>
        </w:rPr>
        <w:t>Management services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90" w:lineRule="exact"/>
        <w:rPr>
          <w:sz w:val="20"/>
          <w:szCs w:val="20"/>
          <w:color w:val="auto"/>
        </w:rPr>
      </w:pPr>
    </w:p>
    <w:p>
      <w:pPr>
        <w:jc w:val="both"/>
        <w:ind w:left="460" w:right="180" w:firstLine="443"/>
        <w:spacing w:after="0" w:line="262" w:lineRule="auto"/>
        <w:tabs>
          <w:tab w:leader="none" w:pos="11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90"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90" w:lineRule="exact"/>
        <w:rPr>
          <w:rFonts w:ascii="Times New Roman" w:cs="Times New Roman" w:eastAsia="Times New Roman" w:hAnsi="Times New Roman"/>
          <w:sz w:val="18"/>
          <w:szCs w:val="18"/>
          <w:color w:val="auto"/>
        </w:rPr>
      </w:pPr>
    </w:p>
    <w:p>
      <w:pPr>
        <w:ind w:left="920" w:firstLine="421"/>
        <w:spacing w:after="0" w:line="262" w:lineRule="auto"/>
        <w:tabs>
          <w:tab w:leader="none" w:pos="159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1" w:lineRule="exact"/>
        <w:rPr>
          <w:rFonts w:ascii="Times New Roman" w:cs="Times New Roman" w:eastAsia="Times New Roman" w:hAnsi="Times New Roman"/>
          <w:sz w:val="18"/>
          <w:szCs w:val="18"/>
          <w:color w:val="auto"/>
        </w:rPr>
      </w:pPr>
    </w:p>
    <w:p>
      <w:pPr>
        <w:ind w:left="920" w:right="300" w:firstLine="421"/>
        <w:spacing w:after="0" w:line="275" w:lineRule="auto"/>
        <w:tabs>
          <w:tab w:leader="none" w:pos="164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8" w:lineRule="exact"/>
        <w:rPr>
          <w:rFonts w:ascii="Times New Roman" w:cs="Times New Roman" w:eastAsia="Times New Roman" w:hAnsi="Times New Roman"/>
          <w:sz w:val="18"/>
          <w:szCs w:val="18"/>
          <w:color w:val="auto"/>
        </w:rPr>
      </w:pPr>
    </w:p>
    <w:p>
      <w:pPr>
        <w:ind w:left="460" w:right="340" w:firstLine="443"/>
        <w:spacing w:after="0" w:line="262" w:lineRule="auto"/>
        <w:tabs>
          <w:tab w:leader="none" w:pos="11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1"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38" w:lineRule="exact"/>
        <w:rPr>
          <w:rFonts w:ascii="Times New Roman" w:cs="Times New Roman" w:eastAsia="Times New Roman" w:hAnsi="Times New Roman"/>
          <w:sz w:val="18"/>
          <w:szCs w:val="18"/>
          <w:color w:val="auto"/>
        </w:rPr>
      </w:pPr>
    </w:p>
    <w:p>
      <w:pPr>
        <w:ind w:left="460" w:right="40" w:firstLine="443"/>
        <w:spacing w:after="0" w:line="291" w:lineRule="auto"/>
        <w:tabs>
          <w:tab w:leader="none" w:pos="114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2" w:lineRule="exact"/>
        <w:rPr>
          <w:rFonts w:ascii="Times New Roman" w:cs="Times New Roman" w:eastAsia="Times New Roman" w:hAnsi="Times New Roman"/>
          <w:sz w:val="16"/>
          <w:szCs w:val="16"/>
          <w:color w:val="auto"/>
        </w:rPr>
      </w:pPr>
    </w:p>
    <w:p>
      <w:pPr>
        <w:jc w:val="both"/>
        <w:ind w:left="460" w:firstLine="443"/>
        <w:spacing w:after="0" w:line="262" w:lineRule="auto"/>
        <w:tabs>
          <w:tab w:leader="none" w:pos="114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00"/>
          </w:cols>
          <w:pgMar w:left="240" w:top="456" w:right="2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purchaser by means of any of the following communications, the undersigned Registrant will be a seller to the purchaser and will be considered to offer or sell such securities to the purchaser:</w:t>
      </w:r>
    </w:p>
    <w:p>
      <w:pPr>
        <w:spacing w:after="0" w:line="39" w:lineRule="exact"/>
        <w:rPr>
          <w:sz w:val="20"/>
          <w:szCs w:val="20"/>
          <w:color w:val="auto"/>
        </w:rPr>
      </w:pPr>
    </w:p>
    <w:p>
      <w:pPr>
        <w:ind w:left="920" w:right="340" w:firstLine="421"/>
        <w:spacing w:after="0" w:line="275" w:lineRule="auto"/>
        <w:tabs>
          <w:tab w:leader="none" w:pos="154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497 under the Securities Act;</w:t>
      </w:r>
    </w:p>
    <w:p>
      <w:pPr>
        <w:spacing w:after="0" w:line="38" w:lineRule="exact"/>
        <w:rPr>
          <w:rFonts w:ascii="Times New Roman" w:cs="Times New Roman" w:eastAsia="Times New Roman" w:hAnsi="Times New Roman"/>
          <w:sz w:val="18"/>
          <w:szCs w:val="18"/>
          <w:color w:val="auto"/>
        </w:rPr>
      </w:pPr>
    </w:p>
    <w:p>
      <w:pPr>
        <w:ind w:left="920" w:right="380" w:firstLine="421"/>
        <w:spacing w:after="0" w:line="275" w:lineRule="auto"/>
        <w:tabs>
          <w:tab w:leader="none" w:pos="159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38"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0" w:lineRule="exact"/>
        <w:rPr>
          <w:rFonts w:ascii="Times New Roman" w:cs="Times New Roman" w:eastAsia="Times New Roman" w:hAnsi="Times New Roman"/>
          <w:sz w:val="18"/>
          <w:szCs w:val="18"/>
          <w:color w:val="auto"/>
        </w:rPr>
      </w:pPr>
    </w:p>
    <w:p>
      <w:pPr>
        <w:ind w:left="460" w:firstLine="443"/>
        <w:spacing w:after="0" w:line="255" w:lineRule="auto"/>
        <w:tabs>
          <w:tab w:leader="none" w:pos="114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(i) the Registrant receives, or has been advised by its independent registered accounting firm that it will receive, an audit report reflecting substantial doubt regarding the Registrant’s ability to continue as a going concern or (ii) the Registrant has concluded that a material adverse change has occurred in its financial position or results of operations that has caused the financial statements and other disclosures on the basis of which the offering would be made to be materially misleading.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no. 3 to the Registration Statement to be signed on its behalf by the undersigned, thereunto duly authorized, in the City of New York, and State of New York, on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day of September, 2009.</w:t>
      </w:r>
    </w:p>
    <w:p>
      <w:pPr>
        <w:spacing w:after="0" w:line="200" w:lineRule="exact"/>
        <w:rPr>
          <w:sz w:val="20"/>
          <w:szCs w:val="20"/>
          <w:color w:val="auto"/>
        </w:rPr>
      </w:pPr>
    </w:p>
    <w:p>
      <w:pPr>
        <w:spacing w:after="0" w:line="21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27"/>
        </w:trPr>
        <w:tc>
          <w:tcPr>
            <w:tcW w:w="38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w w:val="90"/>
              </w:rPr>
              <w:t>Name:</w:t>
            </w:r>
          </w:p>
        </w:tc>
        <w:tc>
          <w:tcPr>
            <w:tcW w:w="41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5"/>
              </w:rPr>
              <w:t>Arthur H. Penn</w:t>
            </w:r>
          </w:p>
        </w:tc>
      </w:tr>
      <w:tr>
        <w:trPr>
          <w:trHeight w:val="178"/>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Chief Executive Officer and Chairman of the Board</w:t>
            </w:r>
          </w:p>
        </w:tc>
      </w:tr>
    </w:tbl>
    <w:p>
      <w:pPr>
        <w:spacing w:after="0" w:line="135"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1 to the Registration Statement has been signed by the following persons in the capacities set forth below on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day of September, 2009.</w:t>
      </w:r>
    </w:p>
    <w:p>
      <w:pPr>
        <w:spacing w:after="0" w:line="199" w:lineRule="exact"/>
        <w:rPr>
          <w:sz w:val="20"/>
          <w:szCs w:val="20"/>
          <w:color w:val="auto"/>
        </w:rPr>
      </w:pPr>
    </w:p>
    <w:p>
      <w:pPr>
        <w:ind w:left="2360"/>
        <w:spacing w:after="0"/>
        <w:tabs>
          <w:tab w:leader="none" w:pos="836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c>
          <w:tcPr>
            <w:tcW w:w="61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Chairman of the Board of Directors and Chief Executive Officer (Principal</w:t>
            </w:r>
          </w:p>
        </w:tc>
      </w:tr>
      <w:tr>
        <w:trPr>
          <w:trHeight w:val="208"/>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c>
          <w:tcPr>
            <w:tcW w:w="61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8"/>
              </w:rPr>
              <w:t>Executive Officer)</w:t>
            </w:r>
          </w:p>
        </w:tc>
      </w:tr>
      <w:tr>
        <w:trPr>
          <w:trHeight w:val="420"/>
        </w:trPr>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VIV</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FRAT</w:t>
            </w:r>
          </w:p>
        </w:tc>
        <w:tc>
          <w:tcPr>
            <w:tcW w:w="61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7"/>
              </w:rPr>
              <w:t>Chief Financial Officer and Treasurer (Principal Financial and Accounting</w:t>
            </w:r>
          </w:p>
        </w:tc>
      </w:tr>
      <w:tr>
        <w:trPr>
          <w:trHeight w:val="208"/>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4"/>
              </w:rPr>
              <w:t>Aviv Efrat</w:t>
            </w:r>
          </w:p>
        </w:tc>
        <w:tc>
          <w:tcPr>
            <w:tcW w:w="61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6"/>
              </w:rPr>
              <w:t>Officer)</w:t>
            </w:r>
          </w:p>
        </w:tc>
      </w:tr>
      <w:tr>
        <w:trPr>
          <w:trHeight w:val="420"/>
        </w:trPr>
        <w:tc>
          <w:tcPr>
            <w:tcW w:w="5040" w:type="dxa"/>
            <w:vAlign w:val="bottom"/>
            <w:gridSpan w:val="3"/>
          </w:tcPr>
          <w:p>
            <w:pPr>
              <w:jc w:val="right"/>
              <w:ind w:right="2287"/>
              <w:spacing w:after="0"/>
              <w:rPr>
                <w:sz w:val="20"/>
                <w:szCs w:val="20"/>
                <w:color w:val="auto"/>
              </w:rPr>
            </w:pPr>
            <w:r>
              <w:rPr>
                <w:rFonts w:ascii="Times New Roman" w:cs="Times New Roman" w:eastAsia="Times New Roman" w:hAnsi="Times New Roman"/>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6"/>
              </w:rPr>
              <w:t>Adam K. Bernstein</w:t>
            </w:r>
          </w:p>
        </w:tc>
        <w:tc>
          <w:tcPr>
            <w:tcW w:w="61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17"/>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3"/>
              </w:rPr>
              <w:t>Jeffrey Flug</w:t>
            </w:r>
          </w:p>
        </w:tc>
        <w:tc>
          <w:tcPr>
            <w:tcW w:w="61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17"/>
        </w:trPr>
        <w:tc>
          <w:tcPr>
            <w:tcW w:w="5040" w:type="dxa"/>
            <w:vAlign w:val="bottom"/>
            <w:gridSpan w:val="3"/>
          </w:tcPr>
          <w:p>
            <w:pPr>
              <w:jc w:val="right"/>
              <w:ind w:right="2287"/>
              <w:spacing w:after="0"/>
              <w:rPr>
                <w:sz w:val="20"/>
                <w:szCs w:val="20"/>
                <w:color w:val="auto"/>
              </w:rPr>
            </w:pPr>
            <w:r>
              <w:rPr>
                <w:rFonts w:ascii="Times New Roman" w:cs="Times New Roman" w:eastAsia="Times New Roman" w:hAnsi="Times New Roman"/>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6"/>
              </w:rPr>
              <w:t>Marshall Brozost</w:t>
            </w:r>
          </w:p>
        </w:tc>
        <w:tc>
          <w:tcPr>
            <w:tcW w:w="61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17"/>
        </w:trPr>
        <w:tc>
          <w:tcPr>
            <w:tcW w:w="5040" w:type="dxa"/>
            <w:vAlign w:val="bottom"/>
            <w:gridSpan w:val="3"/>
          </w:tcPr>
          <w:p>
            <w:pPr>
              <w:jc w:val="right"/>
              <w:ind w:right="2287"/>
              <w:spacing w:after="0"/>
              <w:rPr>
                <w:sz w:val="20"/>
                <w:szCs w:val="20"/>
                <w:color w:val="auto"/>
              </w:rPr>
            </w:pPr>
            <w:r>
              <w:rPr>
                <w:rFonts w:ascii="Times New Roman" w:cs="Times New Roman" w:eastAsia="Times New Roman" w:hAnsi="Times New Roman"/>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4"/>
              </w:rPr>
              <w:t>Samuel L. Katz</w:t>
            </w:r>
          </w:p>
        </w:tc>
        <w:tc>
          <w:tcPr>
            <w:tcW w:w="61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6"/>
              </w:rPr>
              <w:t>Director</w:t>
            </w:r>
          </w:p>
        </w:tc>
      </w:tr>
    </w:tbl>
    <w:p>
      <w:pPr>
        <w:spacing w:after="0" w:line="175" w:lineRule="exact"/>
        <w:rPr>
          <w:sz w:val="20"/>
          <w:szCs w:val="20"/>
          <w:color w:val="auto"/>
        </w:rPr>
      </w:pPr>
    </w:p>
    <w:p>
      <w:pPr>
        <w:ind w:left="5580" w:right="1660" w:hanging="5572"/>
        <w:spacing w:after="0" w:line="447" w:lineRule="auto"/>
        <w:tabs>
          <w:tab w:leader="none" w:pos="4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56"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59"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We consent to the use of our report dated November 20, 2008 for the PennantPark Investment Corporation and to the references to our firm under the headings “Selected Financial Data”, “Senior Securities”, and “Independent Registered Public Accounting Firm” in Post-Effective Amendment No. 1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03375" cy="360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2009</w:t>
      </w:r>
    </w:p>
    <w:p>
      <w:pPr>
        <w:sectPr>
          <w:pgSz w:w="11900" w:h="16838" w:orient="portrait"/>
          <w:cols w:equalWidth="0" w:num="1">
            <w:col w:w="11420"/>
          </w:cols>
          <w:pgMar w:left="240" w:top="123"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Awareness Letter of Independent Registered Public Accounting Firm</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Securities Act Registration No. 333-150033 and Investment Company Act of 1940 File No. 814-00736.</w:t>
      </w:r>
    </w:p>
    <w:p>
      <w:pPr>
        <w:spacing w:after="0" w:line="17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With respect to the amendment to the subject registration statement, we acknowledge our awareness of the use therein of our report dated August 5, 2009 related to our review of interim financial information.</w:t>
      </w:r>
    </w:p>
    <w:p>
      <w:pPr>
        <w:spacing w:after="0" w:line="12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1603375" cy="3600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2009</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8"/>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1)"/>
      <w:numFmt w:val="decimal"/>
      <w:start w:val="2"/>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1)"/>
      <w:numFmt w:val="decimal"/>
      <w:start w:val="5"/>
    </w:lvl>
  </w:abstractNum>
  <w:abstractNum w:abstractNumId="25">
    <w:nsid w:val="15014ACB"/>
    <w:multiLevelType w:val="hybridMultilevel"/>
    <w:lvl w:ilvl="0">
      <w:lvlJc w:val="left"/>
      <w:lvlText w:val="(%1)"/>
      <w:numFmt w:val="lowerLetter"/>
      <w:start w:val="6"/>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decimal"/>
      <w:start w:val="3"/>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decimal"/>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lvl w:ilvl="1">
      <w:lvlJc w:val="left"/>
      <w:lvlText w:val="="/>
      <w:numFmt w:val="bullet"/>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1)"/>
      <w:numFmt w:val="decimal"/>
      <w:start w:val="1"/>
    </w:lvl>
    <w:lvl w:ilvl="1">
      <w:lvlJc w:val="left"/>
      <w:lvlText w:val="(%2)"/>
      <w:numFmt w:val="lowerLetter"/>
      <w:start w:val="1"/>
    </w:lvl>
  </w:abstractNum>
  <w:abstractNum w:abstractNumId="74">
    <w:nsid w:val="60EF0119"/>
    <w:multiLevelType w:val="hybridMultilevel"/>
    <w:lvl w:ilvl="0">
      <w:lvlJc w:val="left"/>
      <w:lvlText w:val="(%1)"/>
      <w:numFmt w:val="decimal"/>
      <w:start w:val="4"/>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decimal"/>
      <w:start w:val="1"/>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Roman"/>
      <w:start w:val="1"/>
    </w:lvl>
  </w:abstractNum>
  <w:abstractNum w:abstractNumId="85">
    <w:nsid w:val="6FC75AF8"/>
    <w:multiLevelType w:val="hybridMultilevel"/>
    <w:lvl w:ilvl="0">
      <w:lvlJc w:val="left"/>
      <w:lvlText w:val="(%1)"/>
      <w:numFmt w:val="lowerLetter"/>
      <w:start w:val="2"/>
    </w:lvl>
  </w:abstractNum>
  <w:abstractNum w:abstractNumId="86">
    <w:nsid w:val="6A5F7029"/>
    <w:multiLevelType w:val="hybridMultilevel"/>
    <w:lvl w:ilvl="0">
      <w:lvlJc w:val="left"/>
      <w:lvlText w:val="(%1)"/>
      <w:numFmt w:val="lowerLetter"/>
      <w:start w:val="5"/>
    </w:lvl>
  </w:abstractNum>
  <w:abstractNum w:abstractNumId="87">
    <w:nsid w:val="7D5E18F8"/>
    <w:multiLevelType w:val="hybridMultilevel"/>
    <w:lvl w:ilvl="0">
      <w:lvlJc w:val="left"/>
      <w:lvlText w:val="%1"/>
      <w:numFmt w:val="decimal"/>
      <w:start w:val="1"/>
    </w:lvl>
    <w:lvl w:ilvl="1">
      <w:lvlJc w:val="left"/>
      <w:lvlText w:val="(%2)"/>
      <w:numFmt w:val="lowerLetter"/>
      <w:start w:val="10"/>
    </w:lvl>
  </w:abstractNum>
  <w:abstractNum w:abstractNumId="88">
    <w:nsid w:val="5F3534A4"/>
    <w:multiLevelType w:val="hybridMultilevel"/>
    <w:lvl w:ilvl="0">
      <w:lvlJc w:val="left"/>
      <w:lvlText w:val="%1."/>
      <w:numFmt w:val="decimal"/>
      <w:start w:val="3"/>
    </w:lvl>
    <w:lvl w:ilvl="1">
      <w:lvlJc w:val="left"/>
      <w:lvlText w:val="%2"/>
      <w:numFmt w:val="lowerLetter"/>
      <w:start w:val="1"/>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lowerLetter"/>
      <w:start w:val="2"/>
    </w:lvl>
  </w:abstractNum>
  <w:abstractNum w:abstractNumId="97">
    <w:nsid w:val="53299938"/>
    <w:multiLevelType w:val="hybridMultilevel"/>
    <w:lvl w:ilvl="0">
      <w:lvlJc w:val="left"/>
      <w:lvlText w:val="(%1)"/>
      <w:numFmt w:val="lowerLetter"/>
      <w:start w:val="5"/>
    </w:lvl>
  </w:abstractNum>
  <w:abstractNum w:abstractNumId="98">
    <w:nsid w:val="1FBFE8E0"/>
    <w:multiLevelType w:val="hybridMultilevel"/>
    <w:lvl w:ilvl="0">
      <w:lvlJc w:val="left"/>
      <w:lvlText w:val="(%1)"/>
      <w:numFmt w:val="lowerLetter"/>
      <w:start w:val="10"/>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1"/>
    </w:lvl>
  </w:abstractNum>
  <w:abstractNum w:abstractNumId="102">
    <w:nsid w:val="288F1A34"/>
    <w:multiLevelType w:val="hybridMultilevel"/>
    <w:lvl w:ilvl="0">
      <w:lvlJc w:val="left"/>
      <w:lvlText w:val="*"/>
      <w:numFmt w:val="bullet"/>
      <w:start w:val="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1)"/>
      <w:numFmt w:val="decimal"/>
      <w:start w:val="1"/>
    </w:lvl>
    <w:lvl w:ilvl="1">
      <w:lvlJc w:val="left"/>
      <w:lvlText w:val="(%2)"/>
      <w:numFmt w:val="lowerRoman"/>
      <w:start w:val="1"/>
    </w:lvl>
  </w:abstractNum>
  <w:abstractNum w:abstractNumId="110">
    <w:nsid w:val="7C58FD05"/>
    <w:multiLevelType w:val="hybridMultilevel"/>
    <w:lvl w:ilvl="0">
      <w:lvlJc w:val="left"/>
      <w:lvlText w:val="%1"/>
      <w:numFmt w:val="decimal"/>
      <w:start w:val="1"/>
    </w:lvl>
    <w:lvl w:ilvl="1">
      <w:lvlJc w:val="left"/>
      <w:lvlText w:val="(%2)"/>
      <w:numFmt w:val="lowerRoman"/>
      <w:start w:val="1"/>
    </w:lvl>
  </w:abstractNum>
  <w:abstractNum w:abstractNumId="111">
    <w:nsid w:val="23D86AAC"/>
    <w:multiLevelType w:val="hybridMultilevel"/>
    <w:lvl w:ilvl="0">
      <w:lvlJc w:val="left"/>
      <w:lvlText w:val="(%1)"/>
      <w:numFmt w:val="decimal"/>
      <w:start w:val="7"/>
    </w:lvl>
    <w:lvl w:ilvl="1">
      <w:lvlJc w:val="left"/>
      <w:lvlText w:val="%2"/>
      <w:numFmt w:val="lowerRoman"/>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2019-12-15T13:00:11Z</dcterms:created>
  <dcterms:modified xsi:type="dcterms:W3CDTF">2019-12-15T13:00:11Z</dcterms:modified>
</cp:coreProperties>
</file>