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708062104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44"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708062104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Credit Suisse</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[x]</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Switzerland</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00" w:type="dxa"/>
            <w:vAlign w:val="bottom"/>
          </w:tcPr>
          <w:p>
            <w:pPr>
              <w:spacing w:after="0"/>
              <w:rPr>
                <w:sz w:val="23"/>
                <w:szCs w:val="23"/>
                <w:color w:val="auto"/>
              </w:rPr>
            </w:pPr>
          </w:p>
        </w:tc>
        <w:tc>
          <w:tcPr>
            <w:tcW w:w="7540" w:type="dxa"/>
            <w:vAlign w:val="bottom"/>
          </w:tcPr>
          <w:p>
            <w:pPr>
              <w:ind w:left="40"/>
              <w:spacing w:after="0"/>
              <w:rPr>
                <w:sz w:val="20"/>
                <w:szCs w:val="20"/>
                <w:color w:val="auto"/>
              </w:rPr>
            </w:pPr>
            <w:r>
              <w:rPr>
                <w:rFonts w:ascii="Arial" w:cs="Arial" w:eastAsia="Arial" w:hAnsi="Arial"/>
                <w:sz w:val="22"/>
                <w:szCs w:val="22"/>
                <w:color w:val="auto"/>
              </w:rPr>
              <w:t>5. SOLE VOTING POWER</w:t>
            </w:r>
          </w:p>
        </w:tc>
        <w:tc>
          <w:tcPr>
            <w:tcW w:w="154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7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00" w:type="dxa"/>
            <w:vAlign w:val="bottom"/>
          </w:tcPr>
          <w:p>
            <w:pPr>
              <w:spacing w:after="0"/>
              <w:rPr>
                <w:sz w:val="21"/>
                <w:szCs w:val="21"/>
                <w:color w:val="auto"/>
              </w:rPr>
            </w:pPr>
          </w:p>
        </w:tc>
        <w:tc>
          <w:tcPr>
            <w:tcW w:w="7540" w:type="dxa"/>
            <w:vAlign w:val="bottom"/>
            <w:vMerge w:val="restart"/>
          </w:tcPr>
          <w:p>
            <w:pPr>
              <w:ind w:left="40"/>
              <w:spacing w:after="0"/>
              <w:rPr>
                <w:sz w:val="20"/>
                <w:szCs w:val="20"/>
                <w:color w:val="auto"/>
              </w:rPr>
            </w:pPr>
            <w:r>
              <w:rPr>
                <w:rFonts w:ascii="Arial" w:cs="Arial" w:eastAsia="Arial" w:hAnsi="Arial"/>
                <w:sz w:val="22"/>
                <w:szCs w:val="22"/>
                <w:color w:val="auto"/>
              </w:rPr>
              <w:t>6. SHARED VOTING POWER</w:t>
            </w:r>
          </w:p>
        </w:tc>
        <w:tc>
          <w:tcPr>
            <w:tcW w:w="1540" w:type="dxa"/>
            <w:vAlign w:val="bottom"/>
            <w:vMerge w:val="restart"/>
          </w:tcPr>
          <w:p>
            <w:pPr>
              <w:ind w:left="80"/>
              <w:spacing w:after="0"/>
              <w:rPr>
                <w:sz w:val="20"/>
                <w:szCs w:val="20"/>
                <w:color w:val="auto"/>
              </w:rPr>
            </w:pPr>
            <w:r>
              <w:rPr>
                <w:rFonts w:ascii="Arial" w:cs="Arial" w:eastAsia="Arial" w:hAnsi="Arial"/>
                <w:sz w:val="22"/>
                <w:szCs w:val="22"/>
                <w:color w:val="auto"/>
              </w:rPr>
              <w:t>8,859</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00" w:type="dxa"/>
            <w:vAlign w:val="bottom"/>
          </w:tcPr>
          <w:p>
            <w:pPr>
              <w:spacing w:after="0"/>
              <w:rPr>
                <w:sz w:val="14"/>
                <w:szCs w:val="14"/>
                <w:color w:val="auto"/>
              </w:rPr>
            </w:pPr>
          </w:p>
        </w:tc>
        <w:tc>
          <w:tcPr>
            <w:tcW w:w="75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75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7540" w:type="dxa"/>
            <w:vAlign w:val="bottom"/>
            <w:vMerge w:val="restart"/>
          </w:tcPr>
          <w:p>
            <w:pPr>
              <w:ind w:left="40"/>
              <w:spacing w:after="0"/>
              <w:rPr>
                <w:sz w:val="20"/>
                <w:szCs w:val="20"/>
                <w:color w:val="auto"/>
              </w:rPr>
            </w:pPr>
            <w:r>
              <w:rPr>
                <w:rFonts w:ascii="Arial" w:cs="Arial" w:eastAsia="Arial" w:hAnsi="Arial"/>
                <w:sz w:val="22"/>
                <w:szCs w:val="22"/>
                <w:color w:val="auto"/>
              </w:rPr>
              <w:t>7. SOLE DISPOSITIVE POWER</w:t>
            </w:r>
          </w:p>
        </w:tc>
        <w:tc>
          <w:tcPr>
            <w:tcW w:w="154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00" w:type="dxa"/>
            <w:vAlign w:val="bottom"/>
          </w:tcPr>
          <w:p>
            <w:pPr>
              <w:spacing w:after="0"/>
              <w:rPr>
                <w:sz w:val="12"/>
                <w:szCs w:val="12"/>
                <w:color w:val="auto"/>
              </w:rPr>
            </w:pPr>
          </w:p>
        </w:tc>
        <w:tc>
          <w:tcPr>
            <w:tcW w:w="754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00" w:type="dxa"/>
            <w:vAlign w:val="bottom"/>
          </w:tcPr>
          <w:p>
            <w:pPr>
              <w:spacing w:after="0"/>
              <w:rPr>
                <w:sz w:val="23"/>
                <w:szCs w:val="23"/>
                <w:color w:val="auto"/>
              </w:rPr>
            </w:pPr>
          </w:p>
        </w:tc>
        <w:tc>
          <w:tcPr>
            <w:tcW w:w="7540" w:type="dxa"/>
            <w:vAlign w:val="bottom"/>
            <w:vMerge w:val="restart"/>
          </w:tcPr>
          <w:p>
            <w:pPr>
              <w:ind w:left="40"/>
              <w:spacing w:after="0"/>
              <w:rPr>
                <w:sz w:val="20"/>
                <w:szCs w:val="20"/>
                <w:color w:val="auto"/>
              </w:rPr>
            </w:pPr>
            <w:r>
              <w:rPr>
                <w:rFonts w:ascii="Arial" w:cs="Arial" w:eastAsia="Arial" w:hAnsi="Arial"/>
                <w:sz w:val="22"/>
                <w:szCs w:val="22"/>
                <w:color w:val="auto"/>
              </w:rPr>
              <w:t>8. SHARED DISPOSITIVE POWER</w:t>
            </w:r>
          </w:p>
        </w:tc>
        <w:tc>
          <w:tcPr>
            <w:tcW w:w="1540" w:type="dxa"/>
            <w:vAlign w:val="bottom"/>
            <w:vMerge w:val="restart"/>
          </w:tcPr>
          <w:p>
            <w:pPr>
              <w:ind w:left="80"/>
              <w:spacing w:after="0"/>
              <w:rPr>
                <w:sz w:val="20"/>
                <w:szCs w:val="20"/>
                <w:color w:val="auto"/>
              </w:rPr>
            </w:pPr>
            <w:r>
              <w:rPr>
                <w:rFonts w:ascii="Arial" w:cs="Arial" w:eastAsia="Arial" w:hAnsi="Arial"/>
                <w:sz w:val="22"/>
                <w:szCs w:val="22"/>
                <w:color w:val="auto"/>
              </w:rPr>
              <w:t>8,859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54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8140" w:type="dxa"/>
            <w:vAlign w:val="bottom"/>
            <w:gridSpan w:val="2"/>
          </w:tcPr>
          <w:p>
            <w:pPr>
              <w:ind w:left="80"/>
              <w:spacing w:after="0"/>
              <w:rPr>
                <w:sz w:val="20"/>
                <w:szCs w:val="20"/>
                <w:color w:val="auto"/>
              </w:rPr>
            </w:pPr>
            <w:r>
              <w:rPr>
                <w:rFonts w:ascii="Arial" w:cs="Arial" w:eastAsia="Arial" w:hAnsi="Arial"/>
                <w:sz w:val="22"/>
                <w:szCs w:val="22"/>
                <w:color w:val="auto"/>
                <w:w w:val="96"/>
              </w:rPr>
              <w:t>AGGREGATE AMOUNT BENEFICIALLY OWNED BY EACH REPORTING PERSON</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22"/>
                <w:szCs w:val="22"/>
                <w:color w:val="auto"/>
                <w:w w:val="90"/>
              </w:rPr>
              <w:t>8,859</w:t>
            </w:r>
          </w:p>
        </w:tc>
        <w:tc>
          <w:tcPr>
            <w:tcW w:w="7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8140" w:type="dxa"/>
            <w:vAlign w:val="bottom"/>
            <w:gridSpan w:val="2"/>
          </w:tcPr>
          <w:p>
            <w:pPr>
              <w:ind w:left="80"/>
              <w:spacing w:after="0"/>
              <w:rPr>
                <w:sz w:val="20"/>
                <w:szCs w:val="20"/>
                <w:color w:val="auto"/>
              </w:rPr>
            </w:pPr>
            <w:r>
              <w:rPr>
                <w:rFonts w:ascii="Arial" w:cs="Arial" w:eastAsia="Arial" w:hAnsi="Arial"/>
                <w:sz w:val="22"/>
                <w:szCs w:val="22"/>
                <w:color w:val="auto"/>
                <w:w w:val="95"/>
              </w:rPr>
              <w:t>CHECK IF THE AGGREGATE AMOUNT IN ROW (9) EXCLUDES CERTAIN SHARES</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22"/>
                <w:szCs w:val="22"/>
                <w:color w:val="auto"/>
              </w:rPr>
              <w:t>[ ]</w:t>
            </w:r>
          </w:p>
        </w:tc>
        <w:tc>
          <w:tcPr>
            <w:tcW w:w="7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814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22"/>
                <w:szCs w:val="22"/>
                <w:color w:val="auto"/>
                <w:w w:val="99"/>
              </w:rPr>
              <w:t>0.0%</w:t>
            </w:r>
          </w:p>
        </w:tc>
        <w:tc>
          <w:tcPr>
            <w:tcW w:w="7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814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8140" w:type="dxa"/>
            <w:vAlign w:val="bottom"/>
            <w:gridSpan w:val="2"/>
          </w:tcPr>
          <w:p>
            <w:pPr>
              <w:ind w:left="80"/>
              <w:spacing w:after="0"/>
              <w:rPr>
                <w:sz w:val="20"/>
                <w:szCs w:val="20"/>
                <w:color w:val="auto"/>
              </w:rPr>
            </w:pPr>
            <w:r>
              <w:rPr>
                <w:rFonts w:ascii="Arial" w:cs="Arial" w:eastAsia="Arial" w:hAnsi="Arial"/>
                <w:sz w:val="22"/>
                <w:szCs w:val="22"/>
                <w:color w:val="auto"/>
              </w:rPr>
              <w:t>BK, HC</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5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line="182" w:lineRule="auto"/>
        <w:framePr w:w="680" w:h="193" w:wrap="auto" w:vAnchor="page" w:hAnchor="page" w:x="1660" w:y="9550"/>
        <w:rPr>
          <w:rFonts w:ascii="Arial" w:cs="Arial" w:eastAsia="Arial" w:hAnsi="Arial"/>
          <w:sz w:val="22"/>
          <w:szCs w:val="22"/>
          <w:color w:val="auto"/>
        </w:rPr>
      </w:pPr>
      <w:r>
        <w:rPr>
          <w:rFonts w:ascii="Arial" w:cs="Arial" w:eastAsia="Arial" w:hAnsi="Arial"/>
          <w:sz w:val="22"/>
          <w:szCs w:val="22"/>
          <w:color w:val="auto"/>
        </w:rPr>
        <w:t>(i)  [ ]</w:t>
      </w:r>
    </w:p>
    <w:p>
      <w:pPr>
        <w:spacing w:after="0" w:line="182" w:lineRule="auto"/>
        <w:framePr w:w="680" w:h="193" w:wrap="auto" w:vAnchor="page" w:hAnchor="page" w:x="1660" w:y="10049"/>
        <w:rPr>
          <w:rFonts w:ascii="Arial" w:cs="Arial" w:eastAsia="Arial" w:hAnsi="Arial"/>
          <w:sz w:val="22"/>
          <w:szCs w:val="22"/>
          <w:color w:val="auto"/>
        </w:rPr>
      </w:pPr>
      <w:r>
        <w:rPr>
          <w:rFonts w:ascii="Arial" w:cs="Arial" w:eastAsia="Arial" w:hAnsi="Arial"/>
          <w:sz w:val="22"/>
          <w:szCs w:val="22"/>
          <w:color w:val="auto"/>
        </w:rPr>
        <w:t>(j)  [ ]</w:t>
      </w:r>
    </w:p>
    <w:p>
      <w:pPr>
        <w:spacing w:after="0" w:line="182" w:lineRule="auto"/>
        <w:framePr w:w="680" w:h="193" w:wrap="auto" w:vAnchor="page" w:hAnchor="page" w:x="1660" w:y="7416"/>
        <w:rPr>
          <w:rFonts w:ascii="Arial" w:cs="Arial" w:eastAsia="Arial" w:hAnsi="Arial"/>
          <w:sz w:val="22"/>
          <w:szCs w:val="22"/>
          <w:color w:val="auto"/>
        </w:rPr>
      </w:pPr>
      <w:r>
        <w:rPr>
          <w:rFonts w:ascii="Arial" w:cs="Arial" w:eastAsia="Arial" w:hAnsi="Arial"/>
          <w:sz w:val="22"/>
          <w:szCs w:val="22"/>
          <w:color w:val="auto"/>
        </w:rPr>
        <w:t>(d)  [ ]</w:t>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PennantPark Investment Corporation</w:t>
      </w:r>
    </w:p>
    <w:p>
      <w:pPr>
        <w:spacing w:after="0" w:line="101" w:lineRule="exact"/>
        <w:rPr>
          <w:rFonts w:ascii="Arial" w:cs="Arial" w:eastAsia="Arial" w:hAnsi="Arial"/>
          <w:sz w:val="22"/>
          <w:szCs w:val="22"/>
          <w:b w:val="1"/>
          <w:bCs w:val="1"/>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590 Madison Avenue, 15th Floor, New York, New York 10022 , USA</w:t>
      </w:r>
    </w:p>
    <w:p>
      <w:pPr>
        <w:spacing w:after="0" w:line="101"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rFonts w:ascii="Arial" w:cs="Arial" w:eastAsia="Arial" w:hAnsi="Arial"/>
          <w:sz w:val="22"/>
          <w:szCs w:val="22"/>
          <w:color w:val="auto"/>
        </w:rPr>
      </w:pPr>
    </w:p>
    <w:p>
      <w:pPr>
        <w:ind w:left="1780" w:right="68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Credit Suisse. See Schedule I.</w:t>
      </w:r>
    </w:p>
    <w:p>
      <w:pPr>
        <w:spacing w:after="0" w:line="11" w:lineRule="exact"/>
        <w:rPr>
          <w:rFonts w:ascii="Arial" w:cs="Arial" w:eastAsia="Arial" w:hAnsi="Arial"/>
          <w:sz w:val="19"/>
          <w:szCs w:val="19"/>
          <w:b w:val="1"/>
          <w:bCs w:val="1"/>
          <w:color w:val="auto"/>
        </w:rPr>
      </w:pPr>
    </w:p>
    <w:p>
      <w:pPr>
        <w:ind w:left="1780" w:right="370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Uetlibergstrasse 231, P.O. Box 900, CH 8070 Zurich , Switzerland</w:t>
      </w:r>
    </w:p>
    <w:p>
      <w:pPr>
        <w:spacing w:after="0" w:line="11" w:lineRule="exact"/>
        <w:rPr>
          <w:rFonts w:ascii="Arial" w:cs="Arial" w:eastAsia="Arial" w:hAnsi="Arial"/>
          <w:sz w:val="19"/>
          <w:szCs w:val="19"/>
          <w:b w:val="1"/>
          <w:bCs w:val="1"/>
          <w:color w:val="auto"/>
        </w:rPr>
      </w:pPr>
    </w:p>
    <w:p>
      <w:pPr>
        <w:jc w:val="both"/>
        <w:ind w:left="1780" w:right="840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Switzerland</w:t>
      </w:r>
    </w:p>
    <w:p>
      <w:pPr>
        <w:spacing w:after="0" w:line="11" w:lineRule="exact"/>
        <w:rPr>
          <w:rFonts w:ascii="Arial" w:cs="Arial" w:eastAsia="Arial" w:hAnsi="Arial"/>
          <w:sz w:val="19"/>
          <w:szCs w:val="19"/>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Title of Class of Securities</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Common Stock, par value $0.001 per share</w:t>
      </w:r>
    </w:p>
    <w:p>
      <w:pPr>
        <w:spacing w:after="0" w:line="101" w:lineRule="exact"/>
        <w:rPr>
          <w:rFonts w:ascii="Arial" w:cs="Arial" w:eastAsia="Arial" w:hAnsi="Arial"/>
          <w:sz w:val="22"/>
          <w:szCs w:val="22"/>
          <w:b w:val="1"/>
          <w:bCs w:val="1"/>
          <w:color w:val="auto"/>
        </w:rPr>
      </w:pPr>
    </w:p>
    <w:p>
      <w:pPr>
        <w:ind w:left="1780" w:right="79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708062104</w:t>
      </w:r>
    </w:p>
    <w:p>
      <w:pPr>
        <w:spacing w:after="0" w:line="11" w:lineRule="exact"/>
        <w:rPr>
          <w:rFonts w:ascii="Arial" w:cs="Arial" w:eastAsia="Arial" w:hAnsi="Arial"/>
          <w:sz w:val="22"/>
          <w:szCs w:val="22"/>
          <w:color w:val="auto"/>
        </w:rPr>
      </w:pPr>
    </w:p>
    <w:p>
      <w:pPr>
        <w:ind w:left="1380" w:right="16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80a-8).</w:t>
      </w:r>
    </w:p>
    <w:p>
      <w:pPr>
        <w:spacing w:after="0" w:line="107"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60" w:lineRule="exact"/>
        <w:rPr>
          <w:rFonts w:ascii="Arial" w:cs="Arial" w:eastAsia="Arial" w:hAnsi="Arial"/>
          <w:sz w:val="22"/>
          <w:szCs w:val="22"/>
          <w:color w:val="auto"/>
        </w:rPr>
      </w:pPr>
    </w:p>
    <w:p>
      <w:pPr>
        <w:ind w:left="2240" w:right="8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rFonts w:ascii="Arial" w:cs="Arial" w:eastAsia="Arial" w:hAnsi="Arial"/>
          <w:sz w:val="22"/>
          <w:szCs w:val="22"/>
          <w:color w:val="auto"/>
        </w:rPr>
      </w:pPr>
    </w:p>
    <w:p>
      <w:pPr>
        <w:ind w:left="1380" w:right="40"/>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rFonts w:ascii="Arial" w:cs="Arial" w:eastAsia="Arial" w:hAnsi="Arial"/>
          <w:sz w:val="22"/>
          <w:szCs w:val="22"/>
          <w:color w:val="auto"/>
        </w:rPr>
      </w:pPr>
    </w:p>
    <w:p>
      <w:pPr>
        <w:ind w:left="1780" w:right="6880" w:hanging="407"/>
        <w:spacing w:after="0" w:line="358" w:lineRule="auto"/>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Beneficially Owned: 8,859</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0.0%</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44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220" w:type="dxa"/>
            <w:vAlign w:val="bottom"/>
          </w:tcPr>
          <w:p>
            <w:pPr>
              <w:ind w:left="172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44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220" w:type="dxa"/>
            <w:vAlign w:val="bottom"/>
          </w:tcPr>
          <w:p>
            <w:pPr>
              <w:ind w:left="1720"/>
              <w:spacing w:after="0"/>
              <w:rPr>
                <w:sz w:val="20"/>
                <w:szCs w:val="20"/>
                <w:color w:val="auto"/>
              </w:rPr>
            </w:pPr>
            <w:r>
              <w:rPr>
                <w:rFonts w:ascii="Arial" w:cs="Arial" w:eastAsia="Arial" w:hAnsi="Arial"/>
                <w:sz w:val="22"/>
                <w:szCs w:val="22"/>
                <w:color w:val="auto"/>
                <w:w w:val="87"/>
              </w:rPr>
              <w:t>8,859</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44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220" w:type="dxa"/>
            <w:vAlign w:val="bottom"/>
          </w:tcPr>
          <w:p>
            <w:pPr>
              <w:ind w:left="172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44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220" w:type="dxa"/>
            <w:vAlign w:val="bottom"/>
          </w:tcPr>
          <w:p>
            <w:pPr>
              <w:ind w:left="1720"/>
              <w:spacing w:after="0"/>
              <w:rPr>
                <w:sz w:val="20"/>
                <w:szCs w:val="20"/>
                <w:color w:val="auto"/>
              </w:rPr>
            </w:pPr>
            <w:r>
              <w:rPr>
                <w:rFonts w:ascii="Arial" w:cs="Arial" w:eastAsia="Arial" w:hAnsi="Arial"/>
                <w:sz w:val="22"/>
                <w:szCs w:val="22"/>
                <w:color w:val="auto"/>
                <w:w w:val="87"/>
              </w:rPr>
              <w:t>8,859</w:t>
            </w:r>
          </w:p>
        </w:tc>
      </w:tr>
    </w:tbl>
    <w:p>
      <w:pPr>
        <w:spacing w:after="0" w:line="98"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rFonts w:ascii="Arial" w:cs="Arial" w:eastAsia="Arial" w:hAnsi="Arial"/>
          <w:sz w:val="22"/>
          <w:szCs w:val="22"/>
          <w:color w:val="auto"/>
        </w:rPr>
      </w:pPr>
    </w:p>
    <w:p>
      <w:pPr>
        <w:ind w:left="1380" w:right="4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[X]</w:t>
      </w:r>
    </w:p>
    <w:p>
      <w:pPr>
        <w:spacing w:after="0" w:line="64"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rFonts w:ascii="Arial" w:cs="Arial" w:eastAsia="Arial" w:hAnsi="Arial"/>
          <w:sz w:val="22"/>
          <w:szCs w:val="22"/>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20"/>
          </w:cols>
          <w:pgMar w:left="320" w:top="409" w:right="359" w:bottom="0" w:gutter="0" w:footer="0" w:header="0"/>
        </w:sectPr>
      </w:pPr>
    </w:p>
    <w:bookmarkStart w:id="3" w:name="page4"/>
    <w:bookmarkEnd w:id="3"/>
    <w:p>
      <w:pPr>
        <w:ind w:left="1380" w:right="100" w:hanging="1363"/>
        <w:spacing w:after="0" w:line="257" w:lineRule="auto"/>
        <w:tabs>
          <w:tab w:leader="none" w:pos="13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 or Control Person.</w:t>
      </w:r>
    </w:p>
    <w:p>
      <w:pPr>
        <w:spacing w:after="0" w:line="86"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See Schedule I.</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jc w:val="center"/>
        <w:ind w:right="70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00"/>
          </w:cols>
          <w:pgMar w:left="320" w:top="112"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875665</wp:posOffset>
            </wp:positionH>
            <wp:positionV relativeFrom="page">
              <wp:posOffset>88900</wp:posOffset>
            </wp:positionV>
            <wp:extent cx="581850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8505" cy="2794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Date: February 12, 2009</w:t>
      </w:r>
    </w:p>
    <w:p>
      <w:pPr>
        <w:spacing w:after="0" w:line="287"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Credit Suisse</w:t>
      </w:r>
    </w:p>
    <w:p>
      <w:pPr>
        <w:spacing w:after="0" w:line="287"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By: /s/ Louise Guarneri</w:t>
      </w:r>
    </w:p>
    <w:p>
      <w:pPr>
        <w:spacing w:after="0" w:line="44" w:lineRule="exact"/>
        <w:rPr>
          <w:sz w:val="20"/>
          <w:szCs w:val="20"/>
          <w:color w:val="auto"/>
        </w:rPr>
      </w:pPr>
    </w:p>
    <w:p>
      <w:pPr>
        <w:ind w:left="3340" w:hanging="129"/>
        <w:spacing w:after="0"/>
        <w:tabs>
          <w:tab w:leader="none" w:pos="3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p>
    <w:p>
      <w:pPr>
        <w:spacing w:after="0" w:line="44" w:lineRule="exact"/>
        <w:rPr>
          <w:rFonts w:ascii="Arial" w:cs="Arial" w:eastAsia="Arial" w:hAnsi="Arial"/>
          <w:sz w:val="22"/>
          <w:szCs w:val="22"/>
          <w:color w:val="auto"/>
        </w:rPr>
      </w:pPr>
    </w:p>
    <w:p>
      <w:pPr>
        <w:ind w:left="3220"/>
        <w:spacing w:after="0"/>
        <w:rPr>
          <w:rFonts w:ascii="Arial" w:cs="Arial" w:eastAsia="Arial" w:hAnsi="Arial"/>
          <w:sz w:val="22"/>
          <w:szCs w:val="22"/>
          <w:color w:val="auto"/>
        </w:rPr>
      </w:pPr>
      <w:r>
        <w:rPr>
          <w:rFonts w:ascii="Arial" w:cs="Arial" w:eastAsia="Arial" w:hAnsi="Arial"/>
          <w:sz w:val="22"/>
          <w:szCs w:val="22"/>
          <w:color w:val="auto"/>
        </w:rPr>
        <w:t>Name: Louise Guarneri</w:t>
      </w:r>
    </w:p>
    <w:p>
      <w:pPr>
        <w:spacing w:after="0" w:line="44" w:lineRule="exact"/>
        <w:rPr>
          <w:rFonts w:ascii="Arial" w:cs="Arial" w:eastAsia="Arial" w:hAnsi="Arial"/>
          <w:sz w:val="22"/>
          <w:szCs w:val="22"/>
          <w:color w:val="auto"/>
        </w:rPr>
      </w:pPr>
    </w:p>
    <w:p>
      <w:pPr>
        <w:ind w:left="3220"/>
        <w:spacing w:after="0"/>
        <w:rPr>
          <w:rFonts w:ascii="Arial" w:cs="Arial" w:eastAsia="Arial" w:hAnsi="Arial"/>
          <w:sz w:val="22"/>
          <w:szCs w:val="22"/>
          <w:color w:val="auto"/>
        </w:rPr>
      </w:pPr>
      <w:r>
        <w:rPr>
          <w:rFonts w:ascii="Arial" w:cs="Arial" w:eastAsia="Arial" w:hAnsi="Arial"/>
          <w:sz w:val="22"/>
          <w:szCs w:val="22"/>
          <w:color w:val="auto"/>
        </w:rPr>
        <w:t>Title: Managing Director</w:t>
      </w:r>
    </w:p>
    <w:p>
      <w:pPr>
        <w:sectPr>
          <w:pgSz w:w="11900" w:h="16838" w:orient="portrait"/>
          <w:cols w:equalWidth="0" w:num="1">
            <w:col w:w="9019"/>
          </w:cols>
          <w:pgMar w:left="1440" w:top="436"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875665</wp:posOffset>
            </wp:positionH>
            <wp:positionV relativeFrom="page">
              <wp:posOffset>88900</wp:posOffset>
            </wp:positionV>
            <wp:extent cx="581850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8505" cy="27940"/>
                    </a:xfrm>
                    <a:prstGeom prst="rect">
                      <a:avLst/>
                    </a:prstGeom>
                    <a:noFill/>
                  </pic:spPr>
                </pic:pic>
              </a:graphicData>
            </a:graphic>
          </wp:anchor>
        </w:drawing>
        <w:t>Schedule I</w:t>
      </w:r>
    </w:p>
    <w:p>
      <w:pPr>
        <w:spacing w:after="0" w:line="334"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In accordance with Securities and Exchange Commission Release No. 34-39538 (January 12, 1998), this Statement is being filed by Credit Suisse (the "Bank"), a Swiss bank, on behalf of its subsidiaries to the extent that they constitute the Investment Banking division (the "Investment Banking division"), the Alternative Investments business (the "AI Business") within the Asset Management division (the "Asset Management division") and the U.S. private client services business (the "U.S. PCS Business") within the Private Banking division (the "Private Banking division") (the "Reporting Person"). The address of the principal business and office of the Bank is Uetlibergstrasse 231, P.O. Box 900, CH 8070 Zurich , Switzerland . The address of the principal business and office of the Reporting Person in the United States is Eleven Madison Avenue, New York, New York 10010.</w:t>
      </w:r>
    </w:p>
    <w:p>
      <w:pPr>
        <w:spacing w:after="0" w:line="159"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The ultimate parent company of the Bank is Credit Suisse Group ("CSG"), a corporation formed under the laws of Switzerland. CSG is a global financial services company, active in all major financial centers and providing a comprehensive range of banking products. The Bank is comprised of the Investment Banking division, the Asset Management division and the Private Banking division. The Investment Banking division provides financial advisory and capital raising services and sales and trading to institutional, corporate and government clients worldwide. The Asset Management division provides asset management and investment advisory services to institutional, mutual fund and private investors worldwide and offers products across a broad range of investment classes, including alternative investments. The Private Banking division offers global private banking and corporate and retail banking services in Switzerland. The business address of CSG is Paradeplatz 8, P.O. Box 1, CH 8070 Zurich, Switzerland.</w:t>
      </w:r>
    </w:p>
    <w:p>
      <w:pPr>
        <w:spacing w:after="0" w:line="15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CSG, for purposes of the federal securities laws, may be deemed ultimately to control the Bank and the Reporting Person. CSG, its executive officers and directors, and its direct and indirect subsidiaries (including those subsidiaries that constitute the Asset Management division (other than the AI Business) (the "Traditional AM Business") and the Private Banking division (other than the U.S. PCS Business (the "Non-U.S. PB Business")) may beneficially own Shares to which this Statement relates (the "Shares") and such Shares are not reported in this Statement. CSG disclaims beneficial ownership of Shares beneficially owned by its direct and indirect subsidiaries, including the Reporting Person. Each of the Traditional AM Business and the Non-U.S. PB Business disclaims beneficial ownership of Shares beneficially owned by the Reporting Person. The Reporting Person disclaims beneficial ownership of Shares beneficially owned by CSG, the Traditional AM Business and the Non-U.S. PB Business.</w:t>
      </w:r>
    </w:p>
    <w:sectPr>
      <w:pgSz w:w="11900" w:h="16838" w:orient="portrait"/>
      <w:cols w:equalWidth="0" w:num="1">
        <w:col w:w="9020"/>
      </w:cols>
      <w:pgMar w:left="1440" w:top="436"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5"/>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2019-12-11T03:17:27Z</dcterms:created>
  <dcterms:modified xsi:type="dcterms:W3CDTF">2019-12-11T03:17:27Z</dcterms:modified>
</cp:coreProperties>
</file>