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2654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6540" cy="325755"/>
                    </a:xfrm>
                    <a:prstGeom prst="rect">
                      <a:avLst/>
                    </a:prstGeom>
                    <a:noFill/>
                  </pic:spPr>
                </pic:pic>
              </a:graphicData>
            </a:graphic>
          </wp:anchor>
        </w:drawing>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Prices Public Offering</w:t>
      </w:r>
    </w:p>
    <w:p>
      <w:pPr>
        <w:spacing w:after="0" w:line="177" w:lineRule="exact"/>
        <w:rPr>
          <w:sz w:val="24"/>
          <w:szCs w:val="24"/>
          <w:color w:val="auto"/>
        </w:rPr>
      </w:pPr>
    </w:p>
    <w:p>
      <w:pPr>
        <w:ind w:right="40" w:firstLine="456"/>
        <w:spacing w:after="0" w:line="298" w:lineRule="auto"/>
        <w:rPr>
          <w:sz w:val="20"/>
          <w:szCs w:val="20"/>
          <w:color w:val="auto"/>
        </w:rPr>
      </w:pPr>
      <w:r>
        <w:rPr>
          <w:rFonts w:ascii="Arial" w:cs="Arial" w:eastAsia="Arial" w:hAnsi="Arial"/>
          <w:sz w:val="16"/>
          <w:szCs w:val="16"/>
          <w:color w:val="auto"/>
        </w:rPr>
        <w:t>New York, NY — September 24, 2009 — PennantPark Investment Corporation (the “Company”) (Nasdaq: PNNT) announced that it has entered into an agreement to sell 4,300,000 shares of common stock at a public offering price of $8.00 per share, raising approximately $34,400,000 in gross proceeds. SunTrust Robinson Humphrey and BMO Capital Markets are acting as joint bookrunners for the offering and Robert W. Baird &amp; Co, FBR Capital Markets, Keefe Bruyette &amp; Woods, Stifel, Nicolaus &amp; Company, Incorporated, ING Wholesale and Natixis Bleichroeder Inc. are acting as co-managers.</w:t>
      </w:r>
    </w:p>
    <w:p>
      <w:pPr>
        <w:spacing w:after="0" w:line="113"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The closing of the transaction is subject to customary closing conditions and the shares are expected to be delivered on September 29, 2009. The Company has also granted the underwriters an option to purchase up to an additional 645,000 shares of common stock to cover over-allotments, if any.</w:t>
      </w:r>
    </w:p>
    <w:p>
      <w:pPr>
        <w:spacing w:after="0" w:line="85" w:lineRule="exact"/>
        <w:rPr>
          <w:sz w:val="24"/>
          <w:szCs w:val="24"/>
          <w:color w:val="auto"/>
        </w:rPr>
      </w:pPr>
    </w:p>
    <w:p>
      <w:pPr>
        <w:ind w:right="480" w:firstLine="456"/>
        <w:spacing w:after="0" w:line="268" w:lineRule="auto"/>
        <w:rPr>
          <w:sz w:val="20"/>
          <w:szCs w:val="20"/>
          <w:color w:val="auto"/>
        </w:rPr>
      </w:pPr>
      <w:r>
        <w:rPr>
          <w:rFonts w:ascii="Arial" w:cs="Arial" w:eastAsia="Arial" w:hAnsi="Arial"/>
          <w:sz w:val="18"/>
          <w:szCs w:val="18"/>
          <w:color w:val="auto"/>
        </w:rPr>
        <w:t>The Company expects to use the net proceeds for general corporate purposes, including to repay outstanding indebtedness and to fund investments in accordance with its investment objectives.</w:t>
      </w:r>
    </w:p>
    <w:p>
      <w:pPr>
        <w:spacing w:after="0" w:line="126" w:lineRule="exact"/>
        <w:rPr>
          <w:sz w:val="24"/>
          <w:szCs w:val="24"/>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Investors are advised to carefully consider the investment objectives, risks and charges and expenses of the Company before investing. The prospectus supplement dated September 24, 2009 and the accompanying prospectus dated September 22, 2009 contain this and other information about the Company and should be read carefully before investing.</w:t>
      </w:r>
    </w:p>
    <w:p>
      <w:pPr>
        <w:spacing w:after="0" w:line="138" w:lineRule="exact"/>
        <w:rPr>
          <w:sz w:val="24"/>
          <w:szCs w:val="24"/>
          <w:color w:val="auto"/>
        </w:rPr>
      </w:pPr>
    </w:p>
    <w:p>
      <w:pPr>
        <w:ind w:right="160" w:firstLine="456"/>
        <w:spacing w:after="0" w:line="256"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 A registration statement relating to these securities was filed and has been declared effective by the Securities and Exchange Commission.</w:t>
      </w:r>
    </w:p>
    <w:p>
      <w:pPr>
        <w:spacing w:after="0" w:line="137" w:lineRule="exact"/>
        <w:rPr>
          <w:sz w:val="24"/>
          <w:szCs w:val="24"/>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The offering may be made only by means of a prospectus and a related prospectus supplement, copies of which may be obtained from the joint bookrunners. The principal business address of SunTrust Robinson Humphrey, Inc. is 3333 Peachtree Road NE, Atlanta, GA 30326, Attn: Prospectus Department, Phone: 404-926-5744, Email: prospectus@rhco.com. The principal business address of BMO Capital Markets Corp. is 3 Times Square, New York, NY 10036, Attn: Lori Begley, Phone: 212-885-4039, Email: lori.begley@bmo.com.</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the Company</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PennantPark Investment Corporation is a business development company which principally invests in U.S. middle-market private companies in the form of mezzanine debt, senior secured loans and equity investments. From time to time, the Company may also invest in public companies whose securities are thinly traded. PennantPark Investment Corporation is managed by PennantPark Investment Advisers, LLC.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Statements included herein may constitute “forward-looking statements” within the meaning of the Private Securities Litigation Reform Act of 1995. These statements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Or visit us on the web at: </w:t>
      </w:r>
      <w:r>
        <w:rPr>
          <w:rFonts w:ascii="Arial" w:cs="Arial" w:eastAsia="Arial" w:hAnsi="Arial"/>
          <w:sz w:val="18"/>
          <w:szCs w:val="18"/>
          <w:u w:val="single" w:color="auto"/>
          <w:color w:val="auto"/>
        </w:rPr>
        <w:t>www.pennantpark.com</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2019-12-11T03:41:26Z</dcterms:created>
  <dcterms:modified xsi:type="dcterms:W3CDTF">2019-12-11T03:41:26Z</dcterms:modified>
</cp:coreProperties>
</file>